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theme/themeOverride1.xml" ContentType="application/vnd.openxmlformats-officedocument.themeOverrid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theme/themeOverride2.xml" ContentType="application/vnd.openxmlformats-officedocument.themeOverrid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theme/themeOverride3.xml" ContentType="application/vnd.openxmlformats-officedocument.themeOverrid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CD409D" w14:textId="77777777" w:rsidR="00C42F87" w:rsidRPr="00A26D20" w:rsidRDefault="00C42F87" w:rsidP="00294FAE">
      <w:pPr>
        <w:jc w:val="center"/>
        <w:rPr>
          <w:b/>
          <w:bCs/>
          <w:caps/>
          <w:sz w:val="32"/>
          <w:szCs w:val="32"/>
          <w:u w:val="single"/>
        </w:rPr>
      </w:pPr>
      <w:r w:rsidRPr="00A26D20">
        <w:rPr>
          <w:b/>
          <w:bCs/>
          <w:caps/>
          <w:sz w:val="32"/>
          <w:szCs w:val="32"/>
          <w:u w:val="single"/>
        </w:rPr>
        <w:t>Ards and North Down Borough Council</w:t>
      </w:r>
    </w:p>
    <w:p w14:paraId="1934C062" w14:textId="77777777" w:rsidR="00C42F87" w:rsidRPr="00DD4C90" w:rsidRDefault="00C42F87" w:rsidP="00294FAE">
      <w:pPr>
        <w:spacing w:after="0" w:line="240" w:lineRule="auto"/>
        <w:ind w:left="11" w:right="11"/>
        <w:rPr>
          <w:color w:val="auto"/>
          <w:szCs w:val="24"/>
        </w:rPr>
      </w:pPr>
    </w:p>
    <w:p w14:paraId="01470349" w14:textId="0F5E4342" w:rsidR="00C42F87" w:rsidRDefault="00C42F87" w:rsidP="00294FAE">
      <w:pPr>
        <w:spacing w:after="0" w:line="240" w:lineRule="auto"/>
        <w:ind w:left="11" w:right="11"/>
        <w:rPr>
          <w:color w:val="auto"/>
          <w:szCs w:val="24"/>
        </w:rPr>
      </w:pPr>
      <w:r w:rsidRPr="00DD4C90">
        <w:rPr>
          <w:color w:val="auto"/>
          <w:szCs w:val="24"/>
        </w:rPr>
        <w:t xml:space="preserve">A meeting of the Environment Committee was held remotely via Zoom on Wednesday, </w:t>
      </w:r>
      <w:r w:rsidR="00153899">
        <w:rPr>
          <w:color w:val="auto"/>
          <w:szCs w:val="24"/>
        </w:rPr>
        <w:t>2</w:t>
      </w:r>
      <w:r w:rsidR="00C94B48">
        <w:rPr>
          <w:color w:val="auto"/>
          <w:szCs w:val="24"/>
        </w:rPr>
        <w:t xml:space="preserve"> </w:t>
      </w:r>
      <w:r w:rsidR="00153899">
        <w:rPr>
          <w:color w:val="auto"/>
          <w:szCs w:val="24"/>
        </w:rPr>
        <w:t>November</w:t>
      </w:r>
      <w:r w:rsidR="00074E02">
        <w:rPr>
          <w:color w:val="auto"/>
          <w:szCs w:val="24"/>
        </w:rPr>
        <w:t xml:space="preserve"> </w:t>
      </w:r>
      <w:r w:rsidRPr="00DD4C90">
        <w:rPr>
          <w:color w:val="auto"/>
          <w:szCs w:val="24"/>
        </w:rPr>
        <w:t>202</w:t>
      </w:r>
      <w:r>
        <w:rPr>
          <w:color w:val="auto"/>
          <w:szCs w:val="24"/>
        </w:rPr>
        <w:t>2</w:t>
      </w:r>
      <w:r w:rsidRPr="00DD4C90">
        <w:rPr>
          <w:color w:val="auto"/>
          <w:szCs w:val="24"/>
        </w:rPr>
        <w:t xml:space="preserve"> at </w:t>
      </w:r>
      <w:r w:rsidR="00050F01">
        <w:rPr>
          <w:color w:val="auto"/>
          <w:szCs w:val="24"/>
        </w:rPr>
        <w:t>7</w:t>
      </w:r>
      <w:r w:rsidRPr="00DD4C90">
        <w:rPr>
          <w:color w:val="auto"/>
          <w:szCs w:val="24"/>
        </w:rPr>
        <w:t>.00</w:t>
      </w:r>
      <w:r>
        <w:rPr>
          <w:color w:val="auto"/>
          <w:szCs w:val="24"/>
        </w:rPr>
        <w:t xml:space="preserve"> </w:t>
      </w:r>
      <w:r w:rsidRPr="00DD4C90">
        <w:rPr>
          <w:color w:val="auto"/>
          <w:szCs w:val="24"/>
        </w:rPr>
        <w:t>pm.</w:t>
      </w:r>
    </w:p>
    <w:p w14:paraId="1E5E6FA3" w14:textId="77777777" w:rsidR="007E7DDF" w:rsidRPr="00DD4C90" w:rsidRDefault="007E7DDF" w:rsidP="00294FAE">
      <w:pPr>
        <w:spacing w:after="0" w:line="240" w:lineRule="auto"/>
        <w:ind w:left="0" w:right="11" w:firstLine="0"/>
        <w:rPr>
          <w:color w:val="auto"/>
          <w:szCs w:val="24"/>
        </w:rPr>
      </w:pPr>
    </w:p>
    <w:p w14:paraId="1C55BFA5" w14:textId="77777777" w:rsidR="00C42F87" w:rsidRPr="00DD4C90" w:rsidRDefault="00C42F87" w:rsidP="00294FAE">
      <w:pPr>
        <w:spacing w:after="0" w:line="240" w:lineRule="auto"/>
        <w:ind w:left="0" w:right="11" w:firstLine="0"/>
        <w:rPr>
          <w:b/>
          <w:color w:val="auto"/>
          <w:szCs w:val="24"/>
          <w:u w:val="single"/>
        </w:rPr>
      </w:pPr>
      <w:r w:rsidRPr="00DD4C90">
        <w:rPr>
          <w:b/>
          <w:color w:val="auto"/>
          <w:szCs w:val="24"/>
          <w:u w:val="single"/>
        </w:rPr>
        <w:t>PRESENT</w:t>
      </w:r>
      <w:r w:rsidRPr="00DD4C90">
        <w:rPr>
          <w:b/>
          <w:color w:val="auto"/>
          <w:szCs w:val="24"/>
        </w:rPr>
        <w:t>:</w:t>
      </w:r>
    </w:p>
    <w:p w14:paraId="20A5D24B" w14:textId="77777777" w:rsidR="00C42F87" w:rsidRPr="00DD4C90" w:rsidRDefault="00C42F87" w:rsidP="00294FAE">
      <w:pPr>
        <w:spacing w:after="0" w:line="240" w:lineRule="auto"/>
        <w:ind w:left="11" w:right="11"/>
        <w:rPr>
          <w:color w:val="auto"/>
          <w:szCs w:val="24"/>
        </w:rPr>
      </w:pPr>
      <w:r w:rsidRPr="00DD4C90">
        <w:rPr>
          <w:color w:val="auto"/>
          <w:szCs w:val="24"/>
        </w:rPr>
        <w:t xml:space="preserve"> </w:t>
      </w:r>
    </w:p>
    <w:p w14:paraId="148152D0" w14:textId="157F0035" w:rsidR="00C42F87" w:rsidRPr="00050F01" w:rsidRDefault="00C42F87" w:rsidP="00294FAE">
      <w:pPr>
        <w:spacing w:after="0" w:line="240" w:lineRule="auto"/>
        <w:ind w:left="11" w:right="11"/>
        <w:rPr>
          <w:bCs/>
          <w:color w:val="auto"/>
          <w:szCs w:val="24"/>
        </w:rPr>
      </w:pPr>
      <w:r w:rsidRPr="00DD4C90">
        <w:rPr>
          <w:b/>
          <w:color w:val="auto"/>
          <w:szCs w:val="24"/>
        </w:rPr>
        <w:t xml:space="preserve">In the Chair: </w:t>
      </w:r>
      <w:r w:rsidRPr="00DD4C90">
        <w:rPr>
          <w:b/>
          <w:color w:val="auto"/>
          <w:szCs w:val="24"/>
        </w:rPr>
        <w:tab/>
      </w:r>
      <w:r w:rsidR="00F63ACC" w:rsidRPr="00F63ACC">
        <w:rPr>
          <w:bCs/>
          <w:color w:val="auto"/>
          <w:szCs w:val="24"/>
        </w:rPr>
        <w:t>Alderman McDowell</w:t>
      </w:r>
      <w:r w:rsidR="00F63ACC">
        <w:rPr>
          <w:b/>
          <w:color w:val="auto"/>
          <w:szCs w:val="24"/>
        </w:rPr>
        <w:t xml:space="preserve"> </w:t>
      </w:r>
      <w:r w:rsidR="00C45934" w:rsidRPr="00050F01">
        <w:rPr>
          <w:bCs/>
          <w:color w:val="auto"/>
          <w:szCs w:val="24"/>
        </w:rPr>
        <w:t xml:space="preserve"> </w:t>
      </w:r>
      <w:r w:rsidRPr="00050F01">
        <w:rPr>
          <w:bCs/>
          <w:color w:val="auto"/>
          <w:szCs w:val="24"/>
        </w:rPr>
        <w:t xml:space="preserve"> </w:t>
      </w:r>
    </w:p>
    <w:p w14:paraId="4052C34D" w14:textId="77777777" w:rsidR="00C42F87" w:rsidRPr="00050F01" w:rsidRDefault="00C42F87" w:rsidP="00294FAE">
      <w:pPr>
        <w:tabs>
          <w:tab w:val="left" w:pos="5280"/>
        </w:tabs>
        <w:spacing w:after="0" w:line="240" w:lineRule="auto"/>
        <w:ind w:left="11" w:right="11"/>
        <w:rPr>
          <w:bCs/>
          <w:color w:val="auto"/>
          <w:szCs w:val="24"/>
        </w:rPr>
      </w:pPr>
      <w:r w:rsidRPr="00050F01">
        <w:rPr>
          <w:bCs/>
          <w:color w:val="auto"/>
          <w:szCs w:val="24"/>
        </w:rPr>
        <w:tab/>
      </w:r>
    </w:p>
    <w:p w14:paraId="097534EB" w14:textId="6AC2A9BA" w:rsidR="00FA0970" w:rsidRDefault="00C42F87" w:rsidP="00E02AB0">
      <w:pPr>
        <w:tabs>
          <w:tab w:val="left" w:pos="5280"/>
        </w:tabs>
        <w:spacing w:after="0" w:line="240" w:lineRule="auto"/>
        <w:ind w:left="11" w:right="11"/>
        <w:rPr>
          <w:color w:val="auto"/>
          <w:szCs w:val="24"/>
        </w:rPr>
      </w:pPr>
      <w:r>
        <w:rPr>
          <w:b/>
          <w:bCs/>
          <w:color w:val="auto"/>
          <w:szCs w:val="24"/>
        </w:rPr>
        <w:t>Alderm</w:t>
      </w:r>
      <w:r w:rsidR="00F63ACC">
        <w:rPr>
          <w:b/>
          <w:bCs/>
          <w:color w:val="auto"/>
          <w:szCs w:val="24"/>
        </w:rPr>
        <w:t>e</w:t>
      </w:r>
      <w:r w:rsidRPr="00DD4C90">
        <w:rPr>
          <w:b/>
          <w:bCs/>
          <w:color w:val="auto"/>
          <w:szCs w:val="24"/>
        </w:rPr>
        <w:t>n:</w:t>
      </w:r>
      <w:r w:rsidRPr="00DD4C90">
        <w:rPr>
          <w:color w:val="auto"/>
          <w:szCs w:val="24"/>
        </w:rPr>
        <w:t xml:space="preserve">              </w:t>
      </w:r>
      <w:r w:rsidR="00F63ACC">
        <w:rPr>
          <w:color w:val="auto"/>
          <w:szCs w:val="24"/>
        </w:rPr>
        <w:t xml:space="preserve">Armstrong-Cotter </w:t>
      </w:r>
      <w:r w:rsidR="00F63ACC">
        <w:rPr>
          <w:color w:val="auto"/>
          <w:szCs w:val="24"/>
        </w:rPr>
        <w:tab/>
      </w:r>
      <w:r w:rsidR="00FA0970">
        <w:rPr>
          <w:b/>
          <w:bCs/>
          <w:color w:val="auto"/>
          <w:szCs w:val="24"/>
        </w:rPr>
        <w:t xml:space="preserve">                           </w:t>
      </w:r>
      <w:r w:rsidR="00C970E8">
        <w:rPr>
          <w:b/>
          <w:bCs/>
          <w:color w:val="auto"/>
          <w:szCs w:val="24"/>
        </w:rPr>
        <w:t xml:space="preserve">                               </w:t>
      </w:r>
    </w:p>
    <w:p w14:paraId="797EFF63" w14:textId="51F2CD81" w:rsidR="00F63ACC" w:rsidRDefault="00FA0970" w:rsidP="00294FAE">
      <w:pPr>
        <w:tabs>
          <w:tab w:val="left" w:pos="5280"/>
        </w:tabs>
        <w:spacing w:after="0" w:line="240" w:lineRule="auto"/>
        <w:ind w:left="11" w:right="11"/>
        <w:rPr>
          <w:color w:val="auto"/>
          <w:szCs w:val="24"/>
        </w:rPr>
      </w:pPr>
      <w:r>
        <w:rPr>
          <w:color w:val="auto"/>
          <w:szCs w:val="24"/>
        </w:rPr>
        <w:tab/>
        <w:t xml:space="preserve">                                </w:t>
      </w:r>
    </w:p>
    <w:p w14:paraId="421B38FA" w14:textId="0B2C0682" w:rsidR="00C42F87" w:rsidRPr="00DD4C90" w:rsidRDefault="00F63ACC" w:rsidP="00294FAE">
      <w:pPr>
        <w:tabs>
          <w:tab w:val="left" w:pos="5280"/>
        </w:tabs>
        <w:spacing w:after="0" w:line="240" w:lineRule="auto"/>
        <w:ind w:left="11" w:right="11"/>
        <w:rPr>
          <w:color w:val="auto"/>
          <w:szCs w:val="24"/>
        </w:rPr>
      </w:pPr>
      <w:r>
        <w:rPr>
          <w:color w:val="auto"/>
          <w:szCs w:val="24"/>
        </w:rPr>
        <w:tab/>
        <w:t xml:space="preserve">                                </w:t>
      </w:r>
      <w:r w:rsidR="00C970E8">
        <w:rPr>
          <w:color w:val="auto"/>
          <w:szCs w:val="24"/>
        </w:rPr>
        <w:t xml:space="preserve">                               </w:t>
      </w:r>
      <w:r w:rsidR="00C970E8">
        <w:rPr>
          <w:color w:val="auto"/>
          <w:szCs w:val="24"/>
        </w:rPr>
        <w:tab/>
      </w:r>
      <w:r w:rsidR="00173A2B">
        <w:rPr>
          <w:color w:val="auto"/>
          <w:szCs w:val="24"/>
        </w:rPr>
        <w:tab/>
      </w:r>
      <w:r w:rsidR="00173A2B">
        <w:rPr>
          <w:color w:val="auto"/>
          <w:szCs w:val="24"/>
        </w:rPr>
        <w:tab/>
      </w:r>
      <w:r w:rsidR="00C42F87" w:rsidRPr="00DD4C90">
        <w:rPr>
          <w:b/>
          <w:bCs/>
          <w:color w:val="auto"/>
          <w:szCs w:val="24"/>
        </w:rPr>
        <w:tab/>
      </w:r>
      <w:r w:rsidR="00C42F87" w:rsidRPr="00DD4C90">
        <w:rPr>
          <w:b/>
          <w:bCs/>
          <w:color w:val="auto"/>
          <w:szCs w:val="24"/>
        </w:rPr>
        <w:tab/>
      </w:r>
    </w:p>
    <w:p w14:paraId="2B3E359B" w14:textId="72183FAB" w:rsidR="00173A2B" w:rsidRDefault="00C42F87" w:rsidP="00294FAE">
      <w:pPr>
        <w:spacing w:after="0" w:line="240" w:lineRule="auto"/>
        <w:ind w:left="0" w:right="11" w:firstLine="0"/>
        <w:rPr>
          <w:bCs/>
          <w:color w:val="auto"/>
          <w:szCs w:val="24"/>
        </w:rPr>
      </w:pPr>
      <w:r w:rsidRPr="00DD4C90">
        <w:rPr>
          <w:b/>
          <w:color w:val="auto"/>
          <w:szCs w:val="24"/>
        </w:rPr>
        <w:t>Councillors:</w:t>
      </w:r>
      <w:r w:rsidRPr="00DD4C90">
        <w:rPr>
          <w:b/>
          <w:color w:val="auto"/>
          <w:szCs w:val="24"/>
        </w:rPr>
        <w:tab/>
      </w:r>
      <w:r w:rsidRPr="00173A2B">
        <w:rPr>
          <w:bCs/>
          <w:color w:val="auto"/>
          <w:szCs w:val="24"/>
        </w:rPr>
        <w:tab/>
      </w:r>
      <w:r w:rsidR="00F63ACC">
        <w:rPr>
          <w:bCs/>
          <w:color w:val="auto"/>
          <w:szCs w:val="24"/>
        </w:rPr>
        <w:t xml:space="preserve">Boyle </w:t>
      </w:r>
      <w:r w:rsidR="008C2E34">
        <w:rPr>
          <w:bCs/>
          <w:color w:val="auto"/>
          <w:szCs w:val="24"/>
        </w:rPr>
        <w:tab/>
      </w:r>
      <w:r w:rsidR="008C2E34">
        <w:rPr>
          <w:bCs/>
          <w:color w:val="auto"/>
          <w:szCs w:val="24"/>
        </w:rPr>
        <w:tab/>
      </w:r>
      <w:r w:rsidR="002D7216">
        <w:rPr>
          <w:bCs/>
          <w:color w:val="auto"/>
          <w:szCs w:val="24"/>
        </w:rPr>
        <w:tab/>
      </w:r>
      <w:r w:rsidR="00CF3530">
        <w:rPr>
          <w:bCs/>
          <w:color w:val="auto"/>
          <w:szCs w:val="24"/>
        </w:rPr>
        <w:t xml:space="preserve">Johnson </w:t>
      </w:r>
      <w:r w:rsidR="002D7216">
        <w:rPr>
          <w:bCs/>
          <w:color w:val="auto"/>
          <w:szCs w:val="24"/>
        </w:rPr>
        <w:t xml:space="preserve"> </w:t>
      </w:r>
    </w:p>
    <w:p w14:paraId="1A53BFA7" w14:textId="3618592E" w:rsidR="00F63ACC" w:rsidRDefault="00F63ACC" w:rsidP="00294FAE">
      <w:pPr>
        <w:spacing w:after="0" w:line="240" w:lineRule="auto"/>
        <w:ind w:left="0" w:right="11" w:firstLine="0"/>
        <w:rPr>
          <w:bCs/>
          <w:color w:val="auto"/>
          <w:szCs w:val="24"/>
        </w:rPr>
      </w:pPr>
      <w:r>
        <w:rPr>
          <w:bCs/>
          <w:color w:val="auto"/>
          <w:szCs w:val="24"/>
        </w:rPr>
        <w:tab/>
      </w:r>
      <w:r>
        <w:rPr>
          <w:bCs/>
          <w:color w:val="auto"/>
          <w:szCs w:val="24"/>
        </w:rPr>
        <w:tab/>
      </w:r>
      <w:r>
        <w:rPr>
          <w:bCs/>
          <w:color w:val="auto"/>
          <w:szCs w:val="24"/>
        </w:rPr>
        <w:tab/>
      </w:r>
      <w:r w:rsidR="002D7216">
        <w:rPr>
          <w:bCs/>
          <w:color w:val="auto"/>
          <w:szCs w:val="24"/>
        </w:rPr>
        <w:t xml:space="preserve">Cathcart </w:t>
      </w:r>
      <w:r>
        <w:rPr>
          <w:bCs/>
          <w:color w:val="auto"/>
          <w:szCs w:val="24"/>
        </w:rPr>
        <w:tab/>
      </w:r>
      <w:r>
        <w:rPr>
          <w:bCs/>
          <w:color w:val="auto"/>
          <w:szCs w:val="24"/>
        </w:rPr>
        <w:tab/>
      </w:r>
      <w:r w:rsidR="00BB51FC">
        <w:rPr>
          <w:bCs/>
          <w:color w:val="auto"/>
          <w:szCs w:val="24"/>
        </w:rPr>
        <w:t>MacArthur</w:t>
      </w:r>
      <w:r>
        <w:rPr>
          <w:bCs/>
          <w:color w:val="auto"/>
          <w:szCs w:val="24"/>
        </w:rPr>
        <w:tab/>
      </w:r>
      <w:r>
        <w:rPr>
          <w:bCs/>
          <w:color w:val="auto"/>
          <w:szCs w:val="24"/>
        </w:rPr>
        <w:tab/>
        <w:t xml:space="preserve"> </w:t>
      </w:r>
      <w:r>
        <w:rPr>
          <w:bCs/>
          <w:color w:val="auto"/>
          <w:szCs w:val="24"/>
        </w:rPr>
        <w:tab/>
      </w:r>
    </w:p>
    <w:p w14:paraId="49E7F311" w14:textId="3DAD76EB" w:rsidR="00173A2B" w:rsidRDefault="002D7216" w:rsidP="00294FAE">
      <w:pPr>
        <w:spacing w:after="0" w:line="240" w:lineRule="auto"/>
        <w:ind w:left="1440" w:right="11" w:firstLine="720"/>
        <w:rPr>
          <w:b/>
          <w:color w:val="auto"/>
          <w:szCs w:val="24"/>
        </w:rPr>
      </w:pPr>
      <w:r>
        <w:rPr>
          <w:bCs/>
          <w:color w:val="auto"/>
          <w:szCs w:val="24"/>
        </w:rPr>
        <w:t xml:space="preserve">Cummings </w:t>
      </w:r>
      <w:r w:rsidR="00C45934">
        <w:rPr>
          <w:bCs/>
          <w:color w:val="auto"/>
          <w:szCs w:val="24"/>
        </w:rPr>
        <w:tab/>
      </w:r>
      <w:r w:rsidR="00173A2B">
        <w:rPr>
          <w:bCs/>
          <w:color w:val="auto"/>
          <w:szCs w:val="24"/>
        </w:rPr>
        <w:tab/>
      </w:r>
      <w:r w:rsidR="00CF3530">
        <w:rPr>
          <w:bCs/>
          <w:color w:val="auto"/>
          <w:szCs w:val="24"/>
        </w:rPr>
        <w:t>McA</w:t>
      </w:r>
      <w:r w:rsidR="00BB51FC">
        <w:rPr>
          <w:bCs/>
          <w:color w:val="auto"/>
          <w:szCs w:val="24"/>
        </w:rPr>
        <w:t>lpine</w:t>
      </w:r>
      <w:r w:rsidR="00CF3530">
        <w:rPr>
          <w:bCs/>
          <w:color w:val="auto"/>
          <w:szCs w:val="24"/>
        </w:rPr>
        <w:t xml:space="preserve"> </w:t>
      </w:r>
      <w:r w:rsidR="00F63ACC">
        <w:rPr>
          <w:bCs/>
          <w:color w:val="auto"/>
          <w:szCs w:val="24"/>
        </w:rPr>
        <w:t xml:space="preserve"> </w:t>
      </w:r>
    </w:p>
    <w:p w14:paraId="572C69FB" w14:textId="45B3CA16" w:rsidR="00FA0970" w:rsidRDefault="00CF3530" w:rsidP="00294FAE">
      <w:pPr>
        <w:spacing w:after="0" w:line="240" w:lineRule="auto"/>
        <w:ind w:left="1440" w:right="11" w:firstLine="720"/>
        <w:rPr>
          <w:bCs/>
          <w:color w:val="auto"/>
          <w:szCs w:val="24"/>
        </w:rPr>
      </w:pPr>
      <w:r>
        <w:rPr>
          <w:bCs/>
          <w:color w:val="auto"/>
          <w:szCs w:val="24"/>
        </w:rPr>
        <w:t>Edmund</w:t>
      </w:r>
      <w:r w:rsidR="002D7216">
        <w:rPr>
          <w:bCs/>
          <w:color w:val="auto"/>
          <w:szCs w:val="24"/>
        </w:rPr>
        <w:t xml:space="preserve"> </w:t>
      </w:r>
      <w:r w:rsidR="00C42F87">
        <w:rPr>
          <w:b/>
          <w:color w:val="auto"/>
          <w:szCs w:val="24"/>
        </w:rPr>
        <w:tab/>
      </w:r>
      <w:r w:rsidR="00BB51FC">
        <w:rPr>
          <w:b/>
          <w:color w:val="auto"/>
          <w:szCs w:val="24"/>
        </w:rPr>
        <w:tab/>
      </w:r>
      <w:r w:rsidR="008F3013" w:rsidRPr="008F3013">
        <w:rPr>
          <w:bCs/>
          <w:color w:val="auto"/>
          <w:szCs w:val="24"/>
        </w:rPr>
        <w:t>M</w:t>
      </w:r>
      <w:r w:rsidR="002D7216">
        <w:rPr>
          <w:bCs/>
          <w:color w:val="auto"/>
          <w:szCs w:val="24"/>
        </w:rPr>
        <w:t>c</w:t>
      </w:r>
      <w:r w:rsidR="00BB51FC">
        <w:rPr>
          <w:bCs/>
          <w:color w:val="auto"/>
          <w:szCs w:val="24"/>
        </w:rPr>
        <w:t>Kee</w:t>
      </w:r>
      <w:r w:rsidR="002D7216">
        <w:rPr>
          <w:bCs/>
          <w:color w:val="auto"/>
          <w:szCs w:val="24"/>
        </w:rPr>
        <w:t xml:space="preserve"> </w:t>
      </w:r>
      <w:r w:rsidR="008F3013">
        <w:rPr>
          <w:b/>
          <w:color w:val="auto"/>
          <w:szCs w:val="24"/>
        </w:rPr>
        <w:t xml:space="preserve"> </w:t>
      </w:r>
      <w:r w:rsidR="00FA0970">
        <w:rPr>
          <w:b/>
          <w:color w:val="auto"/>
          <w:szCs w:val="24"/>
        </w:rPr>
        <w:t xml:space="preserve">           </w:t>
      </w:r>
      <w:r w:rsidR="00FA0970">
        <w:rPr>
          <w:bCs/>
          <w:color w:val="auto"/>
          <w:szCs w:val="24"/>
        </w:rPr>
        <w:tab/>
      </w:r>
      <w:r w:rsidR="00FA0970">
        <w:rPr>
          <w:bCs/>
          <w:color w:val="auto"/>
          <w:szCs w:val="24"/>
        </w:rPr>
        <w:tab/>
      </w:r>
      <w:r w:rsidR="00FA0970">
        <w:rPr>
          <w:bCs/>
          <w:color w:val="auto"/>
          <w:szCs w:val="24"/>
        </w:rPr>
        <w:tab/>
      </w:r>
      <w:r w:rsidR="00FA0970">
        <w:rPr>
          <w:bCs/>
          <w:color w:val="auto"/>
          <w:szCs w:val="24"/>
        </w:rPr>
        <w:tab/>
      </w:r>
      <w:r w:rsidR="002D7216">
        <w:rPr>
          <w:bCs/>
          <w:color w:val="auto"/>
          <w:szCs w:val="24"/>
        </w:rPr>
        <w:t xml:space="preserve"> </w:t>
      </w:r>
      <w:r w:rsidR="002D7216">
        <w:rPr>
          <w:bCs/>
          <w:color w:val="auto"/>
          <w:szCs w:val="24"/>
        </w:rPr>
        <w:tab/>
      </w:r>
      <w:r w:rsidR="00CE375B">
        <w:rPr>
          <w:bCs/>
          <w:color w:val="auto"/>
          <w:szCs w:val="24"/>
        </w:rPr>
        <w:t>Irwin</w:t>
      </w:r>
      <w:r w:rsidR="00CE375B">
        <w:rPr>
          <w:bCs/>
          <w:color w:val="auto"/>
          <w:szCs w:val="24"/>
        </w:rPr>
        <w:tab/>
      </w:r>
      <w:r w:rsidR="00127828">
        <w:rPr>
          <w:bCs/>
          <w:color w:val="auto"/>
          <w:szCs w:val="24"/>
        </w:rPr>
        <w:tab/>
      </w:r>
      <w:r w:rsidR="00BB51FC">
        <w:rPr>
          <w:bCs/>
          <w:color w:val="auto"/>
          <w:szCs w:val="24"/>
        </w:rPr>
        <w:tab/>
      </w:r>
      <w:r w:rsidR="00BB1F6D">
        <w:rPr>
          <w:bCs/>
          <w:color w:val="auto"/>
          <w:szCs w:val="24"/>
        </w:rPr>
        <w:t>Woods</w:t>
      </w:r>
      <w:r w:rsidR="00BB51FC">
        <w:rPr>
          <w:bCs/>
          <w:color w:val="auto"/>
          <w:szCs w:val="24"/>
        </w:rPr>
        <w:t xml:space="preserve"> </w:t>
      </w:r>
      <w:r w:rsidR="00050F01">
        <w:rPr>
          <w:bCs/>
          <w:color w:val="auto"/>
          <w:szCs w:val="24"/>
        </w:rPr>
        <w:tab/>
      </w:r>
      <w:r w:rsidR="00FA0970">
        <w:rPr>
          <w:bCs/>
          <w:color w:val="auto"/>
          <w:szCs w:val="24"/>
        </w:rPr>
        <w:tab/>
      </w:r>
      <w:r w:rsidR="00FA0970">
        <w:rPr>
          <w:bCs/>
          <w:color w:val="auto"/>
          <w:szCs w:val="24"/>
        </w:rPr>
        <w:tab/>
      </w:r>
      <w:r w:rsidR="008F3013">
        <w:rPr>
          <w:bCs/>
          <w:color w:val="auto"/>
          <w:szCs w:val="24"/>
        </w:rPr>
        <w:t xml:space="preserve"> </w:t>
      </w:r>
      <w:r w:rsidR="00FA0970">
        <w:rPr>
          <w:bCs/>
          <w:color w:val="auto"/>
          <w:szCs w:val="24"/>
        </w:rPr>
        <w:t xml:space="preserve"> </w:t>
      </w:r>
    </w:p>
    <w:p w14:paraId="6E7A8E12" w14:textId="1818140B" w:rsidR="00C42F87" w:rsidRDefault="008F3013" w:rsidP="002D7216">
      <w:pPr>
        <w:spacing w:after="0" w:line="240" w:lineRule="auto"/>
        <w:ind w:left="1985" w:right="11" w:hanging="22"/>
        <w:rPr>
          <w:bCs/>
          <w:color w:val="auto"/>
          <w:szCs w:val="24"/>
        </w:rPr>
      </w:pPr>
      <w:r>
        <w:rPr>
          <w:bCs/>
          <w:color w:val="auto"/>
          <w:szCs w:val="24"/>
        </w:rPr>
        <w:t xml:space="preserve"> </w:t>
      </w:r>
      <w:r w:rsidR="00C42F87">
        <w:rPr>
          <w:bCs/>
          <w:color w:val="auto"/>
          <w:szCs w:val="24"/>
        </w:rPr>
        <w:t xml:space="preserve"> </w:t>
      </w:r>
      <w:r w:rsidR="002D7216">
        <w:rPr>
          <w:bCs/>
          <w:color w:val="auto"/>
          <w:szCs w:val="24"/>
        </w:rPr>
        <w:t xml:space="preserve"> </w:t>
      </w:r>
      <w:r w:rsidR="00CE375B">
        <w:rPr>
          <w:bCs/>
          <w:color w:val="auto"/>
          <w:szCs w:val="24"/>
        </w:rPr>
        <w:t>Smart</w:t>
      </w:r>
      <w:r w:rsidR="00C42F87">
        <w:rPr>
          <w:bCs/>
          <w:color w:val="auto"/>
          <w:szCs w:val="24"/>
        </w:rPr>
        <w:tab/>
      </w:r>
      <w:r w:rsidR="00C42F87">
        <w:rPr>
          <w:bCs/>
          <w:color w:val="auto"/>
          <w:szCs w:val="24"/>
        </w:rPr>
        <w:tab/>
      </w:r>
      <w:r w:rsidR="00F74260">
        <w:rPr>
          <w:bCs/>
          <w:color w:val="auto"/>
          <w:szCs w:val="24"/>
        </w:rPr>
        <w:tab/>
      </w:r>
      <w:r w:rsidR="00CE375B">
        <w:rPr>
          <w:bCs/>
          <w:color w:val="auto"/>
          <w:szCs w:val="24"/>
        </w:rPr>
        <w:t>Smith</w:t>
      </w:r>
      <w:r w:rsidR="00F74260">
        <w:rPr>
          <w:bCs/>
          <w:color w:val="auto"/>
          <w:szCs w:val="24"/>
        </w:rPr>
        <w:tab/>
      </w:r>
      <w:r w:rsidR="00CE375B">
        <w:rPr>
          <w:bCs/>
          <w:color w:val="auto"/>
          <w:szCs w:val="24"/>
        </w:rPr>
        <w:t>M</w:t>
      </w:r>
    </w:p>
    <w:p w14:paraId="233F8664" w14:textId="3C3BABF2" w:rsidR="002D7216" w:rsidRDefault="002D7216" w:rsidP="002D7216">
      <w:pPr>
        <w:spacing w:after="0" w:line="240" w:lineRule="auto"/>
        <w:ind w:left="1985" w:right="11" w:hanging="22"/>
        <w:rPr>
          <w:bCs/>
          <w:color w:val="auto"/>
          <w:szCs w:val="24"/>
        </w:rPr>
      </w:pPr>
      <w:r>
        <w:rPr>
          <w:bCs/>
          <w:color w:val="auto"/>
          <w:szCs w:val="24"/>
        </w:rPr>
        <w:tab/>
      </w:r>
      <w:r>
        <w:rPr>
          <w:bCs/>
          <w:color w:val="auto"/>
          <w:szCs w:val="24"/>
        </w:rPr>
        <w:tab/>
      </w:r>
      <w:r>
        <w:rPr>
          <w:bCs/>
          <w:color w:val="auto"/>
          <w:szCs w:val="24"/>
        </w:rPr>
        <w:tab/>
      </w:r>
      <w:r>
        <w:rPr>
          <w:bCs/>
          <w:color w:val="auto"/>
          <w:szCs w:val="24"/>
        </w:rPr>
        <w:tab/>
      </w:r>
      <w:r>
        <w:rPr>
          <w:bCs/>
          <w:color w:val="auto"/>
          <w:szCs w:val="24"/>
        </w:rPr>
        <w:tab/>
      </w:r>
      <w:r>
        <w:rPr>
          <w:bCs/>
          <w:color w:val="auto"/>
          <w:szCs w:val="24"/>
        </w:rPr>
        <w:tab/>
      </w:r>
    </w:p>
    <w:p w14:paraId="33DC8401" w14:textId="140E7F08" w:rsidR="00C42F87" w:rsidRPr="00AE3077" w:rsidRDefault="00C42F87" w:rsidP="00294FAE">
      <w:pPr>
        <w:spacing w:after="0" w:line="240" w:lineRule="auto"/>
        <w:ind w:left="0" w:right="11" w:firstLine="0"/>
        <w:rPr>
          <w:bCs/>
          <w:color w:val="auto"/>
          <w:szCs w:val="24"/>
        </w:rPr>
      </w:pPr>
      <w:r>
        <w:rPr>
          <w:bCs/>
          <w:color w:val="auto"/>
          <w:szCs w:val="24"/>
        </w:rPr>
        <w:tab/>
      </w:r>
      <w:r>
        <w:rPr>
          <w:bCs/>
          <w:color w:val="auto"/>
          <w:szCs w:val="24"/>
        </w:rPr>
        <w:tab/>
      </w:r>
      <w:r>
        <w:rPr>
          <w:bCs/>
          <w:color w:val="auto"/>
          <w:szCs w:val="24"/>
        </w:rPr>
        <w:tab/>
      </w:r>
      <w:r w:rsidRPr="00DD4C90">
        <w:rPr>
          <w:bCs/>
          <w:color w:val="auto"/>
          <w:szCs w:val="24"/>
        </w:rPr>
        <w:tab/>
      </w:r>
      <w:r w:rsidR="00F74260">
        <w:rPr>
          <w:bCs/>
          <w:color w:val="auto"/>
          <w:szCs w:val="24"/>
        </w:rPr>
        <w:tab/>
      </w:r>
      <w:r w:rsidR="00A133D8">
        <w:rPr>
          <w:bCs/>
          <w:color w:val="auto"/>
          <w:szCs w:val="24"/>
        </w:rPr>
        <w:t xml:space="preserve"> </w:t>
      </w:r>
      <w:r w:rsidRPr="00DD4C90">
        <w:rPr>
          <w:bCs/>
          <w:color w:val="auto"/>
          <w:szCs w:val="24"/>
        </w:rPr>
        <w:t xml:space="preserve"> </w:t>
      </w:r>
      <w:r>
        <w:rPr>
          <w:bCs/>
          <w:color w:val="auto"/>
          <w:szCs w:val="24"/>
        </w:rPr>
        <w:tab/>
        <w:t xml:space="preserve"> </w:t>
      </w:r>
      <w:r w:rsidRPr="00DD4C90">
        <w:rPr>
          <w:bCs/>
          <w:color w:val="auto"/>
          <w:szCs w:val="24"/>
        </w:rPr>
        <w:t xml:space="preserve"> </w:t>
      </w:r>
      <w:r>
        <w:rPr>
          <w:bCs/>
          <w:color w:val="auto"/>
          <w:szCs w:val="24"/>
        </w:rPr>
        <w:tab/>
        <w:t xml:space="preserve"> </w:t>
      </w:r>
      <w:r>
        <w:rPr>
          <w:bCs/>
          <w:color w:val="auto"/>
          <w:szCs w:val="24"/>
        </w:rPr>
        <w:tab/>
      </w:r>
      <w:r>
        <w:rPr>
          <w:bCs/>
          <w:color w:val="auto"/>
          <w:szCs w:val="24"/>
        </w:rPr>
        <w:tab/>
      </w:r>
      <w:r>
        <w:rPr>
          <w:bCs/>
          <w:color w:val="auto"/>
          <w:szCs w:val="24"/>
        </w:rPr>
        <w:tab/>
        <w:t xml:space="preserve"> </w:t>
      </w:r>
      <w:r>
        <w:rPr>
          <w:bCs/>
          <w:color w:val="auto"/>
          <w:szCs w:val="24"/>
        </w:rPr>
        <w:tab/>
      </w:r>
    </w:p>
    <w:p w14:paraId="64BF4F46" w14:textId="5AB074DA" w:rsidR="0006186B" w:rsidRDefault="00C42F87" w:rsidP="00294FAE">
      <w:pPr>
        <w:spacing w:after="0" w:line="240" w:lineRule="auto"/>
        <w:ind w:left="2160" w:right="11" w:hanging="2149"/>
        <w:rPr>
          <w:color w:val="auto"/>
          <w:szCs w:val="24"/>
        </w:rPr>
      </w:pPr>
      <w:r w:rsidRPr="00DD4C90">
        <w:rPr>
          <w:b/>
          <w:color w:val="auto"/>
          <w:szCs w:val="24"/>
        </w:rPr>
        <w:t xml:space="preserve">Officers: </w:t>
      </w:r>
      <w:r w:rsidRPr="00DD4C90">
        <w:rPr>
          <w:b/>
          <w:color w:val="auto"/>
          <w:szCs w:val="24"/>
        </w:rPr>
        <w:tab/>
      </w:r>
      <w:r w:rsidRPr="00DD4C90">
        <w:rPr>
          <w:color w:val="auto"/>
          <w:szCs w:val="24"/>
        </w:rPr>
        <w:t xml:space="preserve">Director of Environment (D Lindsay), </w:t>
      </w:r>
      <w:r w:rsidR="00FA0970">
        <w:rPr>
          <w:color w:val="auto"/>
          <w:szCs w:val="24"/>
        </w:rPr>
        <w:t>Head of Waste and Cleansing Services (N Martin)</w:t>
      </w:r>
      <w:r w:rsidR="00D774C6">
        <w:rPr>
          <w:color w:val="auto"/>
          <w:szCs w:val="24"/>
        </w:rPr>
        <w:t xml:space="preserve"> and</w:t>
      </w:r>
      <w:r w:rsidRPr="00DD4C90">
        <w:rPr>
          <w:color w:val="auto"/>
          <w:szCs w:val="24"/>
        </w:rPr>
        <w:t xml:space="preserve"> Democratic Services Officer (</w:t>
      </w:r>
      <w:r w:rsidR="00CE375B">
        <w:rPr>
          <w:color w:val="auto"/>
          <w:szCs w:val="24"/>
        </w:rPr>
        <w:t>R King</w:t>
      </w:r>
      <w:r w:rsidRPr="00DD4C90">
        <w:rPr>
          <w:color w:val="auto"/>
          <w:szCs w:val="24"/>
        </w:rPr>
        <w:t>)</w:t>
      </w:r>
    </w:p>
    <w:p w14:paraId="04D69531" w14:textId="37261D71" w:rsidR="00F63ACC" w:rsidRDefault="00F63ACC" w:rsidP="00294FAE">
      <w:pPr>
        <w:spacing w:after="0" w:line="240" w:lineRule="auto"/>
        <w:ind w:left="2160" w:right="11" w:hanging="2149"/>
        <w:rPr>
          <w:color w:val="auto"/>
          <w:szCs w:val="24"/>
        </w:rPr>
      </w:pPr>
    </w:p>
    <w:p w14:paraId="0C485AED" w14:textId="37C02511" w:rsidR="009F1AA3" w:rsidRDefault="009F1AA3" w:rsidP="00294FAE">
      <w:pPr>
        <w:pStyle w:val="Heading1"/>
      </w:pPr>
      <w:r w:rsidRPr="00C264D3">
        <w:rPr>
          <w:u w:val="none"/>
        </w:rPr>
        <w:t>1.</w:t>
      </w:r>
      <w:r w:rsidRPr="00C264D3">
        <w:rPr>
          <w:u w:val="none"/>
        </w:rPr>
        <w:tab/>
      </w:r>
      <w:r w:rsidRPr="009F1AA3">
        <w:t>Apologies</w:t>
      </w:r>
    </w:p>
    <w:p w14:paraId="4ED4DD0F" w14:textId="5C82A8E1" w:rsidR="009F1AA3" w:rsidRDefault="009F1AA3" w:rsidP="00294FAE">
      <w:pPr>
        <w:tabs>
          <w:tab w:val="left" w:pos="567"/>
        </w:tabs>
        <w:spacing w:after="0" w:line="240" w:lineRule="auto"/>
        <w:rPr>
          <w:szCs w:val="24"/>
        </w:rPr>
      </w:pPr>
    </w:p>
    <w:p w14:paraId="51C426F4" w14:textId="5D8BBBA1" w:rsidR="006F54FE" w:rsidRDefault="004D569A" w:rsidP="00153899">
      <w:pPr>
        <w:tabs>
          <w:tab w:val="left" w:pos="567"/>
        </w:tabs>
        <w:spacing w:after="0" w:line="240" w:lineRule="auto"/>
        <w:rPr>
          <w:szCs w:val="24"/>
        </w:rPr>
      </w:pPr>
      <w:r>
        <w:rPr>
          <w:szCs w:val="24"/>
        </w:rPr>
        <w:t>A</w:t>
      </w:r>
      <w:r w:rsidR="00AB5956">
        <w:rPr>
          <w:szCs w:val="24"/>
        </w:rPr>
        <w:t>polo</w:t>
      </w:r>
      <w:r w:rsidR="00050F01">
        <w:rPr>
          <w:szCs w:val="24"/>
        </w:rPr>
        <w:t>gies</w:t>
      </w:r>
      <w:r>
        <w:rPr>
          <w:szCs w:val="24"/>
        </w:rPr>
        <w:t xml:space="preserve"> </w:t>
      </w:r>
      <w:r w:rsidR="00104792">
        <w:rPr>
          <w:szCs w:val="24"/>
        </w:rPr>
        <w:t xml:space="preserve">were received from </w:t>
      </w:r>
      <w:r w:rsidR="00E66BF3">
        <w:rPr>
          <w:szCs w:val="24"/>
        </w:rPr>
        <w:t>Alderman Carson and Councillor Greer.</w:t>
      </w:r>
    </w:p>
    <w:p w14:paraId="472C74CF" w14:textId="77777777" w:rsidR="00153899" w:rsidRDefault="00153899" w:rsidP="00153899">
      <w:pPr>
        <w:tabs>
          <w:tab w:val="left" w:pos="567"/>
        </w:tabs>
        <w:spacing w:after="0" w:line="240" w:lineRule="auto"/>
        <w:rPr>
          <w:szCs w:val="24"/>
        </w:rPr>
      </w:pPr>
    </w:p>
    <w:p w14:paraId="1B95A438" w14:textId="78E5D0C5" w:rsidR="009F1AA3" w:rsidRPr="006F54FE" w:rsidRDefault="006F54FE" w:rsidP="00294FAE">
      <w:pPr>
        <w:tabs>
          <w:tab w:val="left" w:pos="567"/>
        </w:tabs>
        <w:spacing w:after="0" w:line="240" w:lineRule="auto"/>
        <w:rPr>
          <w:b/>
          <w:bCs/>
          <w:szCs w:val="24"/>
        </w:rPr>
      </w:pPr>
      <w:r w:rsidRPr="006F54FE">
        <w:rPr>
          <w:b/>
          <w:bCs/>
          <w:szCs w:val="24"/>
        </w:rPr>
        <w:t xml:space="preserve">NOTED. </w:t>
      </w:r>
      <w:r w:rsidR="00EB5AA3" w:rsidRPr="006F54FE">
        <w:rPr>
          <w:b/>
          <w:bCs/>
          <w:szCs w:val="24"/>
        </w:rPr>
        <w:t xml:space="preserve">  </w:t>
      </w:r>
    </w:p>
    <w:p w14:paraId="1527228E" w14:textId="77777777" w:rsidR="009F1AA3" w:rsidRDefault="009F1AA3" w:rsidP="00294FAE">
      <w:pPr>
        <w:tabs>
          <w:tab w:val="left" w:pos="567"/>
        </w:tabs>
        <w:spacing w:after="0" w:line="240" w:lineRule="auto"/>
        <w:rPr>
          <w:szCs w:val="24"/>
        </w:rPr>
      </w:pPr>
    </w:p>
    <w:p w14:paraId="573173AC" w14:textId="7073CD04" w:rsidR="009F1AA3" w:rsidRPr="009F1AA3" w:rsidRDefault="009F1AA3" w:rsidP="00294FAE">
      <w:pPr>
        <w:pStyle w:val="Heading1"/>
      </w:pPr>
      <w:r w:rsidRPr="00C264D3">
        <w:rPr>
          <w:u w:val="none"/>
        </w:rPr>
        <w:t>2.</w:t>
      </w:r>
      <w:r w:rsidRPr="00C264D3">
        <w:rPr>
          <w:u w:val="none"/>
        </w:rPr>
        <w:tab/>
      </w:r>
      <w:r w:rsidRPr="009F1AA3">
        <w:t>Declarations of Interest</w:t>
      </w:r>
    </w:p>
    <w:p w14:paraId="2DB02432" w14:textId="63F011EB" w:rsidR="009F1AA3" w:rsidRDefault="009F1AA3" w:rsidP="00294FAE">
      <w:pPr>
        <w:spacing w:after="0" w:line="240" w:lineRule="auto"/>
        <w:ind w:left="0"/>
        <w:rPr>
          <w:szCs w:val="24"/>
        </w:rPr>
      </w:pPr>
    </w:p>
    <w:p w14:paraId="674AA238" w14:textId="4B6760D8" w:rsidR="00981149" w:rsidRDefault="006F54FE" w:rsidP="00294FAE">
      <w:pPr>
        <w:spacing w:after="0" w:line="240" w:lineRule="auto"/>
        <w:ind w:left="0"/>
        <w:rPr>
          <w:szCs w:val="24"/>
        </w:rPr>
      </w:pPr>
      <w:r>
        <w:rPr>
          <w:szCs w:val="24"/>
        </w:rPr>
        <w:t xml:space="preserve">The Chair asked for Declarations of </w:t>
      </w:r>
      <w:r w:rsidR="00581C5E">
        <w:rPr>
          <w:szCs w:val="24"/>
        </w:rPr>
        <w:t>Interest</w:t>
      </w:r>
      <w:r w:rsidR="00CF3530">
        <w:rPr>
          <w:szCs w:val="24"/>
        </w:rPr>
        <w:t xml:space="preserve"> </w:t>
      </w:r>
      <w:r w:rsidR="00104792">
        <w:rPr>
          <w:szCs w:val="24"/>
        </w:rPr>
        <w:t xml:space="preserve">and none were indicated.  </w:t>
      </w:r>
    </w:p>
    <w:p w14:paraId="2BF8C050" w14:textId="77C65891" w:rsidR="00981149" w:rsidRDefault="00981149" w:rsidP="00294FAE">
      <w:pPr>
        <w:spacing w:after="0" w:line="240" w:lineRule="auto"/>
        <w:ind w:left="0"/>
        <w:rPr>
          <w:szCs w:val="24"/>
        </w:rPr>
      </w:pPr>
    </w:p>
    <w:p w14:paraId="68D64461" w14:textId="39FC147A" w:rsidR="00FE78CC" w:rsidRPr="00FE78CC" w:rsidRDefault="00FE78CC" w:rsidP="00294FAE">
      <w:pPr>
        <w:spacing w:after="0" w:line="240" w:lineRule="auto"/>
        <w:ind w:left="0"/>
        <w:rPr>
          <w:b/>
          <w:bCs/>
          <w:szCs w:val="24"/>
        </w:rPr>
      </w:pPr>
      <w:r w:rsidRPr="00FE78CC">
        <w:rPr>
          <w:b/>
          <w:bCs/>
          <w:szCs w:val="24"/>
        </w:rPr>
        <w:t xml:space="preserve">NOTED. </w:t>
      </w:r>
    </w:p>
    <w:p w14:paraId="14957EB8" w14:textId="77777777" w:rsidR="00C72D29" w:rsidRPr="009F1AA3" w:rsidRDefault="00C72D29" w:rsidP="00294FAE">
      <w:pPr>
        <w:spacing w:after="0" w:line="240" w:lineRule="auto"/>
        <w:ind w:left="0"/>
        <w:rPr>
          <w:szCs w:val="24"/>
        </w:rPr>
      </w:pPr>
    </w:p>
    <w:p w14:paraId="4C3C982C" w14:textId="77777777" w:rsidR="00591D87" w:rsidRDefault="00591D87" w:rsidP="00294FAE">
      <w:pPr>
        <w:spacing w:after="0" w:line="240" w:lineRule="auto"/>
        <w:ind w:left="0" w:firstLine="0"/>
        <w:rPr>
          <w:rFonts w:eastAsia="Calibri"/>
          <w:szCs w:val="24"/>
        </w:rPr>
      </w:pPr>
    </w:p>
    <w:p w14:paraId="1A4FBBB0" w14:textId="2B00B343" w:rsidR="009F1AA3" w:rsidRPr="00EC0A84" w:rsidRDefault="00153899" w:rsidP="00EC0A84">
      <w:pPr>
        <w:pStyle w:val="Heading1"/>
        <w:ind w:left="720" w:hanging="720"/>
      </w:pPr>
      <w:bookmarkStart w:id="0" w:name="_Hlk118712579"/>
      <w:bookmarkStart w:id="1" w:name="_Hlk117849619"/>
      <w:r w:rsidRPr="00C264D3">
        <w:rPr>
          <w:u w:val="none"/>
        </w:rPr>
        <w:t>3</w:t>
      </w:r>
      <w:r w:rsidR="009F1AA3" w:rsidRPr="00C264D3">
        <w:rPr>
          <w:u w:val="none"/>
        </w:rPr>
        <w:t>.</w:t>
      </w:r>
      <w:r w:rsidR="009F1AA3" w:rsidRPr="00C264D3">
        <w:rPr>
          <w:u w:val="none"/>
        </w:rPr>
        <w:tab/>
      </w:r>
      <w:r w:rsidRPr="00153899">
        <w:t>Environment Directorate Budgetary Control Report – month 6 to 30 September 2022</w:t>
      </w:r>
      <w:r w:rsidR="00EC0A84">
        <w:t xml:space="preserve"> (FILE FIN45 / 40012)</w:t>
      </w:r>
    </w:p>
    <w:bookmarkEnd w:id="0"/>
    <w:p w14:paraId="2888C177" w14:textId="77777777" w:rsidR="00365F80" w:rsidRDefault="00365F80" w:rsidP="00DB4004">
      <w:pPr>
        <w:rPr>
          <w:szCs w:val="24"/>
        </w:rPr>
      </w:pPr>
    </w:p>
    <w:p w14:paraId="4096A0F6" w14:textId="31747C9B" w:rsidR="00EC0A84" w:rsidRPr="00EC0A84" w:rsidRDefault="00AB5956" w:rsidP="00EC0A84">
      <w:pPr>
        <w:spacing w:after="0" w:line="240" w:lineRule="auto"/>
        <w:rPr>
          <w:rFonts w:eastAsia="Calibri"/>
          <w:szCs w:val="24"/>
        </w:rPr>
      </w:pPr>
      <w:r>
        <w:rPr>
          <w:rFonts w:eastAsia="Calibri"/>
          <w:szCs w:val="24"/>
        </w:rPr>
        <w:t xml:space="preserve">PREVIOUSLY CIRCULATED:- Report </w:t>
      </w:r>
      <w:r w:rsidR="00D64773">
        <w:rPr>
          <w:rFonts w:eastAsia="Calibri"/>
          <w:szCs w:val="24"/>
        </w:rPr>
        <w:t xml:space="preserve">from the Director of Environment </w:t>
      </w:r>
      <w:r w:rsidR="00F22407">
        <w:rPr>
          <w:rFonts w:eastAsia="Calibri"/>
          <w:szCs w:val="24"/>
        </w:rPr>
        <w:t xml:space="preserve">detailing that </w:t>
      </w:r>
      <w:r w:rsidR="00EC0A84">
        <w:rPr>
          <w:rFonts w:eastAsia="Calibri"/>
          <w:szCs w:val="24"/>
        </w:rPr>
        <w:t>the</w:t>
      </w:r>
      <w:r w:rsidR="00EC0A84" w:rsidRPr="00EC0A84">
        <w:rPr>
          <w:rFonts w:eastAsia="Calibri"/>
          <w:szCs w:val="24"/>
        </w:rPr>
        <w:t xml:space="preserve"> Environment Directorate’s Budgetary Control Report covered the 6-month period 1 April 2022 to 30 September 2022. The net cost of the Directorate was showing an overspend of £925k (7.7%) – box A on page 3. However, £614k of this was due to covid, electricity, gas and vehicle fuel pressures which were mitigated in the Council’s Budgetary Control Report (presented to the Corporate Services Committee) by Ear-Marked Fund transfers. </w:t>
      </w:r>
    </w:p>
    <w:p w14:paraId="6DA9DCE6" w14:textId="77777777" w:rsidR="00EC0A84" w:rsidRPr="00EC0A84" w:rsidRDefault="00EC0A84" w:rsidP="00EC0A84">
      <w:pPr>
        <w:spacing w:after="0" w:line="240" w:lineRule="auto"/>
        <w:rPr>
          <w:rFonts w:eastAsia="Calibri"/>
          <w:szCs w:val="24"/>
        </w:rPr>
      </w:pPr>
    </w:p>
    <w:p w14:paraId="288C5419" w14:textId="77777777" w:rsidR="00EC0A84" w:rsidRPr="00EC0A84" w:rsidRDefault="00EC0A84" w:rsidP="00EC0A84">
      <w:pPr>
        <w:spacing w:after="0" w:line="240" w:lineRule="auto"/>
        <w:rPr>
          <w:rFonts w:eastAsia="Calibri"/>
          <w:b/>
          <w:szCs w:val="24"/>
        </w:rPr>
      </w:pPr>
      <w:r w:rsidRPr="00EC0A84">
        <w:rPr>
          <w:rFonts w:eastAsia="Calibri"/>
          <w:b/>
          <w:szCs w:val="24"/>
        </w:rPr>
        <w:lastRenderedPageBreak/>
        <w:t>Explanation of Variance</w:t>
      </w:r>
    </w:p>
    <w:p w14:paraId="2A831654" w14:textId="77777777" w:rsidR="00EC0A84" w:rsidRPr="00EC0A84" w:rsidRDefault="00EC0A84" w:rsidP="00EC0A84">
      <w:pPr>
        <w:spacing w:after="0" w:line="240" w:lineRule="auto"/>
        <w:rPr>
          <w:rFonts w:eastAsia="Calibri"/>
          <w:b/>
          <w:szCs w:val="24"/>
        </w:rPr>
      </w:pPr>
    </w:p>
    <w:p w14:paraId="01FC66CA" w14:textId="77777777" w:rsidR="00EC0A84" w:rsidRPr="00EC0A84" w:rsidRDefault="00EC0A84" w:rsidP="00EC0A84">
      <w:pPr>
        <w:spacing w:after="0" w:line="240" w:lineRule="auto"/>
        <w:rPr>
          <w:rFonts w:eastAsia="Calibri"/>
          <w:szCs w:val="24"/>
        </w:rPr>
      </w:pPr>
      <w:r w:rsidRPr="00EC0A84">
        <w:rPr>
          <w:rFonts w:eastAsia="Calibri"/>
          <w:szCs w:val="24"/>
        </w:rPr>
        <w:t xml:space="preserve">Environment’s budget performance was further analysed on pages 4-6 into 3 key areas: </w:t>
      </w:r>
    </w:p>
    <w:p w14:paraId="4B0017CB" w14:textId="77777777" w:rsidR="00EC0A84" w:rsidRPr="00EC0A84" w:rsidRDefault="00EC0A84" w:rsidP="00EC0A84">
      <w:pPr>
        <w:spacing w:after="0" w:line="240" w:lineRule="auto"/>
        <w:rPr>
          <w:rFonts w:eastAsia="Calibri"/>
          <w:szCs w:val="24"/>
        </w:rPr>
      </w:pPr>
    </w:p>
    <w:tbl>
      <w:tblPr>
        <w:tblStyle w:val="TableGrid"/>
        <w:tblW w:w="0" w:type="auto"/>
        <w:tblLook w:val="04A0" w:firstRow="1" w:lastRow="0" w:firstColumn="1" w:lastColumn="0" w:noHBand="0" w:noVBand="1"/>
      </w:tblPr>
      <w:tblGrid>
        <w:gridCol w:w="1413"/>
        <w:gridCol w:w="3969"/>
        <w:gridCol w:w="2530"/>
        <w:gridCol w:w="931"/>
      </w:tblGrid>
      <w:tr w:rsidR="00EC0A84" w:rsidRPr="00EC0A84" w14:paraId="35BF34C9" w14:textId="77777777" w:rsidTr="00BC1ACF">
        <w:trPr>
          <w:trHeight w:val="397"/>
        </w:trPr>
        <w:tc>
          <w:tcPr>
            <w:tcW w:w="1413" w:type="dxa"/>
            <w:vAlign w:val="center"/>
          </w:tcPr>
          <w:p w14:paraId="5D9D9A5E" w14:textId="77777777" w:rsidR="00EC0A84" w:rsidRPr="00EC0A84" w:rsidRDefault="00EC0A84" w:rsidP="00EC0A84">
            <w:pPr>
              <w:spacing w:after="0" w:line="240" w:lineRule="auto"/>
              <w:rPr>
                <w:rFonts w:eastAsia="Calibri"/>
                <w:b/>
              </w:rPr>
            </w:pPr>
            <w:r w:rsidRPr="00EC0A84">
              <w:rPr>
                <w:rFonts w:eastAsia="Calibri"/>
                <w:b/>
              </w:rPr>
              <w:t>Report</w:t>
            </w:r>
          </w:p>
        </w:tc>
        <w:tc>
          <w:tcPr>
            <w:tcW w:w="3969" w:type="dxa"/>
            <w:vAlign w:val="center"/>
          </w:tcPr>
          <w:p w14:paraId="0237EDE8" w14:textId="77777777" w:rsidR="00EC0A84" w:rsidRPr="00EC0A84" w:rsidRDefault="00EC0A84" w:rsidP="00EC0A84">
            <w:pPr>
              <w:spacing w:after="0" w:line="240" w:lineRule="auto"/>
              <w:rPr>
                <w:rFonts w:eastAsia="Calibri"/>
                <w:b/>
              </w:rPr>
            </w:pPr>
            <w:r w:rsidRPr="00EC0A84">
              <w:rPr>
                <w:rFonts w:eastAsia="Calibri"/>
                <w:b/>
              </w:rPr>
              <w:t>Type</w:t>
            </w:r>
          </w:p>
        </w:tc>
        <w:tc>
          <w:tcPr>
            <w:tcW w:w="2530" w:type="dxa"/>
            <w:vAlign w:val="center"/>
          </w:tcPr>
          <w:p w14:paraId="36AE8405" w14:textId="77777777" w:rsidR="00EC0A84" w:rsidRPr="00EC0A84" w:rsidRDefault="00EC0A84" w:rsidP="00EC0A84">
            <w:pPr>
              <w:spacing w:after="0" w:line="240" w:lineRule="auto"/>
              <w:rPr>
                <w:rFonts w:eastAsia="Calibri"/>
                <w:b/>
              </w:rPr>
            </w:pPr>
            <w:r w:rsidRPr="00EC0A84">
              <w:rPr>
                <w:rFonts w:eastAsia="Calibri"/>
                <w:b/>
              </w:rPr>
              <w:t>Variance</w:t>
            </w:r>
          </w:p>
        </w:tc>
        <w:tc>
          <w:tcPr>
            <w:tcW w:w="931" w:type="dxa"/>
            <w:vAlign w:val="center"/>
          </w:tcPr>
          <w:p w14:paraId="600B8A22" w14:textId="77777777" w:rsidR="00EC0A84" w:rsidRPr="00EC0A84" w:rsidRDefault="00EC0A84" w:rsidP="00EC0A84">
            <w:pPr>
              <w:spacing w:after="0" w:line="240" w:lineRule="auto"/>
              <w:rPr>
                <w:rFonts w:eastAsia="Calibri"/>
                <w:b/>
              </w:rPr>
            </w:pPr>
            <w:r w:rsidRPr="00EC0A84">
              <w:rPr>
                <w:rFonts w:eastAsia="Calibri"/>
                <w:b/>
              </w:rPr>
              <w:t>Page</w:t>
            </w:r>
          </w:p>
        </w:tc>
      </w:tr>
      <w:tr w:rsidR="00EC0A84" w:rsidRPr="00EC0A84" w14:paraId="222769AD" w14:textId="77777777" w:rsidTr="00BC1ACF">
        <w:trPr>
          <w:trHeight w:val="397"/>
        </w:trPr>
        <w:tc>
          <w:tcPr>
            <w:tcW w:w="1413" w:type="dxa"/>
            <w:shd w:val="clear" w:color="auto" w:fill="FFFF99"/>
            <w:vAlign w:val="center"/>
          </w:tcPr>
          <w:p w14:paraId="0358D538" w14:textId="77777777" w:rsidR="00EC0A84" w:rsidRPr="00EC0A84" w:rsidRDefault="00EC0A84" w:rsidP="00EC0A84">
            <w:pPr>
              <w:spacing w:after="0" w:line="240" w:lineRule="auto"/>
              <w:rPr>
                <w:rFonts w:eastAsia="Calibri"/>
                <w:b/>
              </w:rPr>
            </w:pPr>
            <w:r w:rsidRPr="00EC0A84">
              <w:rPr>
                <w:rFonts w:eastAsia="Calibri"/>
                <w:b/>
              </w:rPr>
              <w:t>Report 2</w:t>
            </w:r>
          </w:p>
        </w:tc>
        <w:tc>
          <w:tcPr>
            <w:tcW w:w="3969" w:type="dxa"/>
            <w:shd w:val="clear" w:color="auto" w:fill="FFFF99"/>
            <w:vAlign w:val="center"/>
          </w:tcPr>
          <w:p w14:paraId="01F882CA" w14:textId="77777777" w:rsidR="00EC0A84" w:rsidRPr="00EC0A84" w:rsidRDefault="00EC0A84" w:rsidP="00EC0A84">
            <w:pPr>
              <w:spacing w:after="0" w:line="240" w:lineRule="auto"/>
              <w:rPr>
                <w:rFonts w:eastAsia="Calibri"/>
              </w:rPr>
            </w:pPr>
            <w:r w:rsidRPr="00EC0A84">
              <w:rPr>
                <w:rFonts w:eastAsia="Calibri"/>
              </w:rPr>
              <w:t>Payroll Expenditure</w:t>
            </w:r>
          </w:p>
        </w:tc>
        <w:tc>
          <w:tcPr>
            <w:tcW w:w="2530" w:type="dxa"/>
            <w:shd w:val="clear" w:color="auto" w:fill="FFFF99"/>
            <w:vAlign w:val="center"/>
          </w:tcPr>
          <w:p w14:paraId="35BE30C3" w14:textId="77777777" w:rsidR="00EC0A84" w:rsidRPr="00EC0A84" w:rsidRDefault="00EC0A84" w:rsidP="00EC0A84">
            <w:pPr>
              <w:spacing w:after="0" w:line="240" w:lineRule="auto"/>
              <w:rPr>
                <w:rFonts w:eastAsia="Calibri"/>
              </w:rPr>
            </w:pPr>
            <w:r w:rsidRPr="00EC0A84">
              <w:rPr>
                <w:rFonts w:eastAsia="Calibri"/>
              </w:rPr>
              <w:t>£312k adverse</w:t>
            </w:r>
          </w:p>
        </w:tc>
        <w:tc>
          <w:tcPr>
            <w:tcW w:w="931" w:type="dxa"/>
            <w:shd w:val="clear" w:color="auto" w:fill="FFFF99"/>
            <w:vAlign w:val="center"/>
          </w:tcPr>
          <w:p w14:paraId="5C617737" w14:textId="77777777" w:rsidR="00EC0A84" w:rsidRPr="00EC0A84" w:rsidRDefault="00EC0A84" w:rsidP="00EC0A84">
            <w:pPr>
              <w:spacing w:after="0" w:line="240" w:lineRule="auto"/>
              <w:rPr>
                <w:rFonts w:eastAsia="Calibri"/>
                <w:b/>
              </w:rPr>
            </w:pPr>
            <w:r w:rsidRPr="00EC0A84">
              <w:rPr>
                <w:rFonts w:eastAsia="Calibri"/>
                <w:b/>
              </w:rPr>
              <w:t>3</w:t>
            </w:r>
          </w:p>
        </w:tc>
      </w:tr>
      <w:tr w:rsidR="00EC0A84" w:rsidRPr="00EC0A84" w14:paraId="3B2A6FC1" w14:textId="77777777" w:rsidTr="00BC1ACF">
        <w:trPr>
          <w:trHeight w:val="397"/>
        </w:trPr>
        <w:tc>
          <w:tcPr>
            <w:tcW w:w="1413" w:type="dxa"/>
            <w:shd w:val="clear" w:color="auto" w:fill="C5E0B3" w:themeFill="accent6" w:themeFillTint="66"/>
            <w:vAlign w:val="center"/>
          </w:tcPr>
          <w:p w14:paraId="5D0DCC84" w14:textId="77777777" w:rsidR="00EC0A84" w:rsidRPr="00EC0A84" w:rsidRDefault="00EC0A84" w:rsidP="00EC0A84">
            <w:pPr>
              <w:spacing w:after="0" w:line="240" w:lineRule="auto"/>
              <w:rPr>
                <w:rFonts w:eastAsia="Calibri"/>
                <w:b/>
              </w:rPr>
            </w:pPr>
            <w:r w:rsidRPr="00EC0A84">
              <w:rPr>
                <w:rFonts w:eastAsia="Calibri"/>
                <w:b/>
              </w:rPr>
              <w:t>Report 3</w:t>
            </w:r>
          </w:p>
        </w:tc>
        <w:tc>
          <w:tcPr>
            <w:tcW w:w="3969" w:type="dxa"/>
            <w:shd w:val="clear" w:color="auto" w:fill="C5E0B3" w:themeFill="accent6" w:themeFillTint="66"/>
            <w:vAlign w:val="center"/>
          </w:tcPr>
          <w:p w14:paraId="756BC668" w14:textId="77777777" w:rsidR="00EC0A84" w:rsidRPr="00EC0A84" w:rsidRDefault="00EC0A84" w:rsidP="00EC0A84">
            <w:pPr>
              <w:spacing w:after="0" w:line="240" w:lineRule="auto"/>
              <w:rPr>
                <w:rFonts w:eastAsia="Calibri"/>
              </w:rPr>
            </w:pPr>
            <w:r w:rsidRPr="00EC0A84">
              <w:rPr>
                <w:rFonts w:eastAsia="Calibri"/>
              </w:rPr>
              <w:t>Goods &amp; Services Expenditure</w:t>
            </w:r>
          </w:p>
        </w:tc>
        <w:tc>
          <w:tcPr>
            <w:tcW w:w="2530" w:type="dxa"/>
            <w:shd w:val="clear" w:color="auto" w:fill="C5E0B3" w:themeFill="accent6" w:themeFillTint="66"/>
            <w:vAlign w:val="center"/>
          </w:tcPr>
          <w:p w14:paraId="42A7778C" w14:textId="77777777" w:rsidR="00EC0A84" w:rsidRPr="00EC0A84" w:rsidRDefault="00EC0A84" w:rsidP="00EC0A84">
            <w:pPr>
              <w:spacing w:after="0" w:line="240" w:lineRule="auto"/>
              <w:rPr>
                <w:rFonts w:eastAsia="Calibri"/>
              </w:rPr>
            </w:pPr>
            <w:r w:rsidRPr="00EC0A84">
              <w:rPr>
                <w:rFonts w:eastAsia="Calibri"/>
              </w:rPr>
              <w:t>£785k adverse</w:t>
            </w:r>
          </w:p>
        </w:tc>
        <w:tc>
          <w:tcPr>
            <w:tcW w:w="931" w:type="dxa"/>
            <w:shd w:val="clear" w:color="auto" w:fill="C5E0B3" w:themeFill="accent6" w:themeFillTint="66"/>
            <w:vAlign w:val="center"/>
          </w:tcPr>
          <w:p w14:paraId="2DA201C3" w14:textId="77777777" w:rsidR="00EC0A84" w:rsidRPr="00EC0A84" w:rsidRDefault="00EC0A84" w:rsidP="00EC0A84">
            <w:pPr>
              <w:spacing w:after="0" w:line="240" w:lineRule="auto"/>
              <w:rPr>
                <w:rFonts w:eastAsia="Calibri"/>
                <w:b/>
              </w:rPr>
            </w:pPr>
            <w:r w:rsidRPr="00EC0A84">
              <w:rPr>
                <w:rFonts w:eastAsia="Calibri"/>
                <w:b/>
              </w:rPr>
              <w:t>3</w:t>
            </w:r>
          </w:p>
        </w:tc>
      </w:tr>
      <w:tr w:rsidR="00EC0A84" w:rsidRPr="00EC0A84" w14:paraId="2C536400" w14:textId="77777777" w:rsidTr="00BC1ACF">
        <w:trPr>
          <w:trHeight w:val="397"/>
        </w:trPr>
        <w:tc>
          <w:tcPr>
            <w:tcW w:w="1413" w:type="dxa"/>
            <w:shd w:val="clear" w:color="auto" w:fill="9CC2E5" w:themeFill="accent5" w:themeFillTint="99"/>
            <w:vAlign w:val="center"/>
          </w:tcPr>
          <w:p w14:paraId="660E17C0" w14:textId="77777777" w:rsidR="00EC0A84" w:rsidRPr="00EC0A84" w:rsidRDefault="00EC0A84" w:rsidP="00EC0A84">
            <w:pPr>
              <w:spacing w:after="0" w:line="240" w:lineRule="auto"/>
              <w:rPr>
                <w:rFonts w:eastAsia="Calibri"/>
                <w:b/>
              </w:rPr>
            </w:pPr>
            <w:r w:rsidRPr="00EC0A84">
              <w:rPr>
                <w:rFonts w:eastAsia="Calibri"/>
                <w:b/>
              </w:rPr>
              <w:t>Report 4</w:t>
            </w:r>
          </w:p>
        </w:tc>
        <w:tc>
          <w:tcPr>
            <w:tcW w:w="3969" w:type="dxa"/>
            <w:shd w:val="clear" w:color="auto" w:fill="9CC2E5" w:themeFill="accent5" w:themeFillTint="99"/>
            <w:vAlign w:val="center"/>
          </w:tcPr>
          <w:p w14:paraId="45B21C62" w14:textId="77777777" w:rsidR="00EC0A84" w:rsidRPr="00EC0A84" w:rsidRDefault="00EC0A84" w:rsidP="00EC0A84">
            <w:pPr>
              <w:spacing w:after="0" w:line="240" w:lineRule="auto"/>
              <w:rPr>
                <w:rFonts w:eastAsia="Calibri"/>
              </w:rPr>
            </w:pPr>
            <w:r w:rsidRPr="00EC0A84">
              <w:rPr>
                <w:rFonts w:eastAsia="Calibri"/>
              </w:rPr>
              <w:t>Income</w:t>
            </w:r>
          </w:p>
        </w:tc>
        <w:tc>
          <w:tcPr>
            <w:tcW w:w="2530" w:type="dxa"/>
            <w:shd w:val="clear" w:color="auto" w:fill="9CC2E5" w:themeFill="accent5" w:themeFillTint="99"/>
            <w:vAlign w:val="center"/>
          </w:tcPr>
          <w:p w14:paraId="5CF7AA33" w14:textId="77777777" w:rsidR="00EC0A84" w:rsidRPr="00EC0A84" w:rsidRDefault="00EC0A84" w:rsidP="00EC0A84">
            <w:pPr>
              <w:spacing w:after="0" w:line="240" w:lineRule="auto"/>
              <w:rPr>
                <w:rFonts w:eastAsia="Calibri"/>
              </w:rPr>
            </w:pPr>
            <w:r w:rsidRPr="00EC0A84">
              <w:rPr>
                <w:rFonts w:eastAsia="Calibri"/>
              </w:rPr>
              <w:t>£172k favourable</w:t>
            </w:r>
          </w:p>
        </w:tc>
        <w:tc>
          <w:tcPr>
            <w:tcW w:w="931" w:type="dxa"/>
            <w:shd w:val="clear" w:color="auto" w:fill="9CC2E5" w:themeFill="accent5" w:themeFillTint="99"/>
            <w:vAlign w:val="center"/>
          </w:tcPr>
          <w:p w14:paraId="24495520" w14:textId="77777777" w:rsidR="00EC0A84" w:rsidRPr="00EC0A84" w:rsidRDefault="00EC0A84" w:rsidP="00EC0A84">
            <w:pPr>
              <w:spacing w:after="0" w:line="240" w:lineRule="auto"/>
              <w:rPr>
                <w:rFonts w:eastAsia="Calibri"/>
                <w:b/>
              </w:rPr>
            </w:pPr>
            <w:r w:rsidRPr="00EC0A84">
              <w:rPr>
                <w:rFonts w:eastAsia="Calibri"/>
                <w:b/>
              </w:rPr>
              <w:t>3</w:t>
            </w:r>
          </w:p>
        </w:tc>
      </w:tr>
    </w:tbl>
    <w:p w14:paraId="16301065" w14:textId="77777777" w:rsidR="00EC0A84" w:rsidRPr="00EC0A84" w:rsidRDefault="00EC0A84" w:rsidP="00EC0A84">
      <w:pPr>
        <w:spacing w:after="0" w:line="240" w:lineRule="auto"/>
        <w:rPr>
          <w:rFonts w:eastAsia="Calibri"/>
          <w:szCs w:val="24"/>
        </w:rPr>
      </w:pPr>
    </w:p>
    <w:p w14:paraId="6FD0B6A6" w14:textId="77777777" w:rsidR="00EC0A84" w:rsidRPr="00EC0A84" w:rsidRDefault="00EC0A84" w:rsidP="00EC0A84">
      <w:pPr>
        <w:spacing w:after="0" w:line="240" w:lineRule="auto"/>
        <w:rPr>
          <w:rFonts w:eastAsia="Calibri"/>
          <w:b/>
          <w:szCs w:val="24"/>
        </w:rPr>
      </w:pPr>
      <w:r w:rsidRPr="00EC0A84">
        <w:rPr>
          <w:rFonts w:eastAsia="Calibri"/>
          <w:b/>
          <w:szCs w:val="24"/>
        </w:rPr>
        <w:t>Explanation of Variance</w:t>
      </w:r>
    </w:p>
    <w:p w14:paraId="34FBF91D" w14:textId="77777777" w:rsidR="00EC0A84" w:rsidRPr="00EC0A84" w:rsidRDefault="00EC0A84" w:rsidP="00EC0A84">
      <w:pPr>
        <w:spacing w:after="0" w:line="240" w:lineRule="auto"/>
        <w:rPr>
          <w:rFonts w:eastAsia="Calibri"/>
          <w:szCs w:val="24"/>
        </w:rPr>
      </w:pPr>
      <w:r w:rsidRPr="00EC0A84">
        <w:rPr>
          <w:rFonts w:eastAsia="Calibri"/>
          <w:szCs w:val="24"/>
        </w:rPr>
        <w:t xml:space="preserve">The Environment Directorate’s overall variance could be summarised by the following table:- </w:t>
      </w:r>
    </w:p>
    <w:p w14:paraId="41909C49" w14:textId="77777777" w:rsidR="00EC0A84" w:rsidRPr="00EC0A84" w:rsidRDefault="00EC0A84" w:rsidP="00EC0A84">
      <w:pPr>
        <w:spacing w:after="0" w:line="240" w:lineRule="auto"/>
        <w:rPr>
          <w:rFonts w:eastAsia="Calibri"/>
          <w:szCs w:val="24"/>
        </w:rPr>
      </w:pPr>
    </w:p>
    <w:tbl>
      <w:tblPr>
        <w:tblStyle w:val="GridTable4-Accent5"/>
        <w:tblW w:w="9051" w:type="dxa"/>
        <w:tblLayout w:type="fixed"/>
        <w:tblLook w:val="04A0" w:firstRow="1" w:lastRow="0" w:firstColumn="1" w:lastColumn="0" w:noHBand="0" w:noVBand="1"/>
      </w:tblPr>
      <w:tblGrid>
        <w:gridCol w:w="2701"/>
        <w:gridCol w:w="1361"/>
        <w:gridCol w:w="4989"/>
      </w:tblGrid>
      <w:tr w:rsidR="00EC0A84" w:rsidRPr="00EC0A84" w14:paraId="1352BABB" w14:textId="77777777" w:rsidTr="00BC1ACF">
        <w:trPr>
          <w:cnfStyle w:val="100000000000" w:firstRow="1" w:lastRow="0" w:firstColumn="0" w:lastColumn="0" w:oddVBand="0" w:evenVBand="0" w:oddHBand="0" w:evenHBand="0" w:firstRowFirstColumn="0" w:firstRowLastColumn="0" w:lastRowFirstColumn="0" w:lastRowLastColumn="0"/>
          <w:trHeight w:val="590"/>
          <w:tblHeader/>
        </w:trPr>
        <w:tc>
          <w:tcPr>
            <w:cnfStyle w:val="001000000000" w:firstRow="0" w:lastRow="0" w:firstColumn="1" w:lastColumn="0" w:oddVBand="0" w:evenVBand="0" w:oddHBand="0" w:evenHBand="0" w:firstRowFirstColumn="0" w:firstRowLastColumn="0" w:lastRowFirstColumn="0" w:lastRowLastColumn="0"/>
            <w:tcW w:w="2701" w:type="dxa"/>
          </w:tcPr>
          <w:p w14:paraId="63C872AF" w14:textId="77777777" w:rsidR="00EC0A84" w:rsidRPr="00EC0A84" w:rsidRDefault="00EC0A84" w:rsidP="00EC0A84">
            <w:pPr>
              <w:spacing w:after="0" w:line="240" w:lineRule="auto"/>
              <w:rPr>
                <w:rFonts w:eastAsia="Calibri"/>
                <w:szCs w:val="24"/>
              </w:rPr>
            </w:pPr>
            <w:r w:rsidRPr="00EC0A84">
              <w:rPr>
                <w:rFonts w:eastAsia="Calibri"/>
                <w:szCs w:val="24"/>
              </w:rPr>
              <w:t>Type</w:t>
            </w:r>
          </w:p>
        </w:tc>
        <w:tc>
          <w:tcPr>
            <w:tcW w:w="1361" w:type="dxa"/>
            <w:vAlign w:val="center"/>
          </w:tcPr>
          <w:p w14:paraId="1BE49F6F" w14:textId="77777777" w:rsidR="00EC0A84" w:rsidRPr="00EC0A84" w:rsidRDefault="00EC0A84" w:rsidP="00EC0A84">
            <w:pPr>
              <w:spacing w:after="0" w:line="240" w:lineRule="auto"/>
              <w:cnfStyle w:val="100000000000" w:firstRow="1" w:lastRow="0" w:firstColumn="0" w:lastColumn="0" w:oddVBand="0" w:evenVBand="0" w:oddHBand="0" w:evenHBand="0" w:firstRowFirstColumn="0" w:firstRowLastColumn="0" w:lastRowFirstColumn="0" w:lastRowLastColumn="0"/>
              <w:rPr>
                <w:rFonts w:eastAsia="Calibri"/>
                <w:szCs w:val="24"/>
              </w:rPr>
            </w:pPr>
            <w:r w:rsidRPr="00EC0A84">
              <w:rPr>
                <w:rFonts w:eastAsia="Calibri"/>
                <w:szCs w:val="24"/>
              </w:rPr>
              <w:t>Variance</w:t>
            </w:r>
          </w:p>
          <w:p w14:paraId="2CC52278" w14:textId="77777777" w:rsidR="00EC0A84" w:rsidRPr="00EC0A84" w:rsidRDefault="00EC0A84" w:rsidP="00EC0A84">
            <w:pPr>
              <w:spacing w:after="0" w:line="240" w:lineRule="auto"/>
              <w:cnfStyle w:val="100000000000" w:firstRow="1" w:lastRow="0" w:firstColumn="0" w:lastColumn="0" w:oddVBand="0" w:evenVBand="0" w:oddHBand="0" w:evenHBand="0" w:firstRowFirstColumn="0" w:firstRowLastColumn="0" w:lastRowFirstColumn="0" w:lastRowLastColumn="0"/>
              <w:rPr>
                <w:rFonts w:eastAsia="Calibri"/>
                <w:szCs w:val="24"/>
              </w:rPr>
            </w:pPr>
            <w:r w:rsidRPr="00EC0A84">
              <w:rPr>
                <w:rFonts w:eastAsia="Calibri"/>
                <w:szCs w:val="24"/>
              </w:rPr>
              <w:t>£’000</w:t>
            </w:r>
          </w:p>
        </w:tc>
        <w:tc>
          <w:tcPr>
            <w:tcW w:w="4989" w:type="dxa"/>
          </w:tcPr>
          <w:p w14:paraId="21C81177" w14:textId="77777777" w:rsidR="00EC0A84" w:rsidRPr="00EC0A84" w:rsidRDefault="00EC0A84" w:rsidP="00EC0A84">
            <w:pPr>
              <w:spacing w:after="0" w:line="240" w:lineRule="auto"/>
              <w:cnfStyle w:val="100000000000" w:firstRow="1" w:lastRow="0" w:firstColumn="0" w:lastColumn="0" w:oddVBand="0" w:evenVBand="0" w:oddHBand="0" w:evenHBand="0" w:firstRowFirstColumn="0" w:firstRowLastColumn="0" w:lastRowFirstColumn="0" w:lastRowLastColumn="0"/>
              <w:rPr>
                <w:rFonts w:eastAsia="Calibri"/>
                <w:szCs w:val="24"/>
              </w:rPr>
            </w:pPr>
            <w:r w:rsidRPr="00EC0A84">
              <w:rPr>
                <w:rFonts w:eastAsia="Calibri"/>
                <w:szCs w:val="24"/>
              </w:rPr>
              <w:t>Comment</w:t>
            </w:r>
          </w:p>
        </w:tc>
      </w:tr>
      <w:tr w:rsidR="00EC0A84" w:rsidRPr="00EC0A84" w14:paraId="4EF5E5C1" w14:textId="77777777" w:rsidTr="00BC1ACF">
        <w:trPr>
          <w:cnfStyle w:val="000000100000" w:firstRow="0" w:lastRow="0" w:firstColumn="0" w:lastColumn="0" w:oddVBand="0" w:evenVBand="0" w:oddHBand="1" w:evenHBand="0" w:firstRowFirstColumn="0" w:firstRowLastColumn="0" w:lastRowFirstColumn="0" w:lastRowLastColumn="0"/>
          <w:trHeight w:val="607"/>
        </w:trPr>
        <w:tc>
          <w:tcPr>
            <w:cnfStyle w:val="001000000000" w:firstRow="0" w:lastRow="0" w:firstColumn="1" w:lastColumn="0" w:oddVBand="0" w:evenVBand="0" w:oddHBand="0" w:evenHBand="0" w:firstRowFirstColumn="0" w:firstRowLastColumn="0" w:lastRowFirstColumn="0" w:lastRowLastColumn="0"/>
            <w:tcW w:w="2701" w:type="dxa"/>
            <w:vAlign w:val="center"/>
          </w:tcPr>
          <w:p w14:paraId="67D249C2" w14:textId="77777777" w:rsidR="00EC0A84" w:rsidRPr="00EC0A84" w:rsidRDefault="00EC0A84" w:rsidP="00EC0A84">
            <w:pPr>
              <w:spacing w:after="0" w:line="240" w:lineRule="auto"/>
              <w:rPr>
                <w:rFonts w:eastAsia="Calibri"/>
                <w:szCs w:val="24"/>
              </w:rPr>
            </w:pPr>
            <w:r w:rsidRPr="00EC0A84">
              <w:rPr>
                <w:rFonts w:eastAsia="Calibri"/>
                <w:szCs w:val="24"/>
              </w:rPr>
              <w:t xml:space="preserve">Payroll </w:t>
            </w:r>
          </w:p>
        </w:tc>
        <w:tc>
          <w:tcPr>
            <w:tcW w:w="1361" w:type="dxa"/>
            <w:vAlign w:val="center"/>
          </w:tcPr>
          <w:p w14:paraId="09648FAA" w14:textId="77777777" w:rsidR="00EC0A84" w:rsidRPr="00EC0A84" w:rsidRDefault="00EC0A84" w:rsidP="00EC0A84">
            <w:pPr>
              <w:spacing w:after="0" w:line="240" w:lineRule="auto"/>
              <w:cnfStyle w:val="000000100000" w:firstRow="0" w:lastRow="0" w:firstColumn="0" w:lastColumn="0" w:oddVBand="0" w:evenVBand="0" w:oddHBand="1" w:evenHBand="0" w:firstRowFirstColumn="0" w:firstRowLastColumn="0" w:lastRowFirstColumn="0" w:lastRowLastColumn="0"/>
              <w:rPr>
                <w:rFonts w:eastAsia="Calibri"/>
                <w:szCs w:val="24"/>
              </w:rPr>
            </w:pPr>
            <w:r w:rsidRPr="00EC0A84">
              <w:rPr>
                <w:rFonts w:eastAsia="Calibri"/>
                <w:szCs w:val="24"/>
              </w:rPr>
              <w:t>312</w:t>
            </w:r>
          </w:p>
        </w:tc>
        <w:tc>
          <w:tcPr>
            <w:tcW w:w="4989" w:type="dxa"/>
            <w:vAlign w:val="center"/>
          </w:tcPr>
          <w:p w14:paraId="71E82DB8" w14:textId="77777777" w:rsidR="00EC0A84" w:rsidRPr="00EC0A84" w:rsidRDefault="00EC0A84" w:rsidP="00EC0A84">
            <w:pPr>
              <w:spacing w:after="0" w:line="240" w:lineRule="auto"/>
              <w:cnfStyle w:val="000000100000" w:firstRow="0" w:lastRow="0" w:firstColumn="0" w:lastColumn="0" w:oddVBand="0" w:evenVBand="0" w:oddHBand="1" w:evenHBand="0" w:firstRowFirstColumn="0" w:firstRowLastColumn="0" w:lastRowFirstColumn="0" w:lastRowLastColumn="0"/>
              <w:rPr>
                <w:rFonts w:eastAsia="Calibri"/>
                <w:szCs w:val="24"/>
              </w:rPr>
            </w:pPr>
            <w:r w:rsidRPr="00EC0A84">
              <w:rPr>
                <w:rFonts w:eastAsia="Calibri"/>
                <w:b/>
                <w:bCs/>
                <w:szCs w:val="24"/>
              </w:rPr>
              <w:t>Environment HQ</w:t>
            </w:r>
            <w:r w:rsidRPr="00EC0A84">
              <w:rPr>
                <w:rFonts w:eastAsia="Calibri"/>
                <w:szCs w:val="24"/>
              </w:rPr>
              <w:t xml:space="preserve"> - Covid related - £183k</w:t>
            </w:r>
            <w:r w:rsidRPr="00EC0A84">
              <w:rPr>
                <w:rFonts w:eastAsia="Calibri"/>
                <w:szCs w:val="24"/>
                <w:vertAlign w:val="superscript"/>
              </w:rPr>
              <w:t>1</w:t>
            </w:r>
            <w:r w:rsidRPr="00EC0A84">
              <w:rPr>
                <w:rFonts w:eastAsia="Calibri"/>
                <w:szCs w:val="24"/>
              </w:rPr>
              <w:t xml:space="preserve"> (this is offset by Ear-Marked Fund transfer in the Council BCR). </w:t>
            </w:r>
          </w:p>
          <w:p w14:paraId="732ED830" w14:textId="77777777" w:rsidR="00EC0A84" w:rsidRPr="00EC0A84" w:rsidRDefault="00EC0A84" w:rsidP="00EC0A84">
            <w:pPr>
              <w:spacing w:after="0" w:line="240" w:lineRule="auto"/>
              <w:cnfStyle w:val="000000100000" w:firstRow="0" w:lastRow="0" w:firstColumn="0" w:lastColumn="0" w:oddVBand="0" w:evenVBand="0" w:oddHBand="1" w:evenHBand="0" w:firstRowFirstColumn="0" w:firstRowLastColumn="0" w:lastRowFirstColumn="0" w:lastRowLastColumn="0"/>
              <w:rPr>
                <w:rFonts w:eastAsia="Calibri"/>
                <w:szCs w:val="24"/>
              </w:rPr>
            </w:pPr>
            <w:r w:rsidRPr="00EC0A84">
              <w:rPr>
                <w:rFonts w:eastAsia="Calibri"/>
                <w:b/>
                <w:bCs/>
                <w:szCs w:val="24"/>
              </w:rPr>
              <w:t>Waste &amp; Cleansing</w:t>
            </w:r>
            <w:r w:rsidRPr="00EC0A84">
              <w:rPr>
                <w:rFonts w:eastAsia="Calibri"/>
                <w:szCs w:val="24"/>
              </w:rPr>
              <w:t xml:space="preserve"> - £245k - overtime £115k; base salaries &amp; agency £138k. </w:t>
            </w:r>
          </w:p>
          <w:p w14:paraId="67289C73" w14:textId="77777777" w:rsidR="00EC0A84" w:rsidRPr="00EC0A84" w:rsidRDefault="00EC0A84" w:rsidP="00EC0A84">
            <w:pPr>
              <w:spacing w:after="0" w:line="240" w:lineRule="auto"/>
              <w:cnfStyle w:val="000000100000" w:firstRow="0" w:lastRow="0" w:firstColumn="0" w:lastColumn="0" w:oddVBand="0" w:evenVBand="0" w:oddHBand="1" w:evenHBand="0" w:firstRowFirstColumn="0" w:firstRowLastColumn="0" w:lastRowFirstColumn="0" w:lastRowLastColumn="0"/>
              <w:rPr>
                <w:rFonts w:eastAsia="Calibri"/>
                <w:szCs w:val="24"/>
              </w:rPr>
            </w:pPr>
            <w:r w:rsidRPr="00EC0A84">
              <w:rPr>
                <w:rFonts w:eastAsia="Calibri"/>
                <w:b/>
                <w:bCs/>
                <w:szCs w:val="24"/>
              </w:rPr>
              <w:t>Assets &amp; Property</w:t>
            </w:r>
            <w:r w:rsidRPr="00EC0A84">
              <w:rPr>
                <w:rFonts w:eastAsia="Calibri"/>
                <w:szCs w:val="24"/>
              </w:rPr>
              <w:t xml:space="preserve"> – (£70k) - vacancies</w:t>
            </w:r>
          </w:p>
          <w:p w14:paraId="1C06E117" w14:textId="77777777" w:rsidR="00EC0A84" w:rsidRPr="00EC0A84" w:rsidRDefault="00EC0A84" w:rsidP="00EC0A84">
            <w:pPr>
              <w:spacing w:after="0" w:line="240" w:lineRule="auto"/>
              <w:cnfStyle w:val="000000100000" w:firstRow="0" w:lastRow="0" w:firstColumn="0" w:lastColumn="0" w:oddVBand="0" w:evenVBand="0" w:oddHBand="1" w:evenHBand="0" w:firstRowFirstColumn="0" w:firstRowLastColumn="0" w:lastRowFirstColumn="0" w:lastRowLastColumn="0"/>
              <w:rPr>
                <w:rFonts w:eastAsia="Calibri"/>
                <w:szCs w:val="24"/>
              </w:rPr>
            </w:pPr>
            <w:r w:rsidRPr="00EC0A84">
              <w:rPr>
                <w:rFonts w:eastAsia="Calibri"/>
                <w:b/>
                <w:bCs/>
                <w:szCs w:val="24"/>
              </w:rPr>
              <w:t>Regulatory Services</w:t>
            </w:r>
            <w:r w:rsidRPr="00EC0A84">
              <w:rPr>
                <w:rFonts w:eastAsia="Calibri"/>
                <w:szCs w:val="24"/>
              </w:rPr>
              <w:t xml:space="preserve"> – (£46k) - vacancies_</w:t>
            </w:r>
          </w:p>
        </w:tc>
      </w:tr>
      <w:tr w:rsidR="00EC0A84" w:rsidRPr="00EC0A84" w14:paraId="44F700FC" w14:textId="77777777" w:rsidTr="00BC1ACF">
        <w:trPr>
          <w:trHeight w:val="607"/>
        </w:trPr>
        <w:tc>
          <w:tcPr>
            <w:cnfStyle w:val="001000000000" w:firstRow="0" w:lastRow="0" w:firstColumn="1" w:lastColumn="0" w:oddVBand="0" w:evenVBand="0" w:oddHBand="0" w:evenHBand="0" w:firstRowFirstColumn="0" w:firstRowLastColumn="0" w:lastRowFirstColumn="0" w:lastRowLastColumn="0"/>
            <w:tcW w:w="2701" w:type="dxa"/>
            <w:vAlign w:val="center"/>
          </w:tcPr>
          <w:p w14:paraId="4A7BF202" w14:textId="77777777" w:rsidR="00EC0A84" w:rsidRPr="00EC0A84" w:rsidRDefault="00EC0A84" w:rsidP="00EC0A84">
            <w:pPr>
              <w:spacing w:after="0" w:line="240" w:lineRule="auto"/>
              <w:rPr>
                <w:rFonts w:eastAsia="Calibri"/>
                <w:szCs w:val="24"/>
              </w:rPr>
            </w:pPr>
            <w:r w:rsidRPr="00EC0A84">
              <w:rPr>
                <w:rFonts w:eastAsia="Calibri"/>
                <w:szCs w:val="24"/>
              </w:rPr>
              <w:t xml:space="preserve">Goods &amp; Services </w:t>
            </w:r>
          </w:p>
        </w:tc>
        <w:tc>
          <w:tcPr>
            <w:tcW w:w="1361" w:type="dxa"/>
            <w:vAlign w:val="center"/>
          </w:tcPr>
          <w:p w14:paraId="100008DA" w14:textId="77777777" w:rsidR="00EC0A84" w:rsidRPr="00EC0A84" w:rsidRDefault="00EC0A84" w:rsidP="00EC0A84">
            <w:pPr>
              <w:spacing w:after="0" w:line="240" w:lineRule="auto"/>
              <w:cnfStyle w:val="000000000000" w:firstRow="0" w:lastRow="0" w:firstColumn="0" w:lastColumn="0" w:oddVBand="0" w:evenVBand="0" w:oddHBand="0" w:evenHBand="0" w:firstRowFirstColumn="0" w:firstRowLastColumn="0" w:lastRowFirstColumn="0" w:lastRowLastColumn="0"/>
              <w:rPr>
                <w:rFonts w:eastAsia="Calibri"/>
                <w:szCs w:val="24"/>
              </w:rPr>
            </w:pPr>
          </w:p>
        </w:tc>
        <w:tc>
          <w:tcPr>
            <w:tcW w:w="4989" w:type="dxa"/>
            <w:vAlign w:val="center"/>
          </w:tcPr>
          <w:p w14:paraId="6C6049AA" w14:textId="77777777" w:rsidR="00EC0A84" w:rsidRPr="00EC0A84" w:rsidRDefault="00EC0A84" w:rsidP="00EC0A84">
            <w:pPr>
              <w:spacing w:after="0" w:line="240" w:lineRule="auto"/>
              <w:cnfStyle w:val="000000000000" w:firstRow="0" w:lastRow="0" w:firstColumn="0" w:lastColumn="0" w:oddVBand="0" w:evenVBand="0" w:oddHBand="0" w:evenHBand="0" w:firstRowFirstColumn="0" w:firstRowLastColumn="0" w:lastRowFirstColumn="0" w:lastRowLastColumn="0"/>
              <w:rPr>
                <w:rFonts w:eastAsia="Calibri"/>
                <w:szCs w:val="24"/>
              </w:rPr>
            </w:pPr>
          </w:p>
        </w:tc>
      </w:tr>
      <w:tr w:rsidR="00EC0A84" w:rsidRPr="00EC0A84" w14:paraId="3B3EFBE1" w14:textId="77777777" w:rsidTr="00BC1ACF">
        <w:trPr>
          <w:cnfStyle w:val="000000100000" w:firstRow="0" w:lastRow="0" w:firstColumn="0" w:lastColumn="0" w:oddVBand="0" w:evenVBand="0" w:oddHBand="1" w:evenHBand="0" w:firstRowFirstColumn="0" w:firstRowLastColumn="0" w:lastRowFirstColumn="0" w:lastRowLastColumn="0"/>
          <w:trHeight w:val="607"/>
        </w:trPr>
        <w:tc>
          <w:tcPr>
            <w:cnfStyle w:val="001000000000" w:firstRow="0" w:lastRow="0" w:firstColumn="1" w:lastColumn="0" w:oddVBand="0" w:evenVBand="0" w:oddHBand="0" w:evenHBand="0" w:firstRowFirstColumn="0" w:firstRowLastColumn="0" w:lastRowFirstColumn="0" w:lastRowLastColumn="0"/>
            <w:tcW w:w="2701" w:type="dxa"/>
            <w:vAlign w:val="center"/>
          </w:tcPr>
          <w:p w14:paraId="52ED91B2" w14:textId="77777777" w:rsidR="00EC0A84" w:rsidRPr="00EC0A84" w:rsidRDefault="00EC0A84" w:rsidP="00EC0A84">
            <w:pPr>
              <w:spacing w:after="0" w:line="240" w:lineRule="auto"/>
              <w:rPr>
                <w:rFonts w:eastAsia="Calibri"/>
                <w:szCs w:val="24"/>
              </w:rPr>
            </w:pPr>
            <w:r w:rsidRPr="00EC0A84">
              <w:rPr>
                <w:rFonts w:eastAsia="Calibri"/>
                <w:szCs w:val="24"/>
              </w:rPr>
              <w:t>Assets &amp; Property</w:t>
            </w:r>
          </w:p>
        </w:tc>
        <w:tc>
          <w:tcPr>
            <w:tcW w:w="1361" w:type="dxa"/>
            <w:vAlign w:val="center"/>
          </w:tcPr>
          <w:p w14:paraId="7EFB44CF" w14:textId="77777777" w:rsidR="00EC0A84" w:rsidRPr="00EC0A84" w:rsidRDefault="00EC0A84" w:rsidP="00EC0A84">
            <w:pPr>
              <w:spacing w:after="0" w:line="240" w:lineRule="auto"/>
              <w:cnfStyle w:val="000000100000" w:firstRow="0" w:lastRow="0" w:firstColumn="0" w:lastColumn="0" w:oddVBand="0" w:evenVBand="0" w:oddHBand="1" w:evenHBand="0" w:firstRowFirstColumn="0" w:firstRowLastColumn="0" w:lastRowFirstColumn="0" w:lastRowLastColumn="0"/>
              <w:rPr>
                <w:rFonts w:eastAsia="Calibri"/>
                <w:szCs w:val="24"/>
              </w:rPr>
            </w:pPr>
            <w:r w:rsidRPr="00EC0A84">
              <w:rPr>
                <w:rFonts w:eastAsia="Calibri"/>
                <w:szCs w:val="24"/>
              </w:rPr>
              <w:t>856</w:t>
            </w:r>
          </w:p>
        </w:tc>
        <w:tc>
          <w:tcPr>
            <w:tcW w:w="4989" w:type="dxa"/>
            <w:vAlign w:val="center"/>
          </w:tcPr>
          <w:p w14:paraId="088BAFAA" w14:textId="77777777" w:rsidR="00EC0A84" w:rsidRPr="00EC0A84" w:rsidRDefault="00EC0A84" w:rsidP="00EC0A84">
            <w:pPr>
              <w:spacing w:after="0" w:line="240" w:lineRule="auto"/>
              <w:cnfStyle w:val="000000100000" w:firstRow="0" w:lastRow="0" w:firstColumn="0" w:lastColumn="0" w:oddVBand="0" w:evenVBand="0" w:oddHBand="1" w:evenHBand="0" w:firstRowFirstColumn="0" w:firstRowLastColumn="0" w:lastRowFirstColumn="0" w:lastRowLastColumn="0"/>
              <w:rPr>
                <w:rFonts w:eastAsia="Calibri"/>
                <w:szCs w:val="24"/>
              </w:rPr>
            </w:pPr>
            <w:r w:rsidRPr="00EC0A84">
              <w:rPr>
                <w:rFonts w:eastAsia="Calibri"/>
                <w:b/>
                <w:bCs/>
                <w:szCs w:val="24"/>
              </w:rPr>
              <w:t>Electricity</w:t>
            </w:r>
            <w:r w:rsidRPr="00EC0A84">
              <w:rPr>
                <w:rFonts w:eastAsia="Calibri"/>
                <w:szCs w:val="24"/>
              </w:rPr>
              <w:t xml:space="preserve"> - £254k</w:t>
            </w:r>
            <w:r w:rsidRPr="00EC0A84">
              <w:rPr>
                <w:rFonts w:eastAsia="Calibri"/>
                <w:szCs w:val="24"/>
                <w:vertAlign w:val="superscript"/>
              </w:rPr>
              <w:t>1</w:t>
            </w:r>
          </w:p>
          <w:p w14:paraId="71DEC6F9" w14:textId="77777777" w:rsidR="00EC0A84" w:rsidRPr="00EC0A84" w:rsidRDefault="00EC0A84" w:rsidP="00EC0A84">
            <w:pPr>
              <w:spacing w:after="0" w:line="240" w:lineRule="auto"/>
              <w:cnfStyle w:val="000000100000" w:firstRow="0" w:lastRow="0" w:firstColumn="0" w:lastColumn="0" w:oddVBand="0" w:evenVBand="0" w:oddHBand="1" w:evenHBand="0" w:firstRowFirstColumn="0" w:firstRowLastColumn="0" w:lastRowFirstColumn="0" w:lastRowLastColumn="0"/>
              <w:rPr>
                <w:rFonts w:eastAsia="Calibri"/>
                <w:szCs w:val="24"/>
              </w:rPr>
            </w:pPr>
            <w:r w:rsidRPr="00EC0A84">
              <w:rPr>
                <w:rFonts w:eastAsia="Calibri"/>
                <w:b/>
                <w:bCs/>
                <w:szCs w:val="24"/>
              </w:rPr>
              <w:t>Gas</w:t>
            </w:r>
            <w:r w:rsidRPr="00EC0A84">
              <w:rPr>
                <w:rFonts w:eastAsia="Calibri"/>
                <w:szCs w:val="24"/>
              </w:rPr>
              <w:t xml:space="preserve"> - £71k</w:t>
            </w:r>
            <w:r w:rsidRPr="00EC0A84">
              <w:rPr>
                <w:rFonts w:eastAsia="Calibri"/>
                <w:szCs w:val="24"/>
                <w:vertAlign w:val="superscript"/>
              </w:rPr>
              <w:t>1</w:t>
            </w:r>
          </w:p>
          <w:p w14:paraId="0A8443D5" w14:textId="77777777" w:rsidR="00EC0A84" w:rsidRPr="00EC0A84" w:rsidRDefault="00EC0A84" w:rsidP="00EC0A84">
            <w:pPr>
              <w:spacing w:after="0" w:line="240" w:lineRule="auto"/>
              <w:cnfStyle w:val="000000100000" w:firstRow="0" w:lastRow="0" w:firstColumn="0" w:lastColumn="0" w:oddVBand="0" w:evenVBand="0" w:oddHBand="1" w:evenHBand="0" w:firstRowFirstColumn="0" w:firstRowLastColumn="0" w:lastRowFirstColumn="0" w:lastRowLastColumn="0"/>
              <w:rPr>
                <w:rFonts w:eastAsia="Calibri"/>
                <w:szCs w:val="24"/>
              </w:rPr>
            </w:pPr>
            <w:r w:rsidRPr="00EC0A84">
              <w:rPr>
                <w:rFonts w:eastAsia="Calibri"/>
                <w:b/>
                <w:bCs/>
                <w:szCs w:val="24"/>
              </w:rPr>
              <w:t>Vehicle fuel</w:t>
            </w:r>
            <w:r w:rsidRPr="00EC0A84">
              <w:rPr>
                <w:rFonts w:eastAsia="Calibri"/>
                <w:szCs w:val="24"/>
              </w:rPr>
              <w:t xml:space="preserve"> - £106k</w:t>
            </w:r>
            <w:r w:rsidRPr="00EC0A84">
              <w:rPr>
                <w:rFonts w:eastAsia="Calibri"/>
                <w:szCs w:val="24"/>
                <w:vertAlign w:val="superscript"/>
              </w:rPr>
              <w:t>1</w:t>
            </w:r>
          </w:p>
          <w:p w14:paraId="0F2B0225" w14:textId="77777777" w:rsidR="00EC0A84" w:rsidRPr="00EC0A84" w:rsidRDefault="00EC0A84" w:rsidP="00EC0A84">
            <w:pPr>
              <w:spacing w:after="0" w:line="240" w:lineRule="auto"/>
              <w:cnfStyle w:val="000000100000" w:firstRow="0" w:lastRow="0" w:firstColumn="0" w:lastColumn="0" w:oddVBand="0" w:evenVBand="0" w:oddHBand="1" w:evenHBand="0" w:firstRowFirstColumn="0" w:firstRowLastColumn="0" w:lastRowFirstColumn="0" w:lastRowLastColumn="0"/>
              <w:rPr>
                <w:rFonts w:eastAsia="Calibri"/>
                <w:szCs w:val="24"/>
              </w:rPr>
            </w:pPr>
            <w:r w:rsidRPr="00EC0A84">
              <w:rPr>
                <w:rFonts w:eastAsia="Calibri"/>
                <w:szCs w:val="24"/>
              </w:rPr>
              <w:t xml:space="preserve">(the above are offset by Ear-Marked Fund transfers in the Council BCR). </w:t>
            </w:r>
          </w:p>
          <w:p w14:paraId="7FFE0F04" w14:textId="77777777" w:rsidR="00EC0A84" w:rsidRPr="00EC0A84" w:rsidRDefault="00EC0A84" w:rsidP="00EC0A84">
            <w:pPr>
              <w:spacing w:after="0" w:line="240" w:lineRule="auto"/>
              <w:cnfStyle w:val="000000100000" w:firstRow="0" w:lastRow="0" w:firstColumn="0" w:lastColumn="0" w:oddVBand="0" w:evenVBand="0" w:oddHBand="1" w:evenHBand="0" w:firstRowFirstColumn="0" w:firstRowLastColumn="0" w:lastRowFirstColumn="0" w:lastRowLastColumn="0"/>
              <w:rPr>
                <w:rFonts w:eastAsia="Calibri"/>
                <w:szCs w:val="24"/>
              </w:rPr>
            </w:pPr>
            <w:r w:rsidRPr="00EC0A84">
              <w:rPr>
                <w:rFonts w:eastAsia="Calibri"/>
                <w:b/>
                <w:bCs/>
                <w:szCs w:val="24"/>
              </w:rPr>
              <w:t>Vehicle maintenance</w:t>
            </w:r>
            <w:r w:rsidRPr="00EC0A84">
              <w:rPr>
                <w:rFonts w:eastAsia="Calibri"/>
                <w:szCs w:val="24"/>
              </w:rPr>
              <w:t xml:space="preserve"> - £122k </w:t>
            </w:r>
          </w:p>
          <w:p w14:paraId="50931AE4" w14:textId="77777777" w:rsidR="00EC0A84" w:rsidRPr="00EC0A84" w:rsidRDefault="00EC0A84" w:rsidP="00EC0A84">
            <w:pPr>
              <w:spacing w:after="0" w:line="240" w:lineRule="auto"/>
              <w:cnfStyle w:val="000000100000" w:firstRow="0" w:lastRow="0" w:firstColumn="0" w:lastColumn="0" w:oddVBand="0" w:evenVBand="0" w:oddHBand="1" w:evenHBand="0" w:firstRowFirstColumn="0" w:firstRowLastColumn="0" w:lastRowFirstColumn="0" w:lastRowLastColumn="0"/>
              <w:rPr>
                <w:rFonts w:eastAsia="Calibri"/>
                <w:szCs w:val="24"/>
              </w:rPr>
            </w:pPr>
            <w:r w:rsidRPr="00EC0A84">
              <w:rPr>
                <w:rFonts w:eastAsia="Calibri"/>
                <w:b/>
                <w:bCs/>
                <w:szCs w:val="24"/>
              </w:rPr>
              <w:t>Property Maintenance</w:t>
            </w:r>
            <w:r w:rsidRPr="00EC0A84">
              <w:rPr>
                <w:rFonts w:eastAsia="Calibri"/>
                <w:szCs w:val="24"/>
              </w:rPr>
              <w:t xml:space="preserve"> - £164k – increased reactive maintenance. </w:t>
            </w:r>
          </w:p>
          <w:p w14:paraId="367B8235" w14:textId="77777777" w:rsidR="00EC0A84" w:rsidRPr="00EC0A84" w:rsidRDefault="00EC0A84" w:rsidP="00EC0A84">
            <w:pPr>
              <w:spacing w:after="0" w:line="240" w:lineRule="auto"/>
              <w:cnfStyle w:val="000000100000" w:firstRow="0" w:lastRow="0" w:firstColumn="0" w:lastColumn="0" w:oddVBand="0" w:evenVBand="0" w:oddHBand="1" w:evenHBand="0" w:firstRowFirstColumn="0" w:firstRowLastColumn="0" w:lastRowFirstColumn="0" w:lastRowLastColumn="0"/>
              <w:rPr>
                <w:rFonts w:eastAsia="Calibri"/>
                <w:szCs w:val="24"/>
              </w:rPr>
            </w:pPr>
            <w:r w:rsidRPr="00EC0A84">
              <w:rPr>
                <w:rFonts w:eastAsia="Calibri"/>
                <w:b/>
                <w:bCs/>
                <w:szCs w:val="24"/>
              </w:rPr>
              <w:t>Technical Services</w:t>
            </w:r>
            <w:r w:rsidRPr="00EC0A84">
              <w:rPr>
                <w:rFonts w:eastAsia="Calibri"/>
                <w:szCs w:val="24"/>
              </w:rPr>
              <w:t xml:space="preserve"> - £61k – refurbishment work.</w:t>
            </w:r>
          </w:p>
        </w:tc>
      </w:tr>
      <w:tr w:rsidR="00EC0A84" w:rsidRPr="00EC0A84" w14:paraId="199264A6" w14:textId="77777777" w:rsidTr="00BC1ACF">
        <w:trPr>
          <w:trHeight w:val="607"/>
        </w:trPr>
        <w:tc>
          <w:tcPr>
            <w:cnfStyle w:val="001000000000" w:firstRow="0" w:lastRow="0" w:firstColumn="1" w:lastColumn="0" w:oddVBand="0" w:evenVBand="0" w:oddHBand="0" w:evenHBand="0" w:firstRowFirstColumn="0" w:firstRowLastColumn="0" w:lastRowFirstColumn="0" w:lastRowLastColumn="0"/>
            <w:tcW w:w="2701" w:type="dxa"/>
            <w:vAlign w:val="center"/>
          </w:tcPr>
          <w:p w14:paraId="7A51AB4B" w14:textId="77777777" w:rsidR="00EC0A84" w:rsidRPr="00EC0A84" w:rsidRDefault="00EC0A84" w:rsidP="00EC0A84">
            <w:pPr>
              <w:spacing w:after="0" w:line="240" w:lineRule="auto"/>
              <w:rPr>
                <w:rFonts w:eastAsia="Calibri"/>
                <w:szCs w:val="24"/>
              </w:rPr>
            </w:pPr>
            <w:r w:rsidRPr="00EC0A84">
              <w:rPr>
                <w:rFonts w:eastAsia="Calibri"/>
                <w:szCs w:val="24"/>
              </w:rPr>
              <w:t>Income</w:t>
            </w:r>
          </w:p>
        </w:tc>
        <w:tc>
          <w:tcPr>
            <w:tcW w:w="1361" w:type="dxa"/>
            <w:vAlign w:val="center"/>
          </w:tcPr>
          <w:p w14:paraId="2A25642B" w14:textId="77777777" w:rsidR="00EC0A84" w:rsidRPr="00EC0A84" w:rsidRDefault="00EC0A84" w:rsidP="00EC0A84">
            <w:pPr>
              <w:spacing w:after="0" w:line="240" w:lineRule="auto"/>
              <w:cnfStyle w:val="000000000000" w:firstRow="0" w:lastRow="0" w:firstColumn="0" w:lastColumn="0" w:oddVBand="0" w:evenVBand="0" w:oddHBand="0" w:evenHBand="0" w:firstRowFirstColumn="0" w:firstRowLastColumn="0" w:lastRowFirstColumn="0" w:lastRowLastColumn="0"/>
              <w:rPr>
                <w:rFonts w:eastAsia="Calibri"/>
                <w:szCs w:val="24"/>
              </w:rPr>
            </w:pPr>
          </w:p>
        </w:tc>
        <w:tc>
          <w:tcPr>
            <w:tcW w:w="4989" w:type="dxa"/>
            <w:vAlign w:val="center"/>
          </w:tcPr>
          <w:p w14:paraId="77808C47" w14:textId="77777777" w:rsidR="00EC0A84" w:rsidRPr="00EC0A84" w:rsidRDefault="00EC0A84" w:rsidP="00EC0A84">
            <w:pPr>
              <w:spacing w:after="0" w:line="240" w:lineRule="auto"/>
              <w:cnfStyle w:val="000000000000" w:firstRow="0" w:lastRow="0" w:firstColumn="0" w:lastColumn="0" w:oddVBand="0" w:evenVBand="0" w:oddHBand="0" w:evenHBand="0" w:firstRowFirstColumn="0" w:firstRowLastColumn="0" w:lastRowFirstColumn="0" w:lastRowLastColumn="0"/>
              <w:rPr>
                <w:rFonts w:eastAsia="Calibri"/>
                <w:szCs w:val="24"/>
              </w:rPr>
            </w:pPr>
          </w:p>
        </w:tc>
      </w:tr>
      <w:tr w:rsidR="00EC0A84" w:rsidRPr="00EC0A84" w14:paraId="6D13F59A" w14:textId="77777777" w:rsidTr="00BC1ACF">
        <w:trPr>
          <w:cnfStyle w:val="000000100000" w:firstRow="0" w:lastRow="0" w:firstColumn="0" w:lastColumn="0" w:oddVBand="0" w:evenVBand="0" w:oddHBand="1" w:evenHBand="0" w:firstRowFirstColumn="0" w:firstRowLastColumn="0" w:lastRowFirstColumn="0" w:lastRowLastColumn="0"/>
          <w:trHeight w:val="607"/>
        </w:trPr>
        <w:tc>
          <w:tcPr>
            <w:cnfStyle w:val="001000000000" w:firstRow="0" w:lastRow="0" w:firstColumn="1" w:lastColumn="0" w:oddVBand="0" w:evenVBand="0" w:oddHBand="0" w:evenHBand="0" w:firstRowFirstColumn="0" w:firstRowLastColumn="0" w:lastRowFirstColumn="0" w:lastRowLastColumn="0"/>
            <w:tcW w:w="2701" w:type="dxa"/>
            <w:vAlign w:val="center"/>
          </w:tcPr>
          <w:p w14:paraId="202BFAAA" w14:textId="77777777" w:rsidR="00EC0A84" w:rsidRPr="00EC0A84" w:rsidRDefault="00EC0A84" w:rsidP="00EC0A84">
            <w:pPr>
              <w:spacing w:after="0" w:line="240" w:lineRule="auto"/>
              <w:rPr>
                <w:rFonts w:eastAsia="Calibri"/>
                <w:szCs w:val="24"/>
              </w:rPr>
            </w:pPr>
            <w:r w:rsidRPr="00EC0A84">
              <w:rPr>
                <w:rFonts w:eastAsia="Calibri"/>
                <w:szCs w:val="24"/>
              </w:rPr>
              <w:t>Waste &amp; Cleansing</w:t>
            </w:r>
          </w:p>
        </w:tc>
        <w:tc>
          <w:tcPr>
            <w:tcW w:w="1361" w:type="dxa"/>
            <w:vAlign w:val="center"/>
          </w:tcPr>
          <w:p w14:paraId="523C14BD" w14:textId="77777777" w:rsidR="00EC0A84" w:rsidRPr="00EC0A84" w:rsidRDefault="00EC0A84" w:rsidP="00EC0A84">
            <w:pPr>
              <w:spacing w:after="0" w:line="240" w:lineRule="auto"/>
              <w:cnfStyle w:val="000000100000" w:firstRow="0" w:lastRow="0" w:firstColumn="0" w:lastColumn="0" w:oddVBand="0" w:evenVBand="0" w:oddHBand="1" w:evenHBand="0" w:firstRowFirstColumn="0" w:firstRowLastColumn="0" w:lastRowFirstColumn="0" w:lastRowLastColumn="0"/>
              <w:rPr>
                <w:rFonts w:eastAsia="Calibri"/>
                <w:szCs w:val="24"/>
              </w:rPr>
            </w:pPr>
            <w:r w:rsidRPr="00EC0A84">
              <w:rPr>
                <w:rFonts w:eastAsia="Calibri"/>
                <w:szCs w:val="24"/>
              </w:rPr>
              <w:t>(147)</w:t>
            </w:r>
          </w:p>
        </w:tc>
        <w:tc>
          <w:tcPr>
            <w:tcW w:w="4989" w:type="dxa"/>
            <w:vAlign w:val="center"/>
          </w:tcPr>
          <w:p w14:paraId="65F46D5A" w14:textId="77777777" w:rsidR="00EC0A84" w:rsidRPr="00EC0A84" w:rsidRDefault="00EC0A84" w:rsidP="00EC0A84">
            <w:pPr>
              <w:spacing w:after="0" w:line="240" w:lineRule="auto"/>
              <w:cnfStyle w:val="000000100000" w:firstRow="0" w:lastRow="0" w:firstColumn="0" w:lastColumn="0" w:oddVBand="0" w:evenVBand="0" w:oddHBand="1" w:evenHBand="0" w:firstRowFirstColumn="0" w:firstRowLastColumn="0" w:lastRowFirstColumn="0" w:lastRowLastColumn="0"/>
              <w:rPr>
                <w:rFonts w:eastAsia="Calibri"/>
                <w:iCs/>
                <w:szCs w:val="24"/>
              </w:rPr>
            </w:pPr>
            <w:r w:rsidRPr="00EC0A84">
              <w:rPr>
                <w:rFonts w:eastAsia="Calibri"/>
                <w:iCs/>
                <w:szCs w:val="24"/>
              </w:rPr>
              <w:t xml:space="preserve">Arc21 recycled waste income – (£121k). </w:t>
            </w:r>
          </w:p>
        </w:tc>
      </w:tr>
      <w:tr w:rsidR="00EC0A84" w:rsidRPr="00EC0A84" w14:paraId="47C58B79" w14:textId="77777777" w:rsidTr="00BC1ACF">
        <w:trPr>
          <w:trHeight w:val="752"/>
        </w:trPr>
        <w:tc>
          <w:tcPr>
            <w:cnfStyle w:val="001000000000" w:firstRow="0" w:lastRow="0" w:firstColumn="1" w:lastColumn="0" w:oddVBand="0" w:evenVBand="0" w:oddHBand="0" w:evenHBand="0" w:firstRowFirstColumn="0" w:firstRowLastColumn="0" w:lastRowFirstColumn="0" w:lastRowLastColumn="0"/>
            <w:tcW w:w="2701" w:type="dxa"/>
            <w:vAlign w:val="center"/>
          </w:tcPr>
          <w:p w14:paraId="31C201F8" w14:textId="77777777" w:rsidR="00EC0A84" w:rsidRPr="00EC0A84" w:rsidRDefault="00EC0A84" w:rsidP="00EC0A84">
            <w:pPr>
              <w:spacing w:after="0" w:line="240" w:lineRule="auto"/>
              <w:rPr>
                <w:rFonts w:eastAsia="Calibri"/>
                <w:szCs w:val="24"/>
              </w:rPr>
            </w:pPr>
            <w:r w:rsidRPr="00EC0A84">
              <w:rPr>
                <w:rFonts w:eastAsia="Calibri"/>
                <w:szCs w:val="24"/>
              </w:rPr>
              <w:t>Assets &amp; Property</w:t>
            </w:r>
          </w:p>
        </w:tc>
        <w:tc>
          <w:tcPr>
            <w:tcW w:w="1361" w:type="dxa"/>
            <w:vAlign w:val="center"/>
          </w:tcPr>
          <w:p w14:paraId="7AD245A8" w14:textId="77777777" w:rsidR="00EC0A84" w:rsidRPr="00EC0A84" w:rsidRDefault="00EC0A84" w:rsidP="00EC0A84">
            <w:pPr>
              <w:spacing w:after="0" w:line="240" w:lineRule="auto"/>
              <w:cnfStyle w:val="000000000000" w:firstRow="0" w:lastRow="0" w:firstColumn="0" w:lastColumn="0" w:oddVBand="0" w:evenVBand="0" w:oddHBand="0" w:evenHBand="0" w:firstRowFirstColumn="0" w:firstRowLastColumn="0" w:lastRowFirstColumn="0" w:lastRowLastColumn="0"/>
              <w:rPr>
                <w:rFonts w:eastAsia="Calibri"/>
                <w:szCs w:val="24"/>
              </w:rPr>
            </w:pPr>
            <w:r w:rsidRPr="00EC0A84">
              <w:rPr>
                <w:rFonts w:eastAsia="Calibri"/>
                <w:szCs w:val="24"/>
              </w:rPr>
              <w:t>(53)</w:t>
            </w:r>
          </w:p>
        </w:tc>
        <w:tc>
          <w:tcPr>
            <w:tcW w:w="4989" w:type="dxa"/>
            <w:vAlign w:val="center"/>
          </w:tcPr>
          <w:p w14:paraId="6FC73191" w14:textId="77777777" w:rsidR="00EC0A84" w:rsidRPr="00EC0A84" w:rsidRDefault="00EC0A84" w:rsidP="00EC0A84">
            <w:pPr>
              <w:spacing w:after="0" w:line="240" w:lineRule="auto"/>
              <w:cnfStyle w:val="000000000000" w:firstRow="0" w:lastRow="0" w:firstColumn="0" w:lastColumn="0" w:oddVBand="0" w:evenVBand="0" w:oddHBand="0" w:evenHBand="0" w:firstRowFirstColumn="0" w:firstRowLastColumn="0" w:lastRowFirstColumn="0" w:lastRowLastColumn="0"/>
              <w:rPr>
                <w:rFonts w:eastAsia="Calibri"/>
                <w:szCs w:val="24"/>
              </w:rPr>
            </w:pPr>
            <w:r w:rsidRPr="00EC0A84">
              <w:rPr>
                <w:rFonts w:eastAsia="Calibri"/>
                <w:szCs w:val="24"/>
              </w:rPr>
              <w:t>Wind turbine (£34k)</w:t>
            </w:r>
          </w:p>
        </w:tc>
      </w:tr>
      <w:tr w:rsidR="00EC0A84" w:rsidRPr="00EC0A84" w14:paraId="315584BE" w14:textId="77777777" w:rsidTr="00BC1ACF">
        <w:trPr>
          <w:cnfStyle w:val="000000100000" w:firstRow="0" w:lastRow="0" w:firstColumn="0" w:lastColumn="0" w:oddVBand="0" w:evenVBand="0" w:oddHBand="1" w:evenHBand="0" w:firstRowFirstColumn="0" w:firstRowLastColumn="0" w:lastRowFirstColumn="0" w:lastRowLastColumn="0"/>
          <w:trHeight w:val="752"/>
        </w:trPr>
        <w:tc>
          <w:tcPr>
            <w:cnfStyle w:val="001000000000" w:firstRow="0" w:lastRow="0" w:firstColumn="1" w:lastColumn="0" w:oddVBand="0" w:evenVBand="0" w:oddHBand="0" w:evenHBand="0" w:firstRowFirstColumn="0" w:firstRowLastColumn="0" w:lastRowFirstColumn="0" w:lastRowLastColumn="0"/>
            <w:tcW w:w="2701" w:type="dxa"/>
            <w:vAlign w:val="center"/>
          </w:tcPr>
          <w:p w14:paraId="00848E48" w14:textId="77777777" w:rsidR="00EC0A84" w:rsidRPr="00EC0A84" w:rsidRDefault="00EC0A84" w:rsidP="00EC0A84">
            <w:pPr>
              <w:spacing w:after="0" w:line="240" w:lineRule="auto"/>
              <w:rPr>
                <w:rFonts w:eastAsia="Calibri"/>
                <w:szCs w:val="24"/>
              </w:rPr>
            </w:pPr>
            <w:r w:rsidRPr="00EC0A84">
              <w:rPr>
                <w:rFonts w:eastAsia="Calibri"/>
                <w:szCs w:val="24"/>
              </w:rPr>
              <w:t>Regulatory Services</w:t>
            </w:r>
          </w:p>
        </w:tc>
        <w:tc>
          <w:tcPr>
            <w:tcW w:w="1361" w:type="dxa"/>
            <w:vAlign w:val="center"/>
          </w:tcPr>
          <w:p w14:paraId="78531427" w14:textId="77777777" w:rsidR="00EC0A84" w:rsidRPr="00EC0A84" w:rsidRDefault="00EC0A84" w:rsidP="00EC0A84">
            <w:pPr>
              <w:spacing w:after="0" w:line="240" w:lineRule="auto"/>
              <w:cnfStyle w:val="000000100000" w:firstRow="0" w:lastRow="0" w:firstColumn="0" w:lastColumn="0" w:oddVBand="0" w:evenVBand="0" w:oddHBand="1" w:evenHBand="0" w:firstRowFirstColumn="0" w:firstRowLastColumn="0" w:lastRowFirstColumn="0" w:lastRowLastColumn="0"/>
              <w:rPr>
                <w:rFonts w:eastAsia="Calibri"/>
                <w:szCs w:val="24"/>
              </w:rPr>
            </w:pPr>
            <w:r w:rsidRPr="00EC0A84">
              <w:rPr>
                <w:rFonts w:eastAsia="Calibri"/>
                <w:szCs w:val="24"/>
              </w:rPr>
              <w:t>28</w:t>
            </w:r>
          </w:p>
        </w:tc>
        <w:tc>
          <w:tcPr>
            <w:tcW w:w="4989" w:type="dxa"/>
            <w:vAlign w:val="center"/>
          </w:tcPr>
          <w:p w14:paraId="26391E9F" w14:textId="77777777" w:rsidR="00EC0A84" w:rsidRPr="00EC0A84" w:rsidRDefault="00EC0A84" w:rsidP="00EC0A84">
            <w:pPr>
              <w:spacing w:after="0" w:line="240" w:lineRule="auto"/>
              <w:cnfStyle w:val="000000100000" w:firstRow="0" w:lastRow="0" w:firstColumn="0" w:lastColumn="0" w:oddVBand="0" w:evenVBand="0" w:oddHBand="1" w:evenHBand="0" w:firstRowFirstColumn="0" w:firstRowLastColumn="0" w:lastRowFirstColumn="0" w:lastRowLastColumn="0"/>
              <w:rPr>
                <w:rFonts w:eastAsia="Calibri"/>
                <w:szCs w:val="24"/>
              </w:rPr>
            </w:pPr>
            <w:r w:rsidRPr="00EC0A84">
              <w:rPr>
                <w:rFonts w:eastAsia="Calibri"/>
                <w:b/>
                <w:bCs/>
                <w:szCs w:val="24"/>
              </w:rPr>
              <w:t>Building Control</w:t>
            </w:r>
            <w:r w:rsidRPr="00EC0A84">
              <w:rPr>
                <w:rFonts w:eastAsia="Calibri"/>
                <w:szCs w:val="24"/>
              </w:rPr>
              <w:t xml:space="preserve"> - (£121k) – plan fees (£81k); property certificates (£27k). </w:t>
            </w:r>
          </w:p>
          <w:p w14:paraId="785881EA" w14:textId="77777777" w:rsidR="00EC0A84" w:rsidRPr="00EC0A84" w:rsidRDefault="00EC0A84" w:rsidP="00EC0A84">
            <w:pPr>
              <w:spacing w:after="0" w:line="240" w:lineRule="auto"/>
              <w:cnfStyle w:val="000000100000" w:firstRow="0" w:lastRow="0" w:firstColumn="0" w:lastColumn="0" w:oddVBand="0" w:evenVBand="0" w:oddHBand="1" w:evenHBand="0" w:firstRowFirstColumn="0" w:firstRowLastColumn="0" w:lastRowFirstColumn="0" w:lastRowLastColumn="0"/>
              <w:rPr>
                <w:rFonts w:eastAsia="Calibri"/>
                <w:szCs w:val="24"/>
              </w:rPr>
            </w:pPr>
            <w:r w:rsidRPr="00EC0A84">
              <w:rPr>
                <w:rFonts w:eastAsia="Calibri"/>
                <w:b/>
                <w:bCs/>
                <w:szCs w:val="24"/>
              </w:rPr>
              <w:t>Licensing</w:t>
            </w:r>
            <w:r w:rsidRPr="00EC0A84">
              <w:rPr>
                <w:rFonts w:eastAsia="Calibri"/>
                <w:szCs w:val="24"/>
              </w:rPr>
              <w:t xml:space="preserve"> - £105k – Off street car parks £75k; Licensing £21k.</w:t>
            </w:r>
          </w:p>
          <w:p w14:paraId="767CEB23" w14:textId="77777777" w:rsidR="00EC0A84" w:rsidRPr="00EC0A84" w:rsidRDefault="00EC0A84" w:rsidP="00EC0A84">
            <w:pPr>
              <w:spacing w:after="0" w:line="240" w:lineRule="auto"/>
              <w:cnfStyle w:val="000000100000" w:firstRow="0" w:lastRow="0" w:firstColumn="0" w:lastColumn="0" w:oddVBand="0" w:evenVBand="0" w:oddHBand="1" w:evenHBand="0" w:firstRowFirstColumn="0" w:firstRowLastColumn="0" w:lastRowFirstColumn="0" w:lastRowLastColumn="0"/>
              <w:rPr>
                <w:rFonts w:eastAsia="Calibri"/>
                <w:szCs w:val="24"/>
              </w:rPr>
            </w:pPr>
            <w:r w:rsidRPr="00EC0A84">
              <w:rPr>
                <w:rFonts w:eastAsia="Calibri"/>
                <w:b/>
                <w:bCs/>
                <w:szCs w:val="24"/>
              </w:rPr>
              <w:lastRenderedPageBreak/>
              <w:t>Neighbourhood Environment</w:t>
            </w:r>
            <w:r w:rsidRPr="00EC0A84">
              <w:rPr>
                <w:rFonts w:eastAsia="Calibri"/>
                <w:szCs w:val="24"/>
              </w:rPr>
              <w:t xml:space="preserve"> -</w:t>
            </w:r>
            <w:r w:rsidRPr="00EC0A84">
              <w:rPr>
                <w:rFonts w:eastAsia="Calibri"/>
                <w:b/>
                <w:bCs/>
                <w:szCs w:val="24"/>
              </w:rPr>
              <w:t xml:space="preserve"> </w:t>
            </w:r>
            <w:r w:rsidRPr="00EC0A84">
              <w:rPr>
                <w:rFonts w:eastAsia="Calibri"/>
                <w:szCs w:val="24"/>
              </w:rPr>
              <w:t>£44k – fines.</w:t>
            </w:r>
          </w:p>
        </w:tc>
      </w:tr>
    </w:tbl>
    <w:p w14:paraId="6ABDA250" w14:textId="21C1D210" w:rsidR="00EC0A84" w:rsidRDefault="00EC0A84" w:rsidP="00EC0A84">
      <w:pPr>
        <w:spacing w:after="0" w:line="240" w:lineRule="auto"/>
        <w:rPr>
          <w:rFonts w:eastAsia="Calibri"/>
          <w:szCs w:val="24"/>
        </w:rPr>
      </w:pPr>
      <w:r w:rsidRPr="00EC0A84">
        <w:rPr>
          <w:rFonts w:eastAsia="Calibri"/>
          <w:szCs w:val="24"/>
          <w:vertAlign w:val="superscript"/>
        </w:rPr>
        <w:lastRenderedPageBreak/>
        <w:t>1</w:t>
      </w:r>
      <w:r w:rsidRPr="00EC0A84">
        <w:rPr>
          <w:rFonts w:eastAsia="Calibri"/>
          <w:szCs w:val="24"/>
        </w:rPr>
        <w:t xml:space="preserve"> Funds from the Earmarked Fund had been released to mitigate these exceptional costs to date. This would be kept under review as the year progresses.</w:t>
      </w:r>
    </w:p>
    <w:p w14:paraId="0808BCF8" w14:textId="77777777" w:rsidR="00EC0A84" w:rsidRPr="00EC0A84" w:rsidRDefault="00EC0A84" w:rsidP="00EC0A84">
      <w:pPr>
        <w:spacing w:after="0" w:line="240" w:lineRule="auto"/>
        <w:rPr>
          <w:rFonts w:eastAsia="Calibri"/>
          <w:b/>
          <w:bCs/>
          <w:szCs w:val="24"/>
        </w:rPr>
      </w:pPr>
      <w:r w:rsidRPr="00EC0A84">
        <w:rPr>
          <w:rFonts w:eastAsia="Calibri"/>
          <w:noProof/>
          <w:szCs w:val="24"/>
        </w:rPr>
        <w:drawing>
          <wp:inline distT="0" distB="0" distL="0" distR="0" wp14:anchorId="6877D7AB" wp14:editId="5899B9F9">
            <wp:extent cx="5731510" cy="7118985"/>
            <wp:effectExtent l="0" t="0" r="2540" b="571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731510" cy="7118985"/>
                    </a:xfrm>
                    <a:prstGeom prst="rect">
                      <a:avLst/>
                    </a:prstGeom>
                    <a:noFill/>
                    <a:ln>
                      <a:noFill/>
                    </a:ln>
                  </pic:spPr>
                </pic:pic>
              </a:graphicData>
            </a:graphic>
          </wp:inline>
        </w:drawing>
      </w:r>
    </w:p>
    <w:p w14:paraId="52462AC4" w14:textId="77777777" w:rsidR="00EC0A84" w:rsidRPr="00EC0A84" w:rsidRDefault="00EC0A84" w:rsidP="00EC0A84">
      <w:pPr>
        <w:spacing w:after="0" w:line="240" w:lineRule="auto"/>
        <w:rPr>
          <w:rFonts w:eastAsia="Calibri"/>
          <w:b/>
          <w:bCs/>
          <w:szCs w:val="24"/>
        </w:rPr>
      </w:pPr>
    </w:p>
    <w:p w14:paraId="00877D63" w14:textId="6B07D4D7" w:rsidR="00547B96" w:rsidRDefault="00EC0A84" w:rsidP="00153899">
      <w:pPr>
        <w:spacing w:after="0" w:line="240" w:lineRule="auto"/>
        <w:rPr>
          <w:rFonts w:eastAsia="Calibri"/>
          <w:szCs w:val="24"/>
        </w:rPr>
      </w:pPr>
      <w:r w:rsidRPr="00EC0A84">
        <w:rPr>
          <w:rFonts w:eastAsia="Calibri"/>
          <w:szCs w:val="24"/>
        </w:rPr>
        <w:t>RECOMMENDED that the Council notes this report.</w:t>
      </w:r>
    </w:p>
    <w:p w14:paraId="7C08A0C4" w14:textId="4080E296" w:rsidR="00E66BF3" w:rsidRDefault="00E66BF3" w:rsidP="00153899">
      <w:pPr>
        <w:spacing w:after="0" w:line="240" w:lineRule="auto"/>
        <w:rPr>
          <w:rFonts w:eastAsia="Calibri"/>
          <w:szCs w:val="24"/>
        </w:rPr>
      </w:pPr>
      <w:r>
        <w:rPr>
          <w:rFonts w:eastAsia="Calibri"/>
          <w:szCs w:val="24"/>
        </w:rPr>
        <w:lastRenderedPageBreak/>
        <w:t>Proposed by Councillor Boyle, seconded by Councillor McKee that the recommendation be adopted.</w:t>
      </w:r>
    </w:p>
    <w:p w14:paraId="2B816365" w14:textId="1DCED76F" w:rsidR="00E66BF3" w:rsidRDefault="00E66BF3" w:rsidP="00153899">
      <w:pPr>
        <w:spacing w:after="0" w:line="240" w:lineRule="auto"/>
        <w:rPr>
          <w:rFonts w:eastAsia="Calibri"/>
          <w:szCs w:val="24"/>
        </w:rPr>
      </w:pPr>
    </w:p>
    <w:p w14:paraId="232B8A94" w14:textId="2F7C8C8A" w:rsidR="00E66BF3" w:rsidRDefault="00E66BF3" w:rsidP="00153899">
      <w:pPr>
        <w:spacing w:after="0" w:line="240" w:lineRule="auto"/>
        <w:rPr>
          <w:rFonts w:eastAsia="Calibri"/>
          <w:szCs w:val="24"/>
        </w:rPr>
      </w:pPr>
      <w:r>
        <w:rPr>
          <w:rFonts w:eastAsia="Calibri"/>
          <w:szCs w:val="24"/>
        </w:rPr>
        <w:t xml:space="preserve">Councillor </w:t>
      </w:r>
      <w:r w:rsidR="00D440ED">
        <w:rPr>
          <w:rFonts w:eastAsia="Calibri"/>
          <w:szCs w:val="24"/>
        </w:rPr>
        <w:t xml:space="preserve">Boyle </w:t>
      </w:r>
      <w:r>
        <w:rPr>
          <w:rFonts w:eastAsia="Calibri"/>
          <w:szCs w:val="24"/>
        </w:rPr>
        <w:t xml:space="preserve">queried the </w:t>
      </w:r>
      <w:r w:rsidR="002F4E78">
        <w:rPr>
          <w:rFonts w:eastAsia="Calibri"/>
          <w:szCs w:val="24"/>
        </w:rPr>
        <w:t xml:space="preserve">reported </w:t>
      </w:r>
      <w:r>
        <w:rPr>
          <w:rFonts w:eastAsia="Calibri"/>
          <w:szCs w:val="24"/>
        </w:rPr>
        <w:t xml:space="preserve">£925,000 adverse and it was explained that this was largely from </w:t>
      </w:r>
      <w:r w:rsidR="00D440ED">
        <w:rPr>
          <w:rFonts w:eastAsia="Calibri"/>
          <w:szCs w:val="24"/>
        </w:rPr>
        <w:t xml:space="preserve">the </w:t>
      </w:r>
      <w:r>
        <w:rPr>
          <w:rFonts w:eastAsia="Calibri"/>
          <w:szCs w:val="24"/>
        </w:rPr>
        <w:t>Assets and Property</w:t>
      </w:r>
      <w:r w:rsidR="00D440ED">
        <w:rPr>
          <w:rFonts w:eastAsia="Calibri"/>
          <w:szCs w:val="24"/>
        </w:rPr>
        <w:t xml:space="preserve"> section</w:t>
      </w:r>
      <w:r>
        <w:rPr>
          <w:rFonts w:eastAsia="Calibri"/>
          <w:szCs w:val="24"/>
        </w:rPr>
        <w:t xml:space="preserve"> where the utility budgets </w:t>
      </w:r>
      <w:r w:rsidR="00D440ED">
        <w:rPr>
          <w:rFonts w:eastAsia="Calibri"/>
          <w:szCs w:val="24"/>
        </w:rPr>
        <w:t>were</w:t>
      </w:r>
      <w:r>
        <w:rPr>
          <w:rFonts w:eastAsia="Calibri"/>
          <w:szCs w:val="24"/>
        </w:rPr>
        <w:t xml:space="preserve"> located.</w:t>
      </w:r>
      <w:r w:rsidR="00D440ED">
        <w:rPr>
          <w:rFonts w:eastAsia="Calibri"/>
          <w:szCs w:val="24"/>
        </w:rPr>
        <w:t xml:space="preserve"> The increased energy costs had brough</w:t>
      </w:r>
      <w:r w:rsidR="002F4E78">
        <w:rPr>
          <w:rFonts w:eastAsia="Calibri"/>
          <w:szCs w:val="24"/>
        </w:rPr>
        <w:t>t</w:t>
      </w:r>
      <w:r w:rsidR="00D440ED">
        <w:rPr>
          <w:rFonts w:eastAsia="Calibri"/>
          <w:szCs w:val="24"/>
        </w:rPr>
        <w:t xml:space="preserve"> additional pressures along with additional payroll costs in Waste and Cleansing due to the ongoing Covid-19 contingency measures throughout the reporting period.</w:t>
      </w:r>
    </w:p>
    <w:p w14:paraId="1D823C4C" w14:textId="284FF1FF" w:rsidR="00D440ED" w:rsidRDefault="00D440ED" w:rsidP="00153899">
      <w:pPr>
        <w:spacing w:after="0" w:line="240" w:lineRule="auto"/>
        <w:rPr>
          <w:rFonts w:eastAsia="Calibri"/>
          <w:szCs w:val="24"/>
        </w:rPr>
      </w:pPr>
    </w:p>
    <w:p w14:paraId="1E039AEE" w14:textId="0792A2FE" w:rsidR="00D440ED" w:rsidRDefault="002D03DD" w:rsidP="00153899">
      <w:pPr>
        <w:spacing w:after="0" w:line="240" w:lineRule="auto"/>
        <w:rPr>
          <w:rFonts w:eastAsia="Calibri"/>
          <w:szCs w:val="24"/>
        </w:rPr>
      </w:pPr>
      <w:r>
        <w:rPr>
          <w:rFonts w:eastAsia="Calibri"/>
          <w:szCs w:val="24"/>
        </w:rPr>
        <w:t>Noting a £164k adverse reported for ‘reactive maintenance’, C</w:t>
      </w:r>
      <w:r w:rsidR="00D440ED">
        <w:rPr>
          <w:rFonts w:eastAsia="Calibri"/>
          <w:szCs w:val="24"/>
        </w:rPr>
        <w:t>ouncillor MacArthur</w:t>
      </w:r>
      <w:r>
        <w:rPr>
          <w:rFonts w:eastAsia="Calibri"/>
          <w:szCs w:val="24"/>
        </w:rPr>
        <w:t xml:space="preserve"> asked for further detail and the Director explained that this proportion of maintenance spend was </w:t>
      </w:r>
      <w:r w:rsidR="00572326">
        <w:rPr>
          <w:rFonts w:eastAsia="Calibri"/>
          <w:szCs w:val="24"/>
        </w:rPr>
        <w:t>non-discretionary</w:t>
      </w:r>
      <w:r>
        <w:rPr>
          <w:rFonts w:eastAsia="Calibri"/>
          <w:szCs w:val="24"/>
        </w:rPr>
        <w:t xml:space="preserve"> </w:t>
      </w:r>
      <w:r w:rsidR="005F5549">
        <w:rPr>
          <w:rFonts w:eastAsia="Calibri"/>
          <w:szCs w:val="24"/>
        </w:rPr>
        <w:t>and where it was unforeseen/</w:t>
      </w:r>
      <w:r>
        <w:rPr>
          <w:rFonts w:eastAsia="Calibri"/>
          <w:szCs w:val="24"/>
        </w:rPr>
        <w:t xml:space="preserve">unscheduled </w:t>
      </w:r>
      <w:r w:rsidR="005F5549">
        <w:rPr>
          <w:rFonts w:eastAsia="Calibri"/>
          <w:szCs w:val="24"/>
        </w:rPr>
        <w:t xml:space="preserve">it was liable to result in overspend.  Works falling within this category were often </w:t>
      </w:r>
      <w:r>
        <w:rPr>
          <w:rFonts w:eastAsia="Calibri"/>
          <w:szCs w:val="24"/>
        </w:rPr>
        <w:t xml:space="preserve">safety </w:t>
      </w:r>
      <w:r w:rsidR="005F5549">
        <w:rPr>
          <w:rFonts w:eastAsia="Calibri"/>
          <w:szCs w:val="24"/>
        </w:rPr>
        <w:t>related</w:t>
      </w:r>
      <w:r>
        <w:rPr>
          <w:rFonts w:eastAsia="Calibri"/>
          <w:szCs w:val="24"/>
        </w:rPr>
        <w:t>. Councillor MacAr</w:t>
      </w:r>
      <w:r w:rsidR="005F5549">
        <w:rPr>
          <w:rFonts w:eastAsia="Calibri"/>
          <w:szCs w:val="24"/>
        </w:rPr>
        <w:t>th</w:t>
      </w:r>
      <w:r>
        <w:rPr>
          <w:rFonts w:eastAsia="Calibri"/>
          <w:szCs w:val="24"/>
        </w:rPr>
        <w:t xml:space="preserve">ur asked if there was a budget for responding to incidents of vandalism and the Director added that this sat within the reactive maintenance budget and that only a set amount was set aside each year. It was difficult to legislate for an unforeseen spate of vandalism for example so the budget could never be </w:t>
      </w:r>
      <w:r w:rsidR="005F5549">
        <w:rPr>
          <w:rFonts w:eastAsia="Calibri"/>
          <w:szCs w:val="24"/>
        </w:rPr>
        <w:t xml:space="preserve">completely </w:t>
      </w:r>
      <w:r>
        <w:rPr>
          <w:rFonts w:eastAsia="Calibri"/>
          <w:szCs w:val="24"/>
        </w:rPr>
        <w:t>accurate and would therefore result in an overspend if a spate of vandalism did occur.</w:t>
      </w:r>
    </w:p>
    <w:p w14:paraId="797D7A5C" w14:textId="5DCC219E" w:rsidR="002D03DD" w:rsidRDefault="002D03DD" w:rsidP="00153899">
      <w:pPr>
        <w:spacing w:after="0" w:line="240" w:lineRule="auto"/>
        <w:rPr>
          <w:rFonts w:eastAsia="Calibri"/>
          <w:szCs w:val="24"/>
        </w:rPr>
      </w:pPr>
    </w:p>
    <w:p w14:paraId="7B329086" w14:textId="488295EC" w:rsidR="002D03DD" w:rsidRDefault="002D03DD" w:rsidP="00153899">
      <w:pPr>
        <w:spacing w:after="0" w:line="240" w:lineRule="auto"/>
        <w:rPr>
          <w:rFonts w:eastAsia="Calibri"/>
          <w:szCs w:val="24"/>
        </w:rPr>
      </w:pPr>
      <w:r>
        <w:rPr>
          <w:rFonts w:eastAsia="Calibri"/>
          <w:szCs w:val="24"/>
        </w:rPr>
        <w:t xml:space="preserve">In a further query, Councillor MacArthur asked if there were budgets within other directorates to react to specific </w:t>
      </w:r>
      <w:r w:rsidR="002F4E78">
        <w:rPr>
          <w:rFonts w:eastAsia="Calibri"/>
          <w:szCs w:val="24"/>
        </w:rPr>
        <w:t>antisocial behaviour issues</w:t>
      </w:r>
      <w:r>
        <w:rPr>
          <w:rFonts w:eastAsia="Calibri"/>
          <w:szCs w:val="24"/>
        </w:rPr>
        <w:t xml:space="preserve"> such as goalposts being removed from a Council owned football pitch. The Director added that while there were pockets of funding for such maintenance issues within other directorates, property and maintenance budgets were now </w:t>
      </w:r>
      <w:r w:rsidR="005F5549">
        <w:rPr>
          <w:rFonts w:eastAsia="Calibri"/>
          <w:szCs w:val="24"/>
        </w:rPr>
        <w:t xml:space="preserve">largely </w:t>
      </w:r>
      <w:r>
        <w:rPr>
          <w:rFonts w:eastAsia="Calibri"/>
          <w:szCs w:val="24"/>
        </w:rPr>
        <w:t xml:space="preserve">centralised </w:t>
      </w:r>
      <w:r w:rsidR="002F4E78">
        <w:rPr>
          <w:rFonts w:eastAsia="Calibri"/>
          <w:szCs w:val="24"/>
        </w:rPr>
        <w:t>within this budget.</w:t>
      </w:r>
    </w:p>
    <w:p w14:paraId="5FA583CD" w14:textId="6BBE287C" w:rsidR="002F4E78" w:rsidRDefault="002F4E78" w:rsidP="00153899">
      <w:pPr>
        <w:spacing w:after="0" w:line="240" w:lineRule="auto"/>
        <w:rPr>
          <w:rFonts w:eastAsia="Calibri"/>
          <w:szCs w:val="24"/>
        </w:rPr>
      </w:pPr>
    </w:p>
    <w:p w14:paraId="79241527" w14:textId="191C0470" w:rsidR="002F4E78" w:rsidRDefault="002F4E78" w:rsidP="00153899">
      <w:pPr>
        <w:spacing w:after="0" w:line="240" w:lineRule="auto"/>
        <w:rPr>
          <w:rFonts w:eastAsia="Calibri"/>
          <w:szCs w:val="24"/>
        </w:rPr>
      </w:pPr>
      <w:r>
        <w:rPr>
          <w:rFonts w:eastAsia="Calibri"/>
          <w:szCs w:val="24"/>
        </w:rPr>
        <w:t xml:space="preserve">Councillor Smart queried a reported £122k overspend on vehicle maintenance and if the Vehicle Maintenance Policy needed to be reviewed. The Director explained that the factors behind that overspend related to increased cost pressures for parts and labour. That </w:t>
      </w:r>
      <w:r w:rsidR="005F5549">
        <w:rPr>
          <w:rFonts w:eastAsia="Calibri"/>
          <w:szCs w:val="24"/>
        </w:rPr>
        <w:t xml:space="preserve">unforeseen </w:t>
      </w:r>
      <w:r>
        <w:rPr>
          <w:rFonts w:eastAsia="Calibri"/>
          <w:szCs w:val="24"/>
        </w:rPr>
        <w:t>increase had been unbudgeted</w:t>
      </w:r>
      <w:r w:rsidR="005F5549">
        <w:rPr>
          <w:rFonts w:eastAsia="Calibri"/>
          <w:szCs w:val="24"/>
        </w:rPr>
        <w:t>,</w:t>
      </w:r>
      <w:r>
        <w:rPr>
          <w:rFonts w:eastAsia="Calibri"/>
          <w:szCs w:val="24"/>
        </w:rPr>
        <w:t xml:space="preserve"> but he felt that it was not </w:t>
      </w:r>
      <w:r w:rsidR="005F5549">
        <w:rPr>
          <w:rFonts w:eastAsia="Calibri"/>
          <w:szCs w:val="24"/>
        </w:rPr>
        <w:t>necessary</w:t>
      </w:r>
      <w:r>
        <w:rPr>
          <w:rFonts w:eastAsia="Calibri"/>
          <w:szCs w:val="24"/>
        </w:rPr>
        <w:t xml:space="preserve"> to review the Vehicle Maintenance Policy.</w:t>
      </w:r>
    </w:p>
    <w:p w14:paraId="48334174" w14:textId="7162DA40" w:rsidR="00572326" w:rsidRDefault="00572326" w:rsidP="00153899">
      <w:pPr>
        <w:spacing w:after="0" w:line="240" w:lineRule="auto"/>
        <w:rPr>
          <w:rFonts w:eastAsia="Calibri"/>
          <w:szCs w:val="24"/>
        </w:rPr>
      </w:pPr>
    </w:p>
    <w:p w14:paraId="785BC4A7" w14:textId="62E30631" w:rsidR="00572326" w:rsidRDefault="00572326" w:rsidP="00153899">
      <w:pPr>
        <w:spacing w:after="0" w:line="240" w:lineRule="auto"/>
        <w:rPr>
          <w:bCs/>
          <w:szCs w:val="24"/>
        </w:rPr>
      </w:pPr>
      <w:r>
        <w:rPr>
          <w:rFonts w:eastAsia="Calibri"/>
          <w:szCs w:val="24"/>
        </w:rPr>
        <w:t>Alderman Armstrong-Cotter had a further query around payroll budgets</w:t>
      </w:r>
      <w:r w:rsidR="005F5549">
        <w:rPr>
          <w:rFonts w:eastAsia="Calibri"/>
          <w:szCs w:val="24"/>
        </w:rPr>
        <w:t>,</w:t>
      </w:r>
      <w:r>
        <w:rPr>
          <w:rFonts w:eastAsia="Calibri"/>
          <w:szCs w:val="24"/>
        </w:rPr>
        <w:t xml:space="preserve"> and this would be discussed ‘in committee’.</w:t>
      </w:r>
    </w:p>
    <w:p w14:paraId="40F61584" w14:textId="77777777" w:rsidR="00547B96" w:rsidRDefault="00547B96" w:rsidP="00A33959">
      <w:pPr>
        <w:rPr>
          <w:bCs/>
          <w:szCs w:val="24"/>
        </w:rPr>
      </w:pPr>
    </w:p>
    <w:p w14:paraId="35453F38" w14:textId="53226EF7" w:rsidR="005C53B3" w:rsidRDefault="004F4039" w:rsidP="004F4039">
      <w:pPr>
        <w:spacing w:after="0" w:line="240" w:lineRule="auto"/>
        <w:ind w:left="0" w:firstLine="0"/>
        <w:rPr>
          <w:b/>
          <w:bCs/>
          <w:szCs w:val="24"/>
        </w:rPr>
      </w:pPr>
      <w:r w:rsidRPr="00421364">
        <w:rPr>
          <w:b/>
          <w:bCs/>
          <w:szCs w:val="24"/>
        </w:rPr>
        <w:t xml:space="preserve">AGREED TO RECOMMEND, on the proposal of </w:t>
      </w:r>
      <w:r w:rsidR="00E66BF3">
        <w:rPr>
          <w:b/>
          <w:bCs/>
          <w:szCs w:val="24"/>
        </w:rPr>
        <w:t>Councillor Boyle</w:t>
      </w:r>
      <w:r>
        <w:rPr>
          <w:b/>
          <w:bCs/>
          <w:szCs w:val="24"/>
        </w:rPr>
        <w:t xml:space="preserve">, </w:t>
      </w:r>
      <w:r w:rsidRPr="00421364">
        <w:rPr>
          <w:b/>
          <w:bCs/>
          <w:szCs w:val="24"/>
        </w:rPr>
        <w:t>seconded by</w:t>
      </w:r>
      <w:r>
        <w:rPr>
          <w:b/>
          <w:bCs/>
          <w:szCs w:val="24"/>
        </w:rPr>
        <w:t xml:space="preserve"> </w:t>
      </w:r>
      <w:r w:rsidR="00E66BF3">
        <w:rPr>
          <w:b/>
          <w:bCs/>
          <w:szCs w:val="24"/>
        </w:rPr>
        <w:t>Councillor McKee</w:t>
      </w:r>
      <w:r>
        <w:rPr>
          <w:b/>
          <w:bCs/>
          <w:szCs w:val="24"/>
        </w:rPr>
        <w:t>, that t</w:t>
      </w:r>
      <w:r w:rsidRPr="00421364">
        <w:rPr>
          <w:b/>
          <w:bCs/>
          <w:szCs w:val="24"/>
        </w:rPr>
        <w:t xml:space="preserve">he </w:t>
      </w:r>
      <w:r>
        <w:rPr>
          <w:b/>
          <w:bCs/>
          <w:szCs w:val="24"/>
        </w:rPr>
        <w:t>recommendation be adopted.</w:t>
      </w:r>
    </w:p>
    <w:bookmarkEnd w:id="1"/>
    <w:p w14:paraId="14C6C345" w14:textId="2D551CF9" w:rsidR="004F4039" w:rsidRDefault="004F4039" w:rsidP="004F4039">
      <w:pPr>
        <w:spacing w:after="0" w:line="240" w:lineRule="auto"/>
        <w:ind w:left="0" w:firstLine="0"/>
        <w:rPr>
          <w:b/>
          <w:bCs/>
          <w:szCs w:val="24"/>
        </w:rPr>
      </w:pPr>
      <w:r>
        <w:rPr>
          <w:b/>
          <w:bCs/>
          <w:szCs w:val="24"/>
        </w:rPr>
        <w:t xml:space="preserve">  </w:t>
      </w:r>
    </w:p>
    <w:p w14:paraId="6C3604F8" w14:textId="7F143368" w:rsidR="00153899" w:rsidRDefault="00153899" w:rsidP="00153899">
      <w:pPr>
        <w:pStyle w:val="Heading1"/>
        <w:ind w:left="720" w:hanging="720"/>
      </w:pPr>
      <w:r w:rsidRPr="00C264D3">
        <w:rPr>
          <w:u w:val="none"/>
        </w:rPr>
        <w:t>4.</w:t>
      </w:r>
      <w:r w:rsidRPr="00C264D3">
        <w:rPr>
          <w:u w:val="none"/>
        </w:rPr>
        <w:tab/>
      </w:r>
      <w:r w:rsidRPr="00153899">
        <w:t xml:space="preserve">Q1 Service Plan Performance Report for Regulatory </w:t>
      </w:r>
      <w:r w:rsidRPr="00EC0A84">
        <w:t>Services</w:t>
      </w:r>
      <w:r w:rsidR="00EC0A84" w:rsidRPr="00EC0A84">
        <w:t xml:space="preserve"> (FILE 43600)</w:t>
      </w:r>
    </w:p>
    <w:p w14:paraId="6F697F75" w14:textId="56033B3F" w:rsidR="00153899" w:rsidRPr="00365F80" w:rsidRDefault="00C264D3" w:rsidP="00153899">
      <w:pPr>
        <w:rPr>
          <w:szCs w:val="24"/>
        </w:rPr>
      </w:pPr>
      <w:r>
        <w:rPr>
          <w:b/>
          <w:bCs/>
          <w:sz w:val="28"/>
          <w:szCs w:val="32"/>
        </w:rPr>
        <w:tab/>
      </w:r>
      <w:r w:rsidR="00153899">
        <w:rPr>
          <w:b/>
          <w:bCs/>
          <w:sz w:val="28"/>
          <w:szCs w:val="32"/>
        </w:rPr>
        <w:tab/>
      </w:r>
      <w:r w:rsidR="00153899" w:rsidRPr="00365F80">
        <w:rPr>
          <w:szCs w:val="24"/>
        </w:rPr>
        <w:t>(Appendi</w:t>
      </w:r>
      <w:r w:rsidR="00153899">
        <w:rPr>
          <w:szCs w:val="24"/>
        </w:rPr>
        <w:t xml:space="preserve">x </w:t>
      </w:r>
      <w:r w:rsidR="00EC0A84">
        <w:rPr>
          <w:szCs w:val="24"/>
        </w:rPr>
        <w:t>I</w:t>
      </w:r>
      <w:r w:rsidR="00153899" w:rsidRPr="00365F80">
        <w:rPr>
          <w:szCs w:val="24"/>
        </w:rPr>
        <w:t>)</w:t>
      </w:r>
      <w:r w:rsidR="00153899" w:rsidRPr="00365F80">
        <w:rPr>
          <w:szCs w:val="24"/>
        </w:rPr>
        <w:tab/>
      </w:r>
    </w:p>
    <w:p w14:paraId="3D4BA99C" w14:textId="77777777" w:rsidR="00153899" w:rsidRDefault="00153899" w:rsidP="00153899">
      <w:pPr>
        <w:rPr>
          <w:szCs w:val="24"/>
        </w:rPr>
      </w:pPr>
    </w:p>
    <w:p w14:paraId="5428E3B5" w14:textId="1CAD2392" w:rsidR="00EC0A84" w:rsidRPr="00EC0A84" w:rsidRDefault="00153899" w:rsidP="00EC0A84">
      <w:pPr>
        <w:spacing w:after="0" w:line="240" w:lineRule="auto"/>
        <w:rPr>
          <w:rFonts w:eastAsia="Calibri"/>
          <w:szCs w:val="24"/>
        </w:rPr>
      </w:pPr>
      <w:r>
        <w:rPr>
          <w:rFonts w:eastAsia="Calibri"/>
          <w:szCs w:val="24"/>
        </w:rPr>
        <w:t xml:space="preserve">PREVIOUSLY CIRCULATED:- Report from the Director of Environment detailing that </w:t>
      </w:r>
      <w:r w:rsidR="00EC0A84" w:rsidRPr="00EC0A84">
        <w:rPr>
          <w:rFonts w:eastAsia="Calibri"/>
          <w:szCs w:val="24"/>
        </w:rPr>
        <w:t>Members would be aware that the Council was required, under the Local Government Act 2014, to have in place arrangements to secure continuous improvement in the exercise of its functions.  To fulfil this requirement the Council approved the Performance Management Policy and Handbook in October 2015.  The Performance Management Handbook outlined the approach to Performance Planning and Management process as:</w:t>
      </w:r>
    </w:p>
    <w:p w14:paraId="3FB4777D" w14:textId="77777777" w:rsidR="00EC0A84" w:rsidRPr="00EC0A84" w:rsidRDefault="00EC0A84" w:rsidP="00EC0A84">
      <w:pPr>
        <w:spacing w:after="0" w:line="240" w:lineRule="auto"/>
        <w:rPr>
          <w:rFonts w:eastAsia="Calibri"/>
          <w:szCs w:val="24"/>
        </w:rPr>
      </w:pPr>
    </w:p>
    <w:p w14:paraId="0958BCFF" w14:textId="77777777" w:rsidR="00EC0A84" w:rsidRPr="00EC0A84" w:rsidRDefault="00EC0A84" w:rsidP="00667A5D">
      <w:pPr>
        <w:numPr>
          <w:ilvl w:val="0"/>
          <w:numId w:val="4"/>
        </w:numPr>
        <w:spacing w:after="0" w:line="240" w:lineRule="auto"/>
        <w:rPr>
          <w:rFonts w:eastAsia="Calibri"/>
          <w:szCs w:val="24"/>
        </w:rPr>
      </w:pPr>
      <w:r w:rsidRPr="00EC0A84">
        <w:rPr>
          <w:rFonts w:eastAsia="Calibri"/>
          <w:szCs w:val="24"/>
        </w:rPr>
        <w:lastRenderedPageBreak/>
        <w:t xml:space="preserve">Community Plan – published every 10-15 years </w:t>
      </w:r>
    </w:p>
    <w:p w14:paraId="2C573A29" w14:textId="77777777" w:rsidR="00EC0A84" w:rsidRPr="00EC0A84" w:rsidRDefault="00EC0A84" w:rsidP="00667A5D">
      <w:pPr>
        <w:numPr>
          <w:ilvl w:val="0"/>
          <w:numId w:val="4"/>
        </w:numPr>
        <w:spacing w:after="0" w:line="240" w:lineRule="auto"/>
        <w:rPr>
          <w:rFonts w:eastAsia="Calibri"/>
          <w:szCs w:val="24"/>
        </w:rPr>
      </w:pPr>
      <w:r w:rsidRPr="00EC0A84">
        <w:rPr>
          <w:rFonts w:eastAsia="Calibri"/>
          <w:szCs w:val="24"/>
        </w:rPr>
        <w:t>Corporate Plan – published every 4 years (Corporate Plan Towards 2024 in operation)</w:t>
      </w:r>
    </w:p>
    <w:p w14:paraId="295F013A" w14:textId="77777777" w:rsidR="00EC0A84" w:rsidRPr="00EC0A84" w:rsidRDefault="00EC0A84" w:rsidP="00667A5D">
      <w:pPr>
        <w:numPr>
          <w:ilvl w:val="0"/>
          <w:numId w:val="4"/>
        </w:numPr>
        <w:spacing w:after="0" w:line="240" w:lineRule="auto"/>
        <w:rPr>
          <w:rFonts w:eastAsia="Calibri"/>
          <w:szCs w:val="24"/>
        </w:rPr>
      </w:pPr>
      <w:r w:rsidRPr="00EC0A84">
        <w:rPr>
          <w:rFonts w:eastAsia="Calibri"/>
          <w:szCs w:val="24"/>
        </w:rPr>
        <w:t>Performance Improvement Plan (PIP) – published annually (for publication 30 September 2021)</w:t>
      </w:r>
    </w:p>
    <w:p w14:paraId="3CBEC8BD" w14:textId="77777777" w:rsidR="00EC0A84" w:rsidRPr="00EC0A84" w:rsidRDefault="00EC0A84" w:rsidP="00667A5D">
      <w:pPr>
        <w:numPr>
          <w:ilvl w:val="0"/>
          <w:numId w:val="4"/>
        </w:numPr>
        <w:spacing w:after="0" w:line="240" w:lineRule="auto"/>
        <w:rPr>
          <w:rFonts w:eastAsia="Calibri"/>
          <w:szCs w:val="24"/>
        </w:rPr>
      </w:pPr>
      <w:r w:rsidRPr="00EC0A84">
        <w:rPr>
          <w:rFonts w:eastAsia="Calibri"/>
          <w:szCs w:val="24"/>
        </w:rPr>
        <w:t>Service Plan – developed annually (approved April/May 2021)</w:t>
      </w:r>
    </w:p>
    <w:p w14:paraId="7E27DD1D" w14:textId="77777777" w:rsidR="00EC0A84" w:rsidRPr="00EC0A84" w:rsidRDefault="00EC0A84" w:rsidP="00EC0A84">
      <w:pPr>
        <w:spacing w:after="0" w:line="240" w:lineRule="auto"/>
        <w:rPr>
          <w:rFonts w:eastAsia="Calibri"/>
          <w:szCs w:val="24"/>
        </w:rPr>
      </w:pPr>
    </w:p>
    <w:p w14:paraId="5A5A954C" w14:textId="77777777" w:rsidR="00EC0A84" w:rsidRPr="00EC0A84" w:rsidRDefault="00EC0A84" w:rsidP="00EC0A84">
      <w:pPr>
        <w:spacing w:after="0" w:line="240" w:lineRule="auto"/>
        <w:rPr>
          <w:rFonts w:eastAsia="Calibri"/>
          <w:szCs w:val="24"/>
        </w:rPr>
      </w:pPr>
      <w:r w:rsidRPr="00EC0A84">
        <w:rPr>
          <w:rFonts w:eastAsia="Calibri"/>
          <w:szCs w:val="24"/>
        </w:rPr>
        <w:t>The Council’s 17 Service Plans outlined how each respective Service would contribute to the achievement of the Corporate objectives including, but not limited to, any relevant actions identified in the PIP.</w:t>
      </w:r>
    </w:p>
    <w:p w14:paraId="601E76E0" w14:textId="77777777" w:rsidR="00EC0A84" w:rsidRPr="00EC0A84" w:rsidRDefault="00EC0A84" w:rsidP="00EC0A84">
      <w:pPr>
        <w:spacing w:after="0" w:line="240" w:lineRule="auto"/>
        <w:rPr>
          <w:rFonts w:eastAsia="Calibri"/>
          <w:b/>
          <w:szCs w:val="24"/>
        </w:rPr>
      </w:pPr>
    </w:p>
    <w:p w14:paraId="0BC3494B" w14:textId="77777777" w:rsidR="00EC0A84" w:rsidRPr="00EC0A84" w:rsidRDefault="00EC0A84" w:rsidP="00EC0A84">
      <w:pPr>
        <w:spacing w:after="0" w:line="240" w:lineRule="auto"/>
        <w:rPr>
          <w:rFonts w:eastAsia="Calibri"/>
          <w:b/>
          <w:szCs w:val="24"/>
        </w:rPr>
      </w:pPr>
      <w:r w:rsidRPr="00EC0A84">
        <w:rPr>
          <w:rFonts w:eastAsia="Calibri"/>
          <w:b/>
          <w:szCs w:val="24"/>
        </w:rPr>
        <w:t>Reporting approach</w:t>
      </w:r>
    </w:p>
    <w:p w14:paraId="5DDF7486" w14:textId="77777777" w:rsidR="00EC0A84" w:rsidRPr="00EC0A84" w:rsidRDefault="00EC0A84" w:rsidP="00EC0A84">
      <w:pPr>
        <w:spacing w:after="0" w:line="240" w:lineRule="auto"/>
        <w:rPr>
          <w:rFonts w:eastAsia="Calibri"/>
          <w:szCs w:val="24"/>
        </w:rPr>
      </w:pPr>
      <w:r w:rsidRPr="00EC0A84">
        <w:rPr>
          <w:rFonts w:eastAsia="Calibri"/>
          <w:szCs w:val="24"/>
        </w:rPr>
        <w:t>The Service Plans would be reported to relevant Committees on a quarterly basis as undernoted:</w:t>
      </w:r>
    </w:p>
    <w:p w14:paraId="60860DF2" w14:textId="77777777" w:rsidR="00EC0A84" w:rsidRPr="00EC0A84" w:rsidRDefault="00EC0A84" w:rsidP="00EC0A84">
      <w:pPr>
        <w:spacing w:after="0" w:line="240" w:lineRule="auto"/>
        <w:rPr>
          <w:rFonts w:eastAsia="Calibri"/>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2"/>
        <w:gridCol w:w="3118"/>
        <w:gridCol w:w="3776"/>
      </w:tblGrid>
      <w:tr w:rsidR="00EC0A84" w:rsidRPr="00EC0A84" w14:paraId="56099EC5" w14:textId="77777777" w:rsidTr="00BC1ACF">
        <w:tc>
          <w:tcPr>
            <w:tcW w:w="2122" w:type="dxa"/>
            <w:tcBorders>
              <w:top w:val="single" w:sz="4" w:space="0" w:color="auto"/>
              <w:left w:val="single" w:sz="4" w:space="0" w:color="auto"/>
              <w:bottom w:val="single" w:sz="4" w:space="0" w:color="auto"/>
              <w:right w:val="single" w:sz="4" w:space="0" w:color="auto"/>
            </w:tcBorders>
            <w:shd w:val="clear" w:color="auto" w:fill="BDD6EE"/>
            <w:hideMark/>
          </w:tcPr>
          <w:p w14:paraId="11D1F1E1" w14:textId="77777777" w:rsidR="00EC0A84" w:rsidRPr="00EC0A84" w:rsidRDefault="00EC0A84" w:rsidP="00EC0A84">
            <w:pPr>
              <w:spacing w:after="0" w:line="240" w:lineRule="auto"/>
              <w:rPr>
                <w:rFonts w:eastAsia="Calibri"/>
                <w:b/>
                <w:szCs w:val="24"/>
              </w:rPr>
            </w:pPr>
            <w:r w:rsidRPr="00EC0A84">
              <w:rPr>
                <w:rFonts w:eastAsia="Calibri"/>
                <w:b/>
                <w:szCs w:val="24"/>
              </w:rPr>
              <w:t>Reference</w:t>
            </w:r>
          </w:p>
        </w:tc>
        <w:tc>
          <w:tcPr>
            <w:tcW w:w="3118" w:type="dxa"/>
            <w:tcBorders>
              <w:top w:val="single" w:sz="4" w:space="0" w:color="auto"/>
              <w:left w:val="single" w:sz="4" w:space="0" w:color="auto"/>
              <w:bottom w:val="single" w:sz="4" w:space="0" w:color="auto"/>
              <w:right w:val="single" w:sz="4" w:space="0" w:color="auto"/>
            </w:tcBorders>
            <w:shd w:val="clear" w:color="auto" w:fill="BDD6EE"/>
            <w:hideMark/>
          </w:tcPr>
          <w:p w14:paraId="3E390CF8" w14:textId="77777777" w:rsidR="00EC0A84" w:rsidRPr="00EC0A84" w:rsidRDefault="00EC0A84" w:rsidP="00EC0A84">
            <w:pPr>
              <w:spacing w:after="0" w:line="240" w:lineRule="auto"/>
              <w:rPr>
                <w:rFonts w:eastAsia="Calibri"/>
                <w:b/>
                <w:szCs w:val="24"/>
              </w:rPr>
            </w:pPr>
            <w:r w:rsidRPr="00EC0A84">
              <w:rPr>
                <w:rFonts w:eastAsia="Calibri"/>
                <w:b/>
                <w:szCs w:val="24"/>
              </w:rPr>
              <w:t>Period</w:t>
            </w:r>
          </w:p>
        </w:tc>
        <w:tc>
          <w:tcPr>
            <w:tcW w:w="3776" w:type="dxa"/>
            <w:tcBorders>
              <w:top w:val="single" w:sz="4" w:space="0" w:color="auto"/>
              <w:left w:val="single" w:sz="4" w:space="0" w:color="auto"/>
              <w:bottom w:val="single" w:sz="4" w:space="0" w:color="auto"/>
              <w:right w:val="single" w:sz="4" w:space="0" w:color="auto"/>
            </w:tcBorders>
            <w:shd w:val="clear" w:color="auto" w:fill="BDD6EE"/>
            <w:hideMark/>
          </w:tcPr>
          <w:p w14:paraId="2DB363D5" w14:textId="77777777" w:rsidR="00EC0A84" w:rsidRPr="00EC0A84" w:rsidRDefault="00EC0A84" w:rsidP="00EC0A84">
            <w:pPr>
              <w:spacing w:after="0" w:line="240" w:lineRule="auto"/>
              <w:rPr>
                <w:rFonts w:eastAsia="Calibri"/>
                <w:b/>
                <w:szCs w:val="24"/>
              </w:rPr>
            </w:pPr>
            <w:r w:rsidRPr="00EC0A84">
              <w:rPr>
                <w:rFonts w:eastAsia="Calibri"/>
                <w:b/>
                <w:szCs w:val="24"/>
              </w:rPr>
              <w:t>Reporting Month</w:t>
            </w:r>
          </w:p>
        </w:tc>
      </w:tr>
      <w:tr w:rsidR="00EC0A84" w:rsidRPr="00EC0A84" w14:paraId="7F16E066" w14:textId="77777777" w:rsidTr="00BC1ACF">
        <w:tc>
          <w:tcPr>
            <w:tcW w:w="2122" w:type="dxa"/>
            <w:tcBorders>
              <w:top w:val="single" w:sz="4" w:space="0" w:color="auto"/>
              <w:left w:val="single" w:sz="4" w:space="0" w:color="auto"/>
              <w:bottom w:val="single" w:sz="4" w:space="0" w:color="auto"/>
              <w:right w:val="single" w:sz="4" w:space="0" w:color="auto"/>
            </w:tcBorders>
            <w:hideMark/>
          </w:tcPr>
          <w:p w14:paraId="4A1CD4D7" w14:textId="77777777" w:rsidR="00EC0A84" w:rsidRPr="00EC0A84" w:rsidRDefault="00EC0A84" w:rsidP="00EC0A84">
            <w:pPr>
              <w:spacing w:after="0" w:line="240" w:lineRule="auto"/>
              <w:rPr>
                <w:rFonts w:eastAsia="Calibri"/>
                <w:szCs w:val="24"/>
              </w:rPr>
            </w:pPr>
            <w:r w:rsidRPr="00EC0A84">
              <w:rPr>
                <w:rFonts w:eastAsia="Calibri"/>
                <w:szCs w:val="24"/>
              </w:rPr>
              <w:t>Quarter 1 (Q1)</w:t>
            </w:r>
          </w:p>
        </w:tc>
        <w:tc>
          <w:tcPr>
            <w:tcW w:w="3118" w:type="dxa"/>
            <w:tcBorders>
              <w:top w:val="single" w:sz="4" w:space="0" w:color="auto"/>
              <w:left w:val="single" w:sz="4" w:space="0" w:color="auto"/>
              <w:bottom w:val="single" w:sz="4" w:space="0" w:color="auto"/>
              <w:right w:val="single" w:sz="4" w:space="0" w:color="auto"/>
            </w:tcBorders>
            <w:hideMark/>
          </w:tcPr>
          <w:p w14:paraId="4F1E1DD0" w14:textId="77777777" w:rsidR="00EC0A84" w:rsidRPr="00EC0A84" w:rsidRDefault="00EC0A84" w:rsidP="00EC0A84">
            <w:pPr>
              <w:spacing w:after="0" w:line="240" w:lineRule="auto"/>
              <w:rPr>
                <w:rFonts w:eastAsia="Calibri"/>
                <w:szCs w:val="24"/>
              </w:rPr>
            </w:pPr>
            <w:r w:rsidRPr="00EC0A84">
              <w:rPr>
                <w:rFonts w:eastAsia="Calibri"/>
                <w:szCs w:val="24"/>
              </w:rPr>
              <w:t>April – June</w:t>
            </w:r>
          </w:p>
        </w:tc>
        <w:tc>
          <w:tcPr>
            <w:tcW w:w="3776" w:type="dxa"/>
            <w:tcBorders>
              <w:top w:val="single" w:sz="4" w:space="0" w:color="auto"/>
              <w:left w:val="single" w:sz="4" w:space="0" w:color="auto"/>
              <w:bottom w:val="single" w:sz="4" w:space="0" w:color="auto"/>
              <w:right w:val="single" w:sz="4" w:space="0" w:color="auto"/>
            </w:tcBorders>
            <w:hideMark/>
          </w:tcPr>
          <w:p w14:paraId="516A8902" w14:textId="77777777" w:rsidR="00EC0A84" w:rsidRPr="00EC0A84" w:rsidRDefault="00EC0A84" w:rsidP="00EC0A84">
            <w:pPr>
              <w:spacing w:after="0" w:line="240" w:lineRule="auto"/>
              <w:rPr>
                <w:rFonts w:eastAsia="Calibri"/>
                <w:szCs w:val="24"/>
              </w:rPr>
            </w:pPr>
            <w:r w:rsidRPr="00EC0A84">
              <w:rPr>
                <w:rFonts w:eastAsia="Calibri"/>
                <w:szCs w:val="24"/>
              </w:rPr>
              <w:t>September</w:t>
            </w:r>
          </w:p>
        </w:tc>
      </w:tr>
      <w:tr w:rsidR="00EC0A84" w:rsidRPr="00EC0A84" w14:paraId="001B06FE" w14:textId="77777777" w:rsidTr="00BC1ACF">
        <w:tc>
          <w:tcPr>
            <w:tcW w:w="2122" w:type="dxa"/>
            <w:tcBorders>
              <w:top w:val="single" w:sz="4" w:space="0" w:color="auto"/>
              <w:left w:val="single" w:sz="4" w:space="0" w:color="auto"/>
              <w:bottom w:val="single" w:sz="4" w:space="0" w:color="auto"/>
              <w:right w:val="single" w:sz="4" w:space="0" w:color="auto"/>
            </w:tcBorders>
            <w:hideMark/>
          </w:tcPr>
          <w:p w14:paraId="2BAB9E9E" w14:textId="77777777" w:rsidR="00EC0A84" w:rsidRPr="00EC0A84" w:rsidRDefault="00EC0A84" w:rsidP="00EC0A84">
            <w:pPr>
              <w:spacing w:after="0" w:line="240" w:lineRule="auto"/>
              <w:rPr>
                <w:rFonts w:eastAsia="Calibri"/>
                <w:szCs w:val="24"/>
              </w:rPr>
            </w:pPr>
            <w:r w:rsidRPr="00EC0A84">
              <w:rPr>
                <w:rFonts w:eastAsia="Calibri"/>
                <w:szCs w:val="24"/>
              </w:rPr>
              <w:t>Q2</w:t>
            </w:r>
          </w:p>
        </w:tc>
        <w:tc>
          <w:tcPr>
            <w:tcW w:w="3118" w:type="dxa"/>
            <w:tcBorders>
              <w:top w:val="single" w:sz="4" w:space="0" w:color="auto"/>
              <w:left w:val="single" w:sz="4" w:space="0" w:color="auto"/>
              <w:bottom w:val="single" w:sz="4" w:space="0" w:color="auto"/>
              <w:right w:val="single" w:sz="4" w:space="0" w:color="auto"/>
            </w:tcBorders>
            <w:hideMark/>
          </w:tcPr>
          <w:p w14:paraId="71F0ED16" w14:textId="77777777" w:rsidR="00EC0A84" w:rsidRPr="00EC0A84" w:rsidRDefault="00EC0A84" w:rsidP="00EC0A84">
            <w:pPr>
              <w:spacing w:after="0" w:line="240" w:lineRule="auto"/>
              <w:rPr>
                <w:rFonts w:eastAsia="Calibri"/>
                <w:szCs w:val="24"/>
              </w:rPr>
            </w:pPr>
            <w:r w:rsidRPr="00EC0A84">
              <w:rPr>
                <w:rFonts w:eastAsia="Calibri"/>
                <w:szCs w:val="24"/>
              </w:rPr>
              <w:t>July – September</w:t>
            </w:r>
          </w:p>
        </w:tc>
        <w:tc>
          <w:tcPr>
            <w:tcW w:w="3776" w:type="dxa"/>
            <w:tcBorders>
              <w:top w:val="single" w:sz="4" w:space="0" w:color="auto"/>
              <w:left w:val="single" w:sz="4" w:space="0" w:color="auto"/>
              <w:bottom w:val="single" w:sz="4" w:space="0" w:color="auto"/>
              <w:right w:val="single" w:sz="4" w:space="0" w:color="auto"/>
            </w:tcBorders>
            <w:hideMark/>
          </w:tcPr>
          <w:p w14:paraId="42C44F17" w14:textId="77777777" w:rsidR="00EC0A84" w:rsidRPr="00EC0A84" w:rsidRDefault="00EC0A84" w:rsidP="00EC0A84">
            <w:pPr>
              <w:spacing w:after="0" w:line="240" w:lineRule="auto"/>
              <w:rPr>
                <w:rFonts w:eastAsia="Calibri"/>
                <w:szCs w:val="24"/>
              </w:rPr>
            </w:pPr>
            <w:r w:rsidRPr="00EC0A84">
              <w:rPr>
                <w:rFonts w:eastAsia="Calibri"/>
                <w:szCs w:val="24"/>
              </w:rPr>
              <w:t>December</w:t>
            </w:r>
          </w:p>
        </w:tc>
      </w:tr>
      <w:tr w:rsidR="00EC0A84" w:rsidRPr="00EC0A84" w14:paraId="75CB2A0F" w14:textId="77777777" w:rsidTr="00BC1ACF">
        <w:tc>
          <w:tcPr>
            <w:tcW w:w="2122" w:type="dxa"/>
            <w:tcBorders>
              <w:top w:val="single" w:sz="4" w:space="0" w:color="auto"/>
              <w:left w:val="single" w:sz="4" w:space="0" w:color="auto"/>
              <w:bottom w:val="single" w:sz="4" w:space="0" w:color="auto"/>
              <w:right w:val="single" w:sz="4" w:space="0" w:color="auto"/>
            </w:tcBorders>
            <w:hideMark/>
          </w:tcPr>
          <w:p w14:paraId="27E7E563" w14:textId="77777777" w:rsidR="00EC0A84" w:rsidRPr="00EC0A84" w:rsidRDefault="00EC0A84" w:rsidP="00EC0A84">
            <w:pPr>
              <w:spacing w:after="0" w:line="240" w:lineRule="auto"/>
              <w:rPr>
                <w:rFonts w:eastAsia="Calibri"/>
                <w:szCs w:val="24"/>
              </w:rPr>
            </w:pPr>
            <w:r w:rsidRPr="00EC0A84">
              <w:rPr>
                <w:rFonts w:eastAsia="Calibri"/>
                <w:szCs w:val="24"/>
              </w:rPr>
              <w:t>Q3</w:t>
            </w:r>
          </w:p>
        </w:tc>
        <w:tc>
          <w:tcPr>
            <w:tcW w:w="3118" w:type="dxa"/>
            <w:tcBorders>
              <w:top w:val="single" w:sz="4" w:space="0" w:color="auto"/>
              <w:left w:val="single" w:sz="4" w:space="0" w:color="auto"/>
              <w:bottom w:val="single" w:sz="4" w:space="0" w:color="auto"/>
              <w:right w:val="single" w:sz="4" w:space="0" w:color="auto"/>
            </w:tcBorders>
            <w:hideMark/>
          </w:tcPr>
          <w:p w14:paraId="0657D9C4" w14:textId="77777777" w:rsidR="00EC0A84" w:rsidRPr="00EC0A84" w:rsidRDefault="00EC0A84" w:rsidP="00EC0A84">
            <w:pPr>
              <w:spacing w:after="0" w:line="240" w:lineRule="auto"/>
              <w:rPr>
                <w:rFonts w:eastAsia="Calibri"/>
                <w:szCs w:val="24"/>
              </w:rPr>
            </w:pPr>
            <w:r w:rsidRPr="00EC0A84">
              <w:rPr>
                <w:rFonts w:eastAsia="Calibri"/>
                <w:szCs w:val="24"/>
              </w:rPr>
              <w:t>October – December</w:t>
            </w:r>
          </w:p>
        </w:tc>
        <w:tc>
          <w:tcPr>
            <w:tcW w:w="3776" w:type="dxa"/>
            <w:tcBorders>
              <w:top w:val="single" w:sz="4" w:space="0" w:color="auto"/>
              <w:left w:val="single" w:sz="4" w:space="0" w:color="auto"/>
              <w:bottom w:val="single" w:sz="4" w:space="0" w:color="auto"/>
              <w:right w:val="single" w:sz="4" w:space="0" w:color="auto"/>
            </w:tcBorders>
            <w:hideMark/>
          </w:tcPr>
          <w:p w14:paraId="7349EB0C" w14:textId="77777777" w:rsidR="00EC0A84" w:rsidRPr="00EC0A84" w:rsidRDefault="00EC0A84" w:rsidP="00EC0A84">
            <w:pPr>
              <w:spacing w:after="0" w:line="240" w:lineRule="auto"/>
              <w:rPr>
                <w:rFonts w:eastAsia="Calibri"/>
                <w:szCs w:val="24"/>
              </w:rPr>
            </w:pPr>
            <w:r w:rsidRPr="00EC0A84">
              <w:rPr>
                <w:rFonts w:eastAsia="Calibri"/>
                <w:szCs w:val="24"/>
              </w:rPr>
              <w:t>March</w:t>
            </w:r>
          </w:p>
        </w:tc>
      </w:tr>
      <w:tr w:rsidR="00EC0A84" w:rsidRPr="00EC0A84" w14:paraId="30BBB5FA" w14:textId="77777777" w:rsidTr="00BC1ACF">
        <w:tc>
          <w:tcPr>
            <w:tcW w:w="2122" w:type="dxa"/>
            <w:tcBorders>
              <w:top w:val="single" w:sz="4" w:space="0" w:color="auto"/>
              <w:left w:val="single" w:sz="4" w:space="0" w:color="auto"/>
              <w:bottom w:val="single" w:sz="4" w:space="0" w:color="auto"/>
              <w:right w:val="single" w:sz="4" w:space="0" w:color="auto"/>
            </w:tcBorders>
            <w:hideMark/>
          </w:tcPr>
          <w:p w14:paraId="0E1987A6" w14:textId="77777777" w:rsidR="00EC0A84" w:rsidRPr="00EC0A84" w:rsidRDefault="00EC0A84" w:rsidP="00EC0A84">
            <w:pPr>
              <w:spacing w:after="0" w:line="240" w:lineRule="auto"/>
              <w:rPr>
                <w:rFonts w:eastAsia="Calibri"/>
                <w:szCs w:val="24"/>
              </w:rPr>
            </w:pPr>
            <w:r w:rsidRPr="00EC0A84">
              <w:rPr>
                <w:rFonts w:eastAsia="Calibri"/>
                <w:szCs w:val="24"/>
              </w:rPr>
              <w:t>Q4</w:t>
            </w:r>
          </w:p>
        </w:tc>
        <w:tc>
          <w:tcPr>
            <w:tcW w:w="3118" w:type="dxa"/>
            <w:tcBorders>
              <w:top w:val="single" w:sz="4" w:space="0" w:color="auto"/>
              <w:left w:val="single" w:sz="4" w:space="0" w:color="auto"/>
              <w:bottom w:val="single" w:sz="4" w:space="0" w:color="auto"/>
              <w:right w:val="single" w:sz="4" w:space="0" w:color="auto"/>
            </w:tcBorders>
            <w:hideMark/>
          </w:tcPr>
          <w:p w14:paraId="0475AB13" w14:textId="77777777" w:rsidR="00EC0A84" w:rsidRPr="00EC0A84" w:rsidRDefault="00EC0A84" w:rsidP="00EC0A84">
            <w:pPr>
              <w:spacing w:after="0" w:line="240" w:lineRule="auto"/>
              <w:rPr>
                <w:rFonts w:eastAsia="Calibri"/>
                <w:szCs w:val="24"/>
              </w:rPr>
            </w:pPr>
            <w:r w:rsidRPr="00EC0A84">
              <w:rPr>
                <w:rFonts w:eastAsia="Calibri"/>
                <w:szCs w:val="24"/>
              </w:rPr>
              <w:t>January - March</w:t>
            </w:r>
          </w:p>
        </w:tc>
        <w:tc>
          <w:tcPr>
            <w:tcW w:w="3776" w:type="dxa"/>
            <w:tcBorders>
              <w:top w:val="single" w:sz="4" w:space="0" w:color="auto"/>
              <w:left w:val="single" w:sz="4" w:space="0" w:color="auto"/>
              <w:bottom w:val="single" w:sz="4" w:space="0" w:color="auto"/>
              <w:right w:val="single" w:sz="4" w:space="0" w:color="auto"/>
            </w:tcBorders>
            <w:hideMark/>
          </w:tcPr>
          <w:p w14:paraId="31309B1F" w14:textId="77777777" w:rsidR="00EC0A84" w:rsidRPr="00EC0A84" w:rsidRDefault="00EC0A84" w:rsidP="00EC0A84">
            <w:pPr>
              <w:spacing w:after="0" w:line="240" w:lineRule="auto"/>
              <w:rPr>
                <w:rFonts w:eastAsia="Calibri"/>
                <w:szCs w:val="24"/>
              </w:rPr>
            </w:pPr>
            <w:r w:rsidRPr="00EC0A84">
              <w:rPr>
                <w:rFonts w:eastAsia="Calibri"/>
                <w:szCs w:val="24"/>
              </w:rPr>
              <w:t>June</w:t>
            </w:r>
          </w:p>
        </w:tc>
      </w:tr>
    </w:tbl>
    <w:p w14:paraId="2C40F6C3" w14:textId="77777777" w:rsidR="00EC0A84" w:rsidRPr="00EC0A84" w:rsidRDefault="00EC0A84" w:rsidP="00EC0A84">
      <w:pPr>
        <w:spacing w:after="0" w:line="240" w:lineRule="auto"/>
        <w:rPr>
          <w:rFonts w:eastAsia="Calibri"/>
          <w:szCs w:val="24"/>
        </w:rPr>
      </w:pPr>
    </w:p>
    <w:p w14:paraId="5347607E" w14:textId="77777777" w:rsidR="00EC0A84" w:rsidRPr="00EC0A84" w:rsidRDefault="00EC0A84" w:rsidP="00EC0A84">
      <w:pPr>
        <w:spacing w:after="0" w:line="240" w:lineRule="auto"/>
        <w:rPr>
          <w:rFonts w:eastAsia="Calibri"/>
          <w:szCs w:val="24"/>
        </w:rPr>
      </w:pPr>
      <w:r w:rsidRPr="00EC0A84">
        <w:rPr>
          <w:rFonts w:eastAsia="Calibri"/>
          <w:szCs w:val="24"/>
        </w:rPr>
        <w:t>The report for Quarter 1 2022-23 was attached.</w:t>
      </w:r>
    </w:p>
    <w:p w14:paraId="744DB0D0" w14:textId="77777777" w:rsidR="00EC0A84" w:rsidRPr="00EC0A84" w:rsidRDefault="00EC0A84" w:rsidP="00EC0A84">
      <w:pPr>
        <w:spacing w:after="0" w:line="240" w:lineRule="auto"/>
        <w:rPr>
          <w:rFonts w:eastAsia="Calibri"/>
          <w:szCs w:val="24"/>
        </w:rPr>
      </w:pPr>
    </w:p>
    <w:p w14:paraId="6385231B" w14:textId="77777777" w:rsidR="00EC0A84" w:rsidRPr="00EC0A84" w:rsidRDefault="00EC0A84" w:rsidP="00EC0A84">
      <w:pPr>
        <w:spacing w:after="0" w:line="240" w:lineRule="auto"/>
        <w:rPr>
          <w:rFonts w:eastAsia="Calibri"/>
          <w:b/>
          <w:szCs w:val="24"/>
        </w:rPr>
      </w:pPr>
      <w:r w:rsidRPr="00EC0A84">
        <w:rPr>
          <w:rFonts w:eastAsia="Calibri"/>
          <w:b/>
          <w:szCs w:val="24"/>
        </w:rPr>
        <w:t>Key achievements:</w:t>
      </w:r>
    </w:p>
    <w:p w14:paraId="05A0B348" w14:textId="77777777" w:rsidR="00EC0A84" w:rsidRPr="00EC0A84" w:rsidRDefault="00EC0A84" w:rsidP="00667A5D">
      <w:pPr>
        <w:numPr>
          <w:ilvl w:val="0"/>
          <w:numId w:val="5"/>
        </w:numPr>
        <w:spacing w:after="0" w:line="240" w:lineRule="auto"/>
        <w:rPr>
          <w:rFonts w:eastAsia="Calibri"/>
          <w:szCs w:val="24"/>
        </w:rPr>
      </w:pPr>
      <w:r w:rsidRPr="00EC0A84">
        <w:rPr>
          <w:rFonts w:eastAsia="Calibri"/>
          <w:szCs w:val="24"/>
        </w:rPr>
        <w:t xml:space="preserve">Building Control was extremely busy and was meeting the increased demand and was therefore generating a larger than expected income. The Licensing Department also faced the increased demand of interpreting changing legislation and guidance from the NI Executive as well as being short staffed. The enforcement element of NET had struggled to maintain and recruit staff, despite </w:t>
      </w:r>
      <w:bookmarkStart w:id="2" w:name="_Hlk118376585"/>
      <w:r w:rsidRPr="00EC0A84">
        <w:rPr>
          <w:rFonts w:eastAsia="Calibri"/>
          <w:szCs w:val="24"/>
        </w:rPr>
        <w:t>being 65% down on personnel the staff continue to patrol the hotspot areas across the borough.</w:t>
      </w:r>
      <w:bookmarkEnd w:id="2"/>
      <w:r w:rsidRPr="00EC0A84">
        <w:rPr>
          <w:rFonts w:eastAsia="Calibri"/>
          <w:szCs w:val="24"/>
        </w:rPr>
        <w:t xml:space="preserve"> </w:t>
      </w:r>
    </w:p>
    <w:p w14:paraId="010A76ED" w14:textId="77777777" w:rsidR="00EC0A84" w:rsidRPr="00EC0A84" w:rsidRDefault="00EC0A84" w:rsidP="00EC0A84">
      <w:pPr>
        <w:spacing w:after="0" w:line="240" w:lineRule="auto"/>
        <w:rPr>
          <w:rFonts w:eastAsia="Calibri"/>
          <w:szCs w:val="24"/>
        </w:rPr>
      </w:pPr>
    </w:p>
    <w:p w14:paraId="09810432" w14:textId="77777777" w:rsidR="00EC0A84" w:rsidRPr="00EC0A84" w:rsidRDefault="00EC0A84" w:rsidP="00EC0A84">
      <w:pPr>
        <w:spacing w:after="0" w:line="240" w:lineRule="auto"/>
        <w:rPr>
          <w:rFonts w:eastAsia="Calibri"/>
          <w:b/>
          <w:szCs w:val="24"/>
        </w:rPr>
      </w:pPr>
      <w:r w:rsidRPr="00EC0A84">
        <w:rPr>
          <w:rFonts w:eastAsia="Calibri"/>
          <w:b/>
          <w:szCs w:val="24"/>
        </w:rPr>
        <w:t>Emerging issues:</w:t>
      </w:r>
    </w:p>
    <w:p w14:paraId="358A9814" w14:textId="77777777" w:rsidR="00EC0A84" w:rsidRPr="00EC0A84" w:rsidRDefault="00EC0A84" w:rsidP="00667A5D">
      <w:pPr>
        <w:numPr>
          <w:ilvl w:val="0"/>
          <w:numId w:val="5"/>
        </w:numPr>
        <w:spacing w:after="0" w:line="240" w:lineRule="auto"/>
        <w:rPr>
          <w:rFonts w:eastAsia="Calibri"/>
          <w:szCs w:val="24"/>
        </w:rPr>
      </w:pPr>
      <w:r w:rsidRPr="00EC0A84">
        <w:rPr>
          <w:rFonts w:eastAsia="Calibri"/>
          <w:szCs w:val="24"/>
        </w:rPr>
        <w:t>The ‘after use’ surveys that all Regulatory Service users received had an extremely low uptake. This was important as our four customer service objectives used this data to report on our performance. This was despite many attempts to encourage and make it easy for people to access and fill out.</w:t>
      </w:r>
    </w:p>
    <w:p w14:paraId="20F91929" w14:textId="77777777" w:rsidR="00EC0A84" w:rsidRPr="00EC0A84" w:rsidRDefault="00EC0A84" w:rsidP="00667A5D">
      <w:pPr>
        <w:numPr>
          <w:ilvl w:val="0"/>
          <w:numId w:val="5"/>
        </w:numPr>
        <w:spacing w:after="0" w:line="240" w:lineRule="auto"/>
        <w:rPr>
          <w:rFonts w:eastAsia="Calibri"/>
          <w:szCs w:val="24"/>
        </w:rPr>
      </w:pPr>
      <w:r w:rsidRPr="00EC0A84">
        <w:rPr>
          <w:rFonts w:eastAsia="Calibri"/>
          <w:szCs w:val="24"/>
        </w:rPr>
        <w:t xml:space="preserve">The education programmes had not developed as quickly as expected due to staff shortages and working with schools was more challenging as a result of the pandemic. </w:t>
      </w:r>
    </w:p>
    <w:p w14:paraId="0F470C9E" w14:textId="77777777" w:rsidR="00EC0A84" w:rsidRPr="00EC0A84" w:rsidRDefault="00EC0A84" w:rsidP="00667A5D">
      <w:pPr>
        <w:numPr>
          <w:ilvl w:val="0"/>
          <w:numId w:val="5"/>
        </w:numPr>
        <w:spacing w:after="0" w:line="240" w:lineRule="auto"/>
        <w:rPr>
          <w:rFonts w:eastAsia="Calibri"/>
          <w:szCs w:val="24"/>
        </w:rPr>
      </w:pPr>
      <w:r w:rsidRPr="00EC0A84">
        <w:rPr>
          <w:rFonts w:eastAsia="Calibri"/>
          <w:szCs w:val="24"/>
        </w:rPr>
        <w:t xml:space="preserve">Recruitment continued to be problematic. </w:t>
      </w:r>
    </w:p>
    <w:p w14:paraId="33BBD141" w14:textId="77777777" w:rsidR="00EC0A84" w:rsidRPr="00EC0A84" w:rsidRDefault="00EC0A84" w:rsidP="00EC0A84">
      <w:pPr>
        <w:spacing w:after="0" w:line="240" w:lineRule="auto"/>
        <w:rPr>
          <w:rFonts w:eastAsia="Calibri"/>
          <w:szCs w:val="24"/>
        </w:rPr>
      </w:pPr>
    </w:p>
    <w:p w14:paraId="47578BDF" w14:textId="77777777" w:rsidR="00EC0A84" w:rsidRPr="00EC0A84" w:rsidRDefault="00EC0A84" w:rsidP="00EC0A84">
      <w:pPr>
        <w:spacing w:after="0" w:line="240" w:lineRule="auto"/>
        <w:rPr>
          <w:rFonts w:eastAsia="Calibri"/>
          <w:b/>
          <w:szCs w:val="24"/>
        </w:rPr>
      </w:pPr>
      <w:r w:rsidRPr="00EC0A84">
        <w:rPr>
          <w:rFonts w:eastAsia="Calibri"/>
          <w:b/>
          <w:szCs w:val="24"/>
        </w:rPr>
        <w:t>Action to be taken:</w:t>
      </w:r>
    </w:p>
    <w:p w14:paraId="049DBB03" w14:textId="77777777" w:rsidR="00EC0A84" w:rsidRPr="00EC0A84" w:rsidRDefault="00EC0A84" w:rsidP="00667A5D">
      <w:pPr>
        <w:numPr>
          <w:ilvl w:val="0"/>
          <w:numId w:val="5"/>
        </w:numPr>
        <w:spacing w:after="0" w:line="240" w:lineRule="auto"/>
        <w:rPr>
          <w:rFonts w:eastAsia="Calibri"/>
          <w:szCs w:val="24"/>
        </w:rPr>
      </w:pPr>
      <w:r w:rsidRPr="00EC0A84">
        <w:rPr>
          <w:rFonts w:eastAsia="Calibri"/>
          <w:szCs w:val="24"/>
        </w:rPr>
        <w:t xml:space="preserve">The organisation and Regulatory Services were exploring ways to speed up recruitment as well as appeal to more people as a potential employer. </w:t>
      </w:r>
    </w:p>
    <w:p w14:paraId="321C2321" w14:textId="77777777" w:rsidR="00EC0A84" w:rsidRPr="00EC0A84" w:rsidRDefault="00EC0A84" w:rsidP="00667A5D">
      <w:pPr>
        <w:numPr>
          <w:ilvl w:val="0"/>
          <w:numId w:val="5"/>
        </w:numPr>
        <w:spacing w:after="0" w:line="240" w:lineRule="auto"/>
        <w:rPr>
          <w:rFonts w:eastAsia="Calibri"/>
          <w:szCs w:val="24"/>
        </w:rPr>
      </w:pPr>
      <w:r w:rsidRPr="00EC0A84">
        <w:rPr>
          <w:rFonts w:eastAsia="Calibri"/>
          <w:szCs w:val="24"/>
        </w:rPr>
        <w:t>The development of the education programme had now fully commenced and would be reported on separately.</w:t>
      </w:r>
    </w:p>
    <w:p w14:paraId="7C7C75F0" w14:textId="77777777" w:rsidR="00EC0A84" w:rsidRPr="00EC0A84" w:rsidRDefault="00EC0A84" w:rsidP="00667A5D">
      <w:pPr>
        <w:numPr>
          <w:ilvl w:val="0"/>
          <w:numId w:val="5"/>
        </w:numPr>
        <w:spacing w:after="0" w:line="240" w:lineRule="auto"/>
        <w:rPr>
          <w:rFonts w:eastAsia="Calibri"/>
          <w:szCs w:val="24"/>
        </w:rPr>
      </w:pPr>
      <w:r w:rsidRPr="00EC0A84">
        <w:rPr>
          <w:rFonts w:eastAsia="Calibri"/>
          <w:szCs w:val="24"/>
        </w:rPr>
        <w:lastRenderedPageBreak/>
        <w:t>Service Unit Managers would organise focus groups to ascertain customer satisfaction.</w:t>
      </w:r>
    </w:p>
    <w:p w14:paraId="4DC566EE" w14:textId="77777777" w:rsidR="00EC0A84" w:rsidRPr="00EC0A84" w:rsidRDefault="00EC0A84" w:rsidP="00EC0A84">
      <w:pPr>
        <w:spacing w:after="0" w:line="240" w:lineRule="auto"/>
        <w:rPr>
          <w:rFonts w:eastAsia="Calibri"/>
          <w:szCs w:val="24"/>
        </w:rPr>
      </w:pPr>
    </w:p>
    <w:p w14:paraId="2EB06FC5" w14:textId="5F305BCC" w:rsidR="00EC0A84" w:rsidRPr="00EC0A84" w:rsidRDefault="00EC0A84" w:rsidP="00EC0A84">
      <w:pPr>
        <w:spacing w:after="0" w:line="240" w:lineRule="auto"/>
        <w:ind w:left="0" w:firstLine="0"/>
        <w:rPr>
          <w:rFonts w:eastAsia="Calibri"/>
          <w:szCs w:val="24"/>
        </w:rPr>
      </w:pPr>
      <w:r w:rsidRPr="00EC0A84">
        <w:rPr>
          <w:rFonts w:eastAsia="Calibri"/>
          <w:szCs w:val="24"/>
        </w:rPr>
        <w:t>RECOMMENDED that the Council notes the report.</w:t>
      </w:r>
    </w:p>
    <w:p w14:paraId="1AB69420" w14:textId="267144C1" w:rsidR="00153899" w:rsidRDefault="00153899" w:rsidP="00153899">
      <w:pPr>
        <w:spacing w:after="0" w:line="240" w:lineRule="auto"/>
        <w:rPr>
          <w:bCs/>
          <w:szCs w:val="24"/>
        </w:rPr>
      </w:pPr>
    </w:p>
    <w:p w14:paraId="4ABFE2B6" w14:textId="77777777" w:rsidR="0024511A" w:rsidRDefault="0024511A" w:rsidP="0024511A">
      <w:pPr>
        <w:spacing w:after="0" w:line="240" w:lineRule="auto"/>
        <w:rPr>
          <w:rFonts w:eastAsia="Calibri"/>
          <w:szCs w:val="24"/>
        </w:rPr>
      </w:pPr>
      <w:r>
        <w:rPr>
          <w:rFonts w:eastAsia="Calibri"/>
          <w:szCs w:val="24"/>
        </w:rPr>
        <w:t>Proposed by Councillor Boyle, seconded by Councillor Edmund, that the recommendation be adopted.</w:t>
      </w:r>
    </w:p>
    <w:p w14:paraId="3E69390F" w14:textId="77777777" w:rsidR="0024511A" w:rsidRDefault="0024511A" w:rsidP="0024511A">
      <w:pPr>
        <w:spacing w:after="0" w:line="240" w:lineRule="auto"/>
        <w:rPr>
          <w:rFonts w:eastAsia="Calibri"/>
          <w:szCs w:val="24"/>
        </w:rPr>
      </w:pPr>
    </w:p>
    <w:p w14:paraId="65BEBF3A" w14:textId="3A890506" w:rsidR="0024511A" w:rsidRDefault="0024511A" w:rsidP="0024511A">
      <w:pPr>
        <w:spacing w:after="0" w:line="240" w:lineRule="auto"/>
        <w:rPr>
          <w:rFonts w:eastAsia="Calibri"/>
          <w:szCs w:val="24"/>
        </w:rPr>
      </w:pPr>
      <w:r>
        <w:rPr>
          <w:rFonts w:eastAsia="Calibri"/>
          <w:szCs w:val="24"/>
        </w:rPr>
        <w:t xml:space="preserve">The proposer, Councillor Boyle, noted that education programmes had been identified as an emerging issue due to staff shortages and asked what the factors behind the shortages were. The Director advised of widespread recruitment difficulties within the employment sector. In particular this had impacted on staffing levels within the Neighbourhood Environment </w:t>
      </w:r>
      <w:r w:rsidR="002132AE">
        <w:rPr>
          <w:rFonts w:eastAsia="Calibri"/>
          <w:szCs w:val="24"/>
        </w:rPr>
        <w:t>T</w:t>
      </w:r>
      <w:r>
        <w:rPr>
          <w:rFonts w:eastAsia="Calibri"/>
          <w:szCs w:val="24"/>
        </w:rPr>
        <w:t xml:space="preserve">eam and managers had struggled to replace high quality personnel that had progressed into new roles. Another element was that schools were not yet </w:t>
      </w:r>
      <w:r w:rsidR="005F5549">
        <w:rPr>
          <w:rFonts w:eastAsia="Calibri"/>
          <w:szCs w:val="24"/>
        </w:rPr>
        <w:t>fully open to engaging with</w:t>
      </w:r>
      <w:r>
        <w:rPr>
          <w:rFonts w:eastAsia="Calibri"/>
          <w:szCs w:val="24"/>
        </w:rPr>
        <w:t xml:space="preserve"> outside organisations </w:t>
      </w:r>
      <w:r w:rsidR="005F5549">
        <w:rPr>
          <w:rFonts w:eastAsia="Calibri"/>
          <w:szCs w:val="24"/>
        </w:rPr>
        <w:t>such as Council,</w:t>
      </w:r>
      <w:r>
        <w:rPr>
          <w:rFonts w:eastAsia="Calibri"/>
          <w:szCs w:val="24"/>
        </w:rPr>
        <w:t xml:space="preserve"> following two and a half years of Covid-19 restrictions</w:t>
      </w:r>
      <w:r w:rsidR="005F5549">
        <w:rPr>
          <w:rFonts w:eastAsia="Calibri"/>
          <w:szCs w:val="24"/>
        </w:rPr>
        <w:t xml:space="preserve"> and the impact on other aspects of the core curriculum</w:t>
      </w:r>
      <w:r>
        <w:rPr>
          <w:rFonts w:eastAsia="Calibri"/>
          <w:szCs w:val="24"/>
        </w:rPr>
        <w:t>.</w:t>
      </w:r>
    </w:p>
    <w:p w14:paraId="61BAF88C" w14:textId="77777777" w:rsidR="0024511A" w:rsidRDefault="0024511A" w:rsidP="0024511A">
      <w:pPr>
        <w:spacing w:after="0" w:line="240" w:lineRule="auto"/>
        <w:rPr>
          <w:rFonts w:eastAsia="Calibri"/>
          <w:szCs w:val="24"/>
        </w:rPr>
      </w:pPr>
    </w:p>
    <w:p w14:paraId="5CDE02F3" w14:textId="4F40279D" w:rsidR="0024511A" w:rsidRDefault="0024511A" w:rsidP="0024511A">
      <w:pPr>
        <w:spacing w:after="0" w:line="240" w:lineRule="auto"/>
        <w:rPr>
          <w:rFonts w:eastAsia="Calibri"/>
          <w:szCs w:val="24"/>
        </w:rPr>
      </w:pPr>
      <w:r>
        <w:rPr>
          <w:rFonts w:eastAsia="Calibri"/>
          <w:szCs w:val="24"/>
        </w:rPr>
        <w:t xml:space="preserve">Councillor Boyle appreciated that it would be slow progress in returning to pre-Covid levels in terms of the education programmes, however despite being </w:t>
      </w:r>
      <w:r w:rsidRPr="007F7076">
        <w:rPr>
          <w:rFonts w:eastAsia="Calibri"/>
          <w:szCs w:val="24"/>
        </w:rPr>
        <w:t>65% down on personnel</w:t>
      </w:r>
      <w:r>
        <w:rPr>
          <w:rFonts w:eastAsia="Calibri"/>
          <w:szCs w:val="24"/>
        </w:rPr>
        <w:t>,</w:t>
      </w:r>
      <w:r w:rsidRPr="007F7076">
        <w:rPr>
          <w:rFonts w:eastAsia="Calibri"/>
          <w:szCs w:val="24"/>
        </w:rPr>
        <w:t xml:space="preserve"> </w:t>
      </w:r>
      <w:r>
        <w:rPr>
          <w:rFonts w:eastAsia="Calibri"/>
          <w:szCs w:val="24"/>
        </w:rPr>
        <w:t>he welcomed that Neighbourhood Environment</w:t>
      </w:r>
      <w:r w:rsidRPr="007F7076">
        <w:rPr>
          <w:rFonts w:eastAsia="Calibri"/>
          <w:szCs w:val="24"/>
        </w:rPr>
        <w:t xml:space="preserve"> staff continue</w:t>
      </w:r>
      <w:r>
        <w:rPr>
          <w:rFonts w:eastAsia="Calibri"/>
          <w:szCs w:val="24"/>
        </w:rPr>
        <w:t>d</w:t>
      </w:r>
      <w:r w:rsidRPr="007F7076">
        <w:rPr>
          <w:rFonts w:eastAsia="Calibri"/>
          <w:szCs w:val="24"/>
        </w:rPr>
        <w:t xml:space="preserve"> to patrol the hotspot areas across the </w:t>
      </w:r>
      <w:r w:rsidR="005F5549">
        <w:rPr>
          <w:rFonts w:eastAsia="Calibri"/>
          <w:szCs w:val="24"/>
        </w:rPr>
        <w:t>B</w:t>
      </w:r>
      <w:r w:rsidRPr="007F7076">
        <w:rPr>
          <w:rFonts w:eastAsia="Calibri"/>
          <w:szCs w:val="24"/>
        </w:rPr>
        <w:t>orough.</w:t>
      </w:r>
    </w:p>
    <w:p w14:paraId="4C241A4A" w14:textId="77777777" w:rsidR="0024511A" w:rsidRDefault="0024511A" w:rsidP="0024511A">
      <w:pPr>
        <w:spacing w:after="0" w:line="240" w:lineRule="auto"/>
        <w:rPr>
          <w:rFonts w:eastAsia="Calibri"/>
          <w:szCs w:val="24"/>
        </w:rPr>
      </w:pPr>
    </w:p>
    <w:p w14:paraId="201165F2" w14:textId="0DE61422" w:rsidR="0024511A" w:rsidRDefault="0024511A" w:rsidP="0024511A">
      <w:pPr>
        <w:spacing w:after="0" w:line="240" w:lineRule="auto"/>
        <w:rPr>
          <w:rFonts w:eastAsia="Calibri"/>
          <w:szCs w:val="24"/>
        </w:rPr>
      </w:pPr>
      <w:r>
        <w:rPr>
          <w:rFonts w:eastAsia="Calibri"/>
          <w:szCs w:val="24"/>
        </w:rPr>
        <w:t>Councillor Edmund asked if it was anticipated that the education programmes would have returned to pre-Covid-19 levels by next year and the Director advised that while he didn’t have specific information around that</w:t>
      </w:r>
      <w:r w:rsidR="005F5549">
        <w:rPr>
          <w:rFonts w:eastAsia="Calibri"/>
          <w:szCs w:val="24"/>
        </w:rPr>
        <w:t>,</w:t>
      </w:r>
      <w:r>
        <w:rPr>
          <w:rFonts w:eastAsia="Calibri"/>
          <w:szCs w:val="24"/>
        </w:rPr>
        <w:t xml:space="preserve"> </w:t>
      </w:r>
      <w:r w:rsidR="005F5549">
        <w:rPr>
          <w:rFonts w:eastAsia="Calibri"/>
          <w:szCs w:val="24"/>
        </w:rPr>
        <w:t>he</w:t>
      </w:r>
      <w:r>
        <w:rPr>
          <w:rFonts w:eastAsia="Calibri"/>
          <w:szCs w:val="24"/>
        </w:rPr>
        <w:t xml:space="preserve"> confirmed that a comprehensive programme of pupil engagement was </w:t>
      </w:r>
      <w:r w:rsidR="005F5549">
        <w:rPr>
          <w:rFonts w:eastAsia="Calibri"/>
          <w:szCs w:val="24"/>
        </w:rPr>
        <w:t xml:space="preserve">being prepared in </w:t>
      </w:r>
      <w:r>
        <w:rPr>
          <w:rFonts w:eastAsia="Calibri"/>
          <w:szCs w:val="24"/>
        </w:rPr>
        <w:t>read</w:t>
      </w:r>
      <w:r w:rsidR="005F5549">
        <w:rPr>
          <w:rFonts w:eastAsia="Calibri"/>
          <w:szCs w:val="24"/>
        </w:rPr>
        <w:t>iness</w:t>
      </w:r>
      <w:r>
        <w:rPr>
          <w:rFonts w:eastAsia="Calibri"/>
          <w:szCs w:val="24"/>
        </w:rPr>
        <w:t xml:space="preserve"> to be rolled out </w:t>
      </w:r>
      <w:r w:rsidR="002132AE">
        <w:rPr>
          <w:rFonts w:eastAsia="Calibri"/>
          <w:szCs w:val="24"/>
        </w:rPr>
        <w:t>as soon as</w:t>
      </w:r>
      <w:r>
        <w:rPr>
          <w:rFonts w:eastAsia="Calibri"/>
          <w:szCs w:val="24"/>
        </w:rPr>
        <w:t xml:space="preserve"> the schools were ready to accommodate it.</w:t>
      </w:r>
    </w:p>
    <w:p w14:paraId="5680BF51" w14:textId="77777777" w:rsidR="0024511A" w:rsidRDefault="0024511A" w:rsidP="0024511A">
      <w:pPr>
        <w:spacing w:after="0" w:line="240" w:lineRule="auto"/>
        <w:rPr>
          <w:rFonts w:eastAsia="Calibri"/>
          <w:szCs w:val="24"/>
        </w:rPr>
      </w:pPr>
    </w:p>
    <w:p w14:paraId="24386E6E" w14:textId="6940A219" w:rsidR="0024511A" w:rsidRDefault="0024511A" w:rsidP="0024511A">
      <w:pPr>
        <w:spacing w:after="0" w:line="240" w:lineRule="auto"/>
        <w:rPr>
          <w:rFonts w:eastAsia="Calibri"/>
          <w:szCs w:val="24"/>
        </w:rPr>
      </w:pPr>
      <w:r>
        <w:rPr>
          <w:rFonts w:eastAsia="Calibri"/>
          <w:szCs w:val="24"/>
        </w:rPr>
        <w:t xml:space="preserve">Pointing to the recruitment difficulties, Alderman M Smith asked what action was being taken to fill the vacant positions. The Director advised that managers across the Council were working with Human Resources to </w:t>
      </w:r>
      <w:r w:rsidR="005F5549">
        <w:rPr>
          <w:rFonts w:eastAsia="Calibri"/>
          <w:szCs w:val="24"/>
        </w:rPr>
        <w:t xml:space="preserve">revise recruitment protocols, including </w:t>
      </w:r>
      <w:r>
        <w:rPr>
          <w:rFonts w:eastAsia="Calibri"/>
          <w:szCs w:val="24"/>
        </w:rPr>
        <w:t>review job</w:t>
      </w:r>
      <w:r w:rsidR="005F5549">
        <w:rPr>
          <w:rFonts w:eastAsia="Calibri"/>
          <w:szCs w:val="24"/>
        </w:rPr>
        <w:t>/candidate</w:t>
      </w:r>
      <w:r>
        <w:rPr>
          <w:rFonts w:eastAsia="Calibri"/>
          <w:szCs w:val="24"/>
        </w:rPr>
        <w:t xml:space="preserve"> criteria and look</w:t>
      </w:r>
      <w:r w:rsidR="005F5549">
        <w:rPr>
          <w:rFonts w:eastAsia="Calibri"/>
          <w:szCs w:val="24"/>
        </w:rPr>
        <w:t>ing</w:t>
      </w:r>
      <w:r>
        <w:rPr>
          <w:rFonts w:eastAsia="Calibri"/>
          <w:szCs w:val="24"/>
        </w:rPr>
        <w:t xml:space="preserve"> into providing in-house training for otherwise suitable candidates that did not meet </w:t>
      </w:r>
      <w:r w:rsidR="005F5549">
        <w:rPr>
          <w:rFonts w:eastAsia="Calibri"/>
          <w:szCs w:val="24"/>
        </w:rPr>
        <w:t>previously required</w:t>
      </w:r>
      <w:r>
        <w:rPr>
          <w:rFonts w:eastAsia="Calibri"/>
          <w:szCs w:val="24"/>
        </w:rPr>
        <w:t xml:space="preserve"> minimum criteria.</w:t>
      </w:r>
    </w:p>
    <w:p w14:paraId="23F129EF" w14:textId="77777777" w:rsidR="0024511A" w:rsidRDefault="0024511A" w:rsidP="0024511A">
      <w:pPr>
        <w:spacing w:after="0" w:line="240" w:lineRule="auto"/>
        <w:rPr>
          <w:rFonts w:eastAsia="Calibri"/>
          <w:szCs w:val="24"/>
        </w:rPr>
      </w:pPr>
    </w:p>
    <w:p w14:paraId="75E28399" w14:textId="5AEE8C92" w:rsidR="0024511A" w:rsidRDefault="0024511A" w:rsidP="0024511A">
      <w:pPr>
        <w:spacing w:after="0" w:line="240" w:lineRule="auto"/>
        <w:rPr>
          <w:rFonts w:eastAsia="Calibri"/>
          <w:szCs w:val="24"/>
        </w:rPr>
      </w:pPr>
      <w:r>
        <w:rPr>
          <w:rFonts w:eastAsia="Calibri"/>
          <w:szCs w:val="24"/>
        </w:rPr>
        <w:t xml:space="preserve">Responding to a follow-up query from Alderman M Smith on customer service focus groups, the Director explained that </w:t>
      </w:r>
      <w:r w:rsidR="005F5549">
        <w:rPr>
          <w:rFonts w:eastAsia="Calibri"/>
          <w:szCs w:val="24"/>
        </w:rPr>
        <w:t>there were</w:t>
      </w:r>
      <w:r>
        <w:rPr>
          <w:rFonts w:eastAsia="Calibri"/>
          <w:szCs w:val="24"/>
        </w:rPr>
        <w:t xml:space="preserve"> various segments of service users across the </w:t>
      </w:r>
      <w:r w:rsidR="005F5549">
        <w:rPr>
          <w:rFonts w:eastAsia="Calibri"/>
          <w:szCs w:val="24"/>
        </w:rPr>
        <w:t>d</w:t>
      </w:r>
      <w:r>
        <w:rPr>
          <w:rFonts w:eastAsia="Calibri"/>
          <w:szCs w:val="24"/>
        </w:rPr>
        <w:t>irectorate. Entertainment Licence applicants were included for example, along with community groups that worked with the Neighbourhood Environment Team. Heads of Service were looking at new and effective ways to engage with customer bases given that current response rates to postal surveys were poor. Elected members could be included on customer focus groups if that was desired.</w:t>
      </w:r>
      <w:r w:rsidR="000C0A21">
        <w:rPr>
          <w:rFonts w:eastAsia="Calibri"/>
          <w:szCs w:val="24"/>
        </w:rPr>
        <w:t xml:space="preserve">  Alderman M Smith advised that she would be interested to hear more about how the focus groups would work.</w:t>
      </w:r>
    </w:p>
    <w:p w14:paraId="0DDF7341" w14:textId="77777777" w:rsidR="0024511A" w:rsidRDefault="0024511A" w:rsidP="0024511A">
      <w:pPr>
        <w:spacing w:after="0" w:line="240" w:lineRule="auto"/>
        <w:rPr>
          <w:rFonts w:eastAsia="Calibri"/>
          <w:szCs w:val="24"/>
        </w:rPr>
      </w:pPr>
    </w:p>
    <w:p w14:paraId="6267627F" w14:textId="5F47B8EA" w:rsidR="0024511A" w:rsidRDefault="0024511A" w:rsidP="00153899">
      <w:pPr>
        <w:spacing w:after="0" w:line="240" w:lineRule="auto"/>
        <w:rPr>
          <w:bCs/>
          <w:szCs w:val="24"/>
        </w:rPr>
      </w:pPr>
      <w:r>
        <w:rPr>
          <w:rFonts w:eastAsia="Calibri"/>
          <w:szCs w:val="24"/>
        </w:rPr>
        <w:t xml:space="preserve">In a further query, Councillor Woods asked what the total number of vacancies were in the Neighbourhood Environment Team and the Director confirmed </w:t>
      </w:r>
      <w:r w:rsidR="000C0A21">
        <w:rPr>
          <w:rFonts w:eastAsia="Calibri"/>
          <w:szCs w:val="24"/>
        </w:rPr>
        <w:t xml:space="preserve">he thought </w:t>
      </w:r>
      <w:r>
        <w:rPr>
          <w:rFonts w:eastAsia="Calibri"/>
          <w:szCs w:val="24"/>
        </w:rPr>
        <w:t xml:space="preserve">it was down by </w:t>
      </w:r>
      <w:r w:rsidR="000C0A21">
        <w:rPr>
          <w:rFonts w:eastAsia="Calibri"/>
          <w:szCs w:val="24"/>
        </w:rPr>
        <w:t xml:space="preserve">around </w:t>
      </w:r>
      <w:r>
        <w:rPr>
          <w:rFonts w:eastAsia="Calibri"/>
          <w:szCs w:val="24"/>
        </w:rPr>
        <w:t>three staff</w:t>
      </w:r>
      <w:r w:rsidR="000C0A21">
        <w:rPr>
          <w:rFonts w:eastAsia="Calibri"/>
          <w:szCs w:val="24"/>
        </w:rPr>
        <w:t>,</w:t>
      </w:r>
      <w:r>
        <w:rPr>
          <w:rFonts w:eastAsia="Calibri"/>
          <w:szCs w:val="24"/>
        </w:rPr>
        <w:t xml:space="preserve"> although it was a constantly changing situation. There were certain roles in Council that were particularly challenging and demanded a very </w:t>
      </w:r>
      <w:r w:rsidR="000C0A21">
        <w:rPr>
          <w:rFonts w:eastAsia="Calibri"/>
          <w:szCs w:val="24"/>
        </w:rPr>
        <w:t>specific type of</w:t>
      </w:r>
      <w:r>
        <w:rPr>
          <w:rFonts w:eastAsia="Calibri"/>
          <w:szCs w:val="24"/>
        </w:rPr>
        <w:t xml:space="preserve"> individual</w:t>
      </w:r>
      <w:r w:rsidR="000C0A21">
        <w:rPr>
          <w:rFonts w:eastAsia="Calibri"/>
          <w:szCs w:val="24"/>
        </w:rPr>
        <w:t xml:space="preserve"> to fulfil theme effectively, </w:t>
      </w:r>
      <w:r>
        <w:rPr>
          <w:rFonts w:eastAsia="Calibri"/>
          <w:szCs w:val="24"/>
        </w:rPr>
        <w:t xml:space="preserve">and those roles were </w:t>
      </w:r>
      <w:r w:rsidR="000C0A21">
        <w:rPr>
          <w:rFonts w:eastAsia="Calibri"/>
          <w:szCs w:val="24"/>
        </w:rPr>
        <w:lastRenderedPageBreak/>
        <w:t xml:space="preserve">included </w:t>
      </w:r>
      <w:r>
        <w:rPr>
          <w:rFonts w:eastAsia="Calibri"/>
          <w:szCs w:val="24"/>
        </w:rPr>
        <w:t xml:space="preserve">on that list. He explained that the Council had benefited from a very successful NET </w:t>
      </w:r>
      <w:r w:rsidR="000C0A21">
        <w:rPr>
          <w:rFonts w:eastAsia="Calibri"/>
          <w:szCs w:val="24"/>
        </w:rPr>
        <w:t xml:space="preserve">staff complement </w:t>
      </w:r>
      <w:r>
        <w:rPr>
          <w:rFonts w:eastAsia="Calibri"/>
          <w:szCs w:val="24"/>
        </w:rPr>
        <w:t xml:space="preserve">over recent years but as those employees progressed their careers it had </w:t>
      </w:r>
      <w:r w:rsidR="000C0A21">
        <w:rPr>
          <w:rFonts w:eastAsia="Calibri"/>
          <w:szCs w:val="24"/>
        </w:rPr>
        <w:t xml:space="preserve">often </w:t>
      </w:r>
      <w:r>
        <w:rPr>
          <w:rFonts w:eastAsia="Calibri"/>
          <w:szCs w:val="24"/>
        </w:rPr>
        <w:t>been difficult to replace them. It was a challenge faced by many Councils.</w:t>
      </w:r>
    </w:p>
    <w:p w14:paraId="695D49EB" w14:textId="77777777" w:rsidR="00153899" w:rsidRDefault="00153899" w:rsidP="00153899">
      <w:pPr>
        <w:rPr>
          <w:bCs/>
          <w:szCs w:val="24"/>
        </w:rPr>
      </w:pPr>
    </w:p>
    <w:p w14:paraId="3AE9A259" w14:textId="08114639" w:rsidR="00153899" w:rsidRDefault="00153899" w:rsidP="00153899">
      <w:pPr>
        <w:spacing w:after="0" w:line="240" w:lineRule="auto"/>
        <w:ind w:left="0" w:firstLine="0"/>
        <w:rPr>
          <w:b/>
          <w:bCs/>
          <w:szCs w:val="24"/>
        </w:rPr>
      </w:pPr>
      <w:r w:rsidRPr="00421364">
        <w:rPr>
          <w:b/>
          <w:bCs/>
          <w:szCs w:val="24"/>
        </w:rPr>
        <w:t xml:space="preserve">AGREED TO RECOMMEND, on the proposal of </w:t>
      </w:r>
      <w:r w:rsidR="0024511A">
        <w:rPr>
          <w:b/>
          <w:bCs/>
          <w:szCs w:val="24"/>
        </w:rPr>
        <w:t>Councillor Boyle</w:t>
      </w:r>
      <w:r>
        <w:rPr>
          <w:b/>
          <w:bCs/>
          <w:szCs w:val="24"/>
        </w:rPr>
        <w:t xml:space="preserve">, </w:t>
      </w:r>
      <w:r w:rsidRPr="00421364">
        <w:rPr>
          <w:b/>
          <w:bCs/>
          <w:szCs w:val="24"/>
        </w:rPr>
        <w:t>seconded by</w:t>
      </w:r>
      <w:r>
        <w:rPr>
          <w:b/>
          <w:bCs/>
          <w:szCs w:val="24"/>
        </w:rPr>
        <w:t xml:space="preserve"> </w:t>
      </w:r>
      <w:r w:rsidR="0024511A">
        <w:rPr>
          <w:b/>
          <w:bCs/>
          <w:szCs w:val="24"/>
        </w:rPr>
        <w:t>Councillor Edmund</w:t>
      </w:r>
      <w:r>
        <w:rPr>
          <w:b/>
          <w:bCs/>
          <w:szCs w:val="24"/>
        </w:rPr>
        <w:t>, that t</w:t>
      </w:r>
      <w:r w:rsidRPr="00421364">
        <w:rPr>
          <w:b/>
          <w:bCs/>
          <w:szCs w:val="24"/>
        </w:rPr>
        <w:t xml:space="preserve">he </w:t>
      </w:r>
      <w:r>
        <w:rPr>
          <w:b/>
          <w:bCs/>
          <w:szCs w:val="24"/>
        </w:rPr>
        <w:t>recommendation be adopted.</w:t>
      </w:r>
    </w:p>
    <w:p w14:paraId="5892ABF7" w14:textId="30061257" w:rsidR="004F4039" w:rsidRDefault="004F4039" w:rsidP="006E215D">
      <w:pPr>
        <w:spacing w:after="0" w:line="240" w:lineRule="auto"/>
        <w:rPr>
          <w:rFonts w:eastAsia="Calibri"/>
          <w:szCs w:val="24"/>
        </w:rPr>
      </w:pPr>
    </w:p>
    <w:p w14:paraId="5B0D2541" w14:textId="3A9A3921" w:rsidR="00153899" w:rsidRDefault="00153899" w:rsidP="00153899">
      <w:pPr>
        <w:pStyle w:val="Heading1"/>
        <w:ind w:left="720" w:hanging="720"/>
      </w:pPr>
      <w:r w:rsidRPr="00C264D3">
        <w:rPr>
          <w:u w:val="none"/>
        </w:rPr>
        <w:t>5.</w:t>
      </w:r>
      <w:r w:rsidRPr="00C264D3">
        <w:rPr>
          <w:u w:val="none"/>
        </w:rPr>
        <w:tab/>
      </w:r>
      <w:r w:rsidRPr="00153899">
        <w:t>Neighbourhood Environment Team Q2 Activity Report (1 July 2022 to 30 September 2022</w:t>
      </w:r>
      <w:r w:rsidR="00125028">
        <w:t>) (FILE 92009)</w:t>
      </w:r>
      <w:r>
        <w:t xml:space="preserve"> </w:t>
      </w:r>
    </w:p>
    <w:p w14:paraId="225B1485" w14:textId="7A363F17" w:rsidR="00153899" w:rsidRPr="00365F80" w:rsidRDefault="00153899" w:rsidP="00C264D3">
      <w:pPr>
        <w:ind w:firstLine="0"/>
        <w:rPr>
          <w:szCs w:val="24"/>
        </w:rPr>
      </w:pPr>
      <w:r>
        <w:rPr>
          <w:b/>
          <w:bCs/>
          <w:sz w:val="28"/>
          <w:szCs w:val="32"/>
        </w:rPr>
        <w:tab/>
      </w:r>
      <w:r w:rsidRPr="00365F80">
        <w:rPr>
          <w:szCs w:val="24"/>
        </w:rPr>
        <w:t>(Appendi</w:t>
      </w:r>
      <w:r>
        <w:rPr>
          <w:szCs w:val="24"/>
        </w:rPr>
        <w:t xml:space="preserve">x </w:t>
      </w:r>
      <w:r w:rsidR="00125028">
        <w:rPr>
          <w:szCs w:val="24"/>
        </w:rPr>
        <w:t>II</w:t>
      </w:r>
      <w:r w:rsidRPr="00365F80">
        <w:rPr>
          <w:szCs w:val="24"/>
        </w:rPr>
        <w:t>)</w:t>
      </w:r>
      <w:r w:rsidRPr="00365F80">
        <w:rPr>
          <w:szCs w:val="24"/>
        </w:rPr>
        <w:tab/>
      </w:r>
    </w:p>
    <w:p w14:paraId="1B2EE6FE" w14:textId="77777777" w:rsidR="00153899" w:rsidRDefault="00153899" w:rsidP="00153899">
      <w:pPr>
        <w:rPr>
          <w:szCs w:val="24"/>
        </w:rPr>
      </w:pPr>
    </w:p>
    <w:p w14:paraId="1E7A5B98" w14:textId="18001DA7" w:rsidR="00A17EBE" w:rsidRPr="00A17EBE" w:rsidRDefault="00153899" w:rsidP="00A17EBE">
      <w:pPr>
        <w:spacing w:after="0" w:line="240" w:lineRule="auto"/>
        <w:rPr>
          <w:rFonts w:eastAsia="Calibri"/>
          <w:szCs w:val="24"/>
        </w:rPr>
      </w:pPr>
      <w:bookmarkStart w:id="3" w:name="_Hlk120027170"/>
      <w:r w:rsidRPr="00A17EBE">
        <w:rPr>
          <w:rFonts w:eastAsia="Calibri"/>
          <w:szCs w:val="24"/>
        </w:rPr>
        <w:t xml:space="preserve">PREVIOUSLY CIRCULATED:- Report from the Director of Environment detailing </w:t>
      </w:r>
      <w:bookmarkEnd w:id="3"/>
      <w:r w:rsidRPr="00A17EBE">
        <w:rPr>
          <w:rFonts w:eastAsia="Calibri"/>
          <w:szCs w:val="24"/>
        </w:rPr>
        <w:t xml:space="preserve">that </w:t>
      </w:r>
      <w:r w:rsidR="00A17EBE" w:rsidRPr="00A17EBE">
        <w:rPr>
          <w:rFonts w:eastAsia="Calibri"/>
          <w:szCs w:val="24"/>
        </w:rPr>
        <w:t>the information provided in this report covered, unless otherwise stated, the period 1 July to 30</w:t>
      </w:r>
      <w:r w:rsidR="00A17EBE" w:rsidRPr="00A17EBE">
        <w:rPr>
          <w:rFonts w:eastAsia="Calibri"/>
          <w:szCs w:val="24"/>
          <w:vertAlign w:val="superscript"/>
        </w:rPr>
        <w:t xml:space="preserve"> </w:t>
      </w:r>
      <w:r w:rsidR="00A17EBE" w:rsidRPr="00A17EBE">
        <w:rPr>
          <w:rFonts w:eastAsia="Calibri"/>
          <w:szCs w:val="24"/>
        </w:rPr>
        <w:t xml:space="preserve">September 2022. The aim of the report was to provide members with details of some of the key activities of the team, the range of services it provided along with details of level of performance. </w:t>
      </w:r>
    </w:p>
    <w:p w14:paraId="57189D66" w14:textId="77777777" w:rsidR="00A17EBE" w:rsidRPr="00A17EBE" w:rsidRDefault="00A17EBE" w:rsidP="00A17EBE">
      <w:pPr>
        <w:spacing w:after="0" w:line="240" w:lineRule="auto"/>
        <w:rPr>
          <w:rFonts w:eastAsia="Calibri"/>
          <w:iCs/>
          <w:szCs w:val="24"/>
        </w:rPr>
      </w:pPr>
    </w:p>
    <w:p w14:paraId="665B4152" w14:textId="77777777" w:rsidR="00A17EBE" w:rsidRPr="00A17EBE" w:rsidRDefault="00A17EBE" w:rsidP="00A17EBE">
      <w:pPr>
        <w:spacing w:after="0" w:line="240" w:lineRule="auto"/>
        <w:rPr>
          <w:rFonts w:eastAsia="Calibri"/>
          <w:b/>
          <w:bCs/>
          <w:iCs/>
          <w:szCs w:val="24"/>
        </w:rPr>
      </w:pPr>
      <w:r w:rsidRPr="00A17EBE">
        <w:rPr>
          <w:rFonts w:eastAsia="Calibri"/>
          <w:b/>
          <w:bCs/>
          <w:iCs/>
          <w:szCs w:val="24"/>
        </w:rPr>
        <w:t xml:space="preserve">Applications to the Neighbourhood Environment Team </w:t>
      </w:r>
    </w:p>
    <w:p w14:paraId="55E5DCE0" w14:textId="77777777" w:rsidR="00A17EBE" w:rsidRPr="00A17EBE" w:rsidRDefault="00A17EBE" w:rsidP="00A17EBE">
      <w:pPr>
        <w:spacing w:after="0" w:line="240" w:lineRule="auto"/>
        <w:rPr>
          <w:rFonts w:eastAsia="Calibri"/>
          <w:szCs w:val="24"/>
        </w:rPr>
      </w:pPr>
      <w:bookmarkStart w:id="4" w:name="_Hlk8890771"/>
      <w:r w:rsidRPr="00A17EBE">
        <w:rPr>
          <w:rFonts w:eastAsia="Calibri"/>
          <w:szCs w:val="24"/>
        </w:rPr>
        <w:t>The Dogs (NI) Order 1983</w:t>
      </w:r>
    </w:p>
    <w:p w14:paraId="6E576167" w14:textId="77777777" w:rsidR="00A17EBE" w:rsidRPr="00A17EBE" w:rsidRDefault="00A17EBE" w:rsidP="00A17EBE">
      <w:pPr>
        <w:spacing w:after="0" w:line="240" w:lineRule="auto"/>
        <w:rPr>
          <w:rFonts w:eastAsia="Calibri"/>
          <w:szCs w:val="24"/>
        </w:rPr>
      </w:pPr>
    </w:p>
    <w:p w14:paraId="29409911" w14:textId="77777777" w:rsidR="00A17EBE" w:rsidRPr="00A17EBE" w:rsidRDefault="00A17EBE" w:rsidP="00A17EBE">
      <w:pPr>
        <w:spacing w:after="0" w:line="240" w:lineRule="auto"/>
        <w:rPr>
          <w:rFonts w:eastAsia="Calibri"/>
          <w:szCs w:val="24"/>
        </w:rPr>
      </w:pPr>
      <w:r w:rsidRPr="00A17EBE">
        <w:rPr>
          <w:rFonts w:eastAsia="Calibri"/>
          <w:szCs w:val="24"/>
        </w:rPr>
        <w:t xml:space="preserve">It should be noted that these figures included block licences where one licence could be issued for multiple dogs in specific circumstances. </w:t>
      </w:r>
    </w:p>
    <w:p w14:paraId="70EA42FD" w14:textId="77777777" w:rsidR="00A17EBE" w:rsidRPr="00A17EBE" w:rsidRDefault="00A17EBE" w:rsidP="00A17EBE">
      <w:pPr>
        <w:spacing w:after="0" w:line="240" w:lineRule="auto"/>
        <w:rPr>
          <w:rFonts w:eastAsia="Calibri"/>
          <w:szCs w:val="24"/>
        </w:rPr>
      </w:pPr>
    </w:p>
    <w:tbl>
      <w:tblPr>
        <w:tblW w:w="8992" w:type="dxa"/>
        <w:tblInd w:w="137" w:type="dxa"/>
        <w:tblLook w:val="04A0" w:firstRow="1" w:lastRow="0" w:firstColumn="1" w:lastColumn="0" w:noHBand="0" w:noVBand="1"/>
      </w:tblPr>
      <w:tblGrid>
        <w:gridCol w:w="2977"/>
        <w:gridCol w:w="2126"/>
        <w:gridCol w:w="2047"/>
        <w:gridCol w:w="1842"/>
      </w:tblGrid>
      <w:tr w:rsidR="00A17EBE" w:rsidRPr="00A17EBE" w14:paraId="7BB14445" w14:textId="77777777" w:rsidTr="00BC1ACF">
        <w:tc>
          <w:tcPr>
            <w:tcW w:w="2977" w:type="dxa"/>
          </w:tcPr>
          <w:p w14:paraId="6618E190" w14:textId="77777777" w:rsidR="00A17EBE" w:rsidRPr="00A17EBE" w:rsidRDefault="00A17EBE" w:rsidP="00A17EBE">
            <w:pPr>
              <w:spacing w:after="0" w:line="240" w:lineRule="auto"/>
              <w:rPr>
                <w:rFonts w:eastAsia="Calibri"/>
              </w:rPr>
            </w:pPr>
          </w:p>
        </w:tc>
        <w:tc>
          <w:tcPr>
            <w:tcW w:w="2126" w:type="dxa"/>
          </w:tcPr>
          <w:p w14:paraId="639242AD" w14:textId="77777777" w:rsidR="00A17EBE" w:rsidRPr="00A17EBE" w:rsidRDefault="00A17EBE" w:rsidP="00A17EBE">
            <w:pPr>
              <w:spacing w:after="0" w:line="240" w:lineRule="auto"/>
              <w:rPr>
                <w:rFonts w:eastAsia="Calibri"/>
              </w:rPr>
            </w:pPr>
            <w:r w:rsidRPr="00A17EBE">
              <w:rPr>
                <w:rFonts w:eastAsia="Calibri"/>
              </w:rPr>
              <w:t>Period of Report</w:t>
            </w:r>
          </w:p>
          <w:p w14:paraId="7D14E03A" w14:textId="77777777" w:rsidR="00A17EBE" w:rsidRPr="00A17EBE" w:rsidRDefault="00A17EBE" w:rsidP="00A17EBE">
            <w:pPr>
              <w:spacing w:after="0" w:line="240" w:lineRule="auto"/>
              <w:rPr>
                <w:rFonts w:eastAsia="Calibri"/>
              </w:rPr>
            </w:pPr>
            <w:r w:rsidRPr="00A17EBE">
              <w:rPr>
                <w:rFonts w:eastAsia="Calibri"/>
              </w:rPr>
              <w:t>July – September  2022</w:t>
            </w:r>
          </w:p>
        </w:tc>
        <w:tc>
          <w:tcPr>
            <w:tcW w:w="2047" w:type="dxa"/>
          </w:tcPr>
          <w:p w14:paraId="24EB1B2A" w14:textId="77777777" w:rsidR="00A17EBE" w:rsidRPr="00A17EBE" w:rsidRDefault="00A17EBE" w:rsidP="00A17EBE">
            <w:pPr>
              <w:spacing w:after="0" w:line="240" w:lineRule="auto"/>
              <w:rPr>
                <w:rFonts w:eastAsia="Calibri"/>
              </w:rPr>
            </w:pPr>
            <w:r w:rsidRPr="00A17EBE">
              <w:rPr>
                <w:rFonts w:eastAsia="Calibri"/>
              </w:rPr>
              <w:t>Same 3 months July - September 2021</w:t>
            </w:r>
          </w:p>
        </w:tc>
        <w:tc>
          <w:tcPr>
            <w:tcW w:w="1842" w:type="dxa"/>
          </w:tcPr>
          <w:p w14:paraId="6A7DEB1A" w14:textId="77777777" w:rsidR="00A17EBE" w:rsidRPr="00A17EBE" w:rsidRDefault="00A17EBE" w:rsidP="00A17EBE">
            <w:pPr>
              <w:spacing w:after="0" w:line="240" w:lineRule="auto"/>
              <w:rPr>
                <w:rFonts w:eastAsia="Calibri"/>
              </w:rPr>
            </w:pPr>
            <w:r w:rsidRPr="00A17EBE">
              <w:rPr>
                <w:rFonts w:eastAsia="Calibri"/>
              </w:rPr>
              <w:t>Comparison</w:t>
            </w:r>
          </w:p>
        </w:tc>
      </w:tr>
      <w:tr w:rsidR="00A17EBE" w:rsidRPr="00A17EBE" w14:paraId="6DC1EB63" w14:textId="77777777" w:rsidTr="00BC1ACF">
        <w:tc>
          <w:tcPr>
            <w:tcW w:w="2977" w:type="dxa"/>
          </w:tcPr>
          <w:p w14:paraId="5A95069F" w14:textId="77777777" w:rsidR="00A17EBE" w:rsidRPr="00A17EBE" w:rsidRDefault="00A17EBE" w:rsidP="00A17EBE">
            <w:pPr>
              <w:spacing w:after="0" w:line="240" w:lineRule="auto"/>
              <w:rPr>
                <w:rFonts w:eastAsia="Calibri"/>
              </w:rPr>
            </w:pPr>
            <w:r w:rsidRPr="00A17EBE">
              <w:rPr>
                <w:rFonts w:eastAsia="Calibri"/>
              </w:rPr>
              <w:t>Dog licences issued during the three months</w:t>
            </w:r>
          </w:p>
          <w:p w14:paraId="222BEFD5" w14:textId="77777777" w:rsidR="00A17EBE" w:rsidRPr="00A17EBE" w:rsidRDefault="00A17EBE" w:rsidP="00A17EBE">
            <w:pPr>
              <w:spacing w:after="0" w:line="240" w:lineRule="auto"/>
              <w:rPr>
                <w:rFonts w:eastAsia="Calibri"/>
              </w:rPr>
            </w:pPr>
          </w:p>
        </w:tc>
        <w:tc>
          <w:tcPr>
            <w:tcW w:w="2126" w:type="dxa"/>
          </w:tcPr>
          <w:p w14:paraId="0A9C91B4" w14:textId="77777777" w:rsidR="00A17EBE" w:rsidRPr="00A17EBE" w:rsidRDefault="00A17EBE" w:rsidP="00A17EBE">
            <w:pPr>
              <w:spacing w:after="0" w:line="240" w:lineRule="auto"/>
              <w:rPr>
                <w:rFonts w:eastAsia="Calibri"/>
              </w:rPr>
            </w:pPr>
            <w:r w:rsidRPr="00A17EBE">
              <w:rPr>
                <w:rFonts w:eastAsia="Calibri"/>
              </w:rPr>
              <w:t>4999</w:t>
            </w:r>
          </w:p>
          <w:p w14:paraId="338E5945" w14:textId="77777777" w:rsidR="00A17EBE" w:rsidRPr="00A17EBE" w:rsidRDefault="00A17EBE" w:rsidP="00A17EBE">
            <w:pPr>
              <w:spacing w:after="0" w:line="240" w:lineRule="auto"/>
              <w:rPr>
                <w:rFonts w:eastAsia="Calibri"/>
              </w:rPr>
            </w:pPr>
          </w:p>
        </w:tc>
        <w:tc>
          <w:tcPr>
            <w:tcW w:w="2047" w:type="dxa"/>
          </w:tcPr>
          <w:p w14:paraId="77036C5A" w14:textId="77777777" w:rsidR="00A17EBE" w:rsidRPr="00A17EBE" w:rsidRDefault="00A17EBE" w:rsidP="00A17EBE">
            <w:pPr>
              <w:spacing w:after="0" w:line="240" w:lineRule="auto"/>
              <w:rPr>
                <w:rFonts w:eastAsia="Calibri"/>
              </w:rPr>
            </w:pPr>
            <w:r w:rsidRPr="00A17EBE">
              <w:rPr>
                <w:rFonts w:eastAsia="Calibri"/>
              </w:rPr>
              <w:t>4913</w:t>
            </w:r>
          </w:p>
        </w:tc>
        <w:tc>
          <w:tcPr>
            <w:tcW w:w="1842" w:type="dxa"/>
          </w:tcPr>
          <w:p w14:paraId="5960B30D" w14:textId="7112BB0F" w:rsidR="00A17EBE" w:rsidRPr="00F40974" w:rsidRDefault="00F40974" w:rsidP="00F40974">
            <w:pPr>
              <w:spacing w:after="0" w:line="240" w:lineRule="auto"/>
              <w:jc w:val="center"/>
              <w:rPr>
                <w:rFonts w:eastAsia="Calibri"/>
                <w:b/>
                <w:bCs/>
                <w:sz w:val="28"/>
                <w:szCs w:val="28"/>
              </w:rPr>
            </w:pPr>
            <w:r w:rsidRPr="00F40974">
              <w:rPr>
                <w:rFonts w:eastAsia="Calibri"/>
                <w:b/>
                <w:bCs/>
                <w:sz w:val="28"/>
                <w:szCs w:val="28"/>
              </w:rPr>
              <w:t>UP</w:t>
            </w:r>
          </w:p>
        </w:tc>
      </w:tr>
    </w:tbl>
    <w:bookmarkEnd w:id="4"/>
    <w:p w14:paraId="401C822B" w14:textId="77777777" w:rsidR="00A17EBE" w:rsidRPr="00A17EBE" w:rsidRDefault="00A17EBE" w:rsidP="00A17EBE">
      <w:pPr>
        <w:spacing w:after="0" w:line="240" w:lineRule="auto"/>
        <w:rPr>
          <w:rFonts w:eastAsia="Calibri"/>
          <w:szCs w:val="24"/>
        </w:rPr>
      </w:pPr>
      <w:r w:rsidRPr="00A17EBE">
        <w:rPr>
          <w:rFonts w:eastAsia="Calibri"/>
          <w:szCs w:val="24"/>
        </w:rPr>
        <w:t>Concessionary licences remain at 82% of dog licences issued over the period. This included the categories of neutering (£5) / over 65 (Free – 1</w:t>
      </w:r>
      <w:r w:rsidRPr="00A17EBE">
        <w:rPr>
          <w:rFonts w:eastAsia="Calibri"/>
          <w:szCs w:val="24"/>
          <w:vertAlign w:val="superscript"/>
        </w:rPr>
        <w:t>st</w:t>
      </w:r>
      <w:r w:rsidRPr="00A17EBE">
        <w:rPr>
          <w:rFonts w:eastAsia="Calibri"/>
          <w:szCs w:val="24"/>
        </w:rPr>
        <w:t xml:space="preserve"> dog) / over 65 subsequent dog (£5) and income related benefits (£5). Standard dog licence £12.50 and block licence £32. </w:t>
      </w:r>
    </w:p>
    <w:p w14:paraId="20BA7DE5" w14:textId="77777777" w:rsidR="00A17EBE" w:rsidRPr="00A17EBE" w:rsidRDefault="00A17EBE" w:rsidP="00A17EBE">
      <w:pPr>
        <w:spacing w:after="0" w:line="240" w:lineRule="auto"/>
        <w:rPr>
          <w:rFonts w:eastAsia="Calibri"/>
          <w:szCs w:val="24"/>
        </w:rPr>
      </w:pPr>
    </w:p>
    <w:p w14:paraId="2D7C7E9A" w14:textId="3C694F9C" w:rsidR="00A17EBE" w:rsidRPr="00A17EBE" w:rsidRDefault="00F40974" w:rsidP="00A17EBE">
      <w:pPr>
        <w:spacing w:after="0" w:line="240" w:lineRule="auto"/>
        <w:rPr>
          <w:rFonts w:eastAsia="Calibri"/>
          <w:szCs w:val="24"/>
        </w:rPr>
      </w:pPr>
      <w:r w:rsidRPr="00A17EBE">
        <w:rPr>
          <w:rFonts w:eastAsia="Calibri"/>
          <w:noProof/>
          <w:szCs w:val="24"/>
        </w:rPr>
        <w:lastRenderedPageBreak/>
        <w:drawing>
          <wp:inline distT="0" distB="0" distL="0" distR="0" wp14:anchorId="2F1FF561" wp14:editId="0D11F746">
            <wp:extent cx="5731510" cy="3607395"/>
            <wp:effectExtent l="0" t="0" r="2540" b="12700"/>
            <wp:docPr id="6" name="Chart 6">
              <a:extLst xmlns:a="http://schemas.openxmlformats.org/drawingml/2006/main">
                <a:ext uri="{FF2B5EF4-FFF2-40B4-BE49-F238E27FC236}">
                  <a16:creationId xmlns:a16="http://schemas.microsoft.com/office/drawing/2014/main" id="{4A094815-864B-43F7-ACC8-CEF1A8ECE2BF}"/>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1C11AD91" w14:textId="77777777" w:rsidR="00A17EBE" w:rsidRPr="00A17EBE" w:rsidRDefault="00A17EBE" w:rsidP="00A17EBE">
      <w:pPr>
        <w:spacing w:after="0" w:line="240" w:lineRule="auto"/>
        <w:rPr>
          <w:rFonts w:eastAsia="Calibri"/>
          <w:iCs/>
          <w:szCs w:val="24"/>
        </w:rPr>
      </w:pPr>
    </w:p>
    <w:p w14:paraId="6D3C626C" w14:textId="77777777" w:rsidR="00A17EBE" w:rsidRPr="00A17EBE" w:rsidRDefault="00A17EBE" w:rsidP="00A17EBE">
      <w:pPr>
        <w:spacing w:after="0" w:line="240" w:lineRule="auto"/>
        <w:rPr>
          <w:rFonts w:eastAsia="Calibri"/>
          <w:b/>
          <w:bCs/>
          <w:iCs/>
          <w:szCs w:val="24"/>
        </w:rPr>
      </w:pPr>
      <w:r w:rsidRPr="00A17EBE">
        <w:rPr>
          <w:rFonts w:eastAsia="Calibri"/>
          <w:b/>
          <w:bCs/>
          <w:iCs/>
          <w:szCs w:val="24"/>
        </w:rPr>
        <w:t xml:space="preserve">Investigations </w:t>
      </w:r>
    </w:p>
    <w:p w14:paraId="4098C5C4" w14:textId="77777777" w:rsidR="00A17EBE" w:rsidRPr="00A17EBE" w:rsidRDefault="00A17EBE" w:rsidP="00A17EBE">
      <w:pPr>
        <w:spacing w:after="0" w:line="240" w:lineRule="auto"/>
        <w:rPr>
          <w:rFonts w:eastAsia="Calibri"/>
          <w:szCs w:val="24"/>
        </w:rPr>
      </w:pPr>
      <w:r w:rsidRPr="00A17EBE">
        <w:rPr>
          <w:rFonts w:eastAsia="Calibri"/>
          <w:szCs w:val="24"/>
        </w:rPr>
        <w:t>The Neighbourhood Environment Team responded to a range of service requests. In terms of time spent, some types of service requests would be completed immediately whilst others required a longer-term strategy to find a resolution. The total number of service requests had been outlined together with a sample of the types of requests received.</w:t>
      </w:r>
    </w:p>
    <w:p w14:paraId="3FE7C5D9" w14:textId="77777777" w:rsidR="00A17EBE" w:rsidRPr="00A17EBE" w:rsidRDefault="00A17EBE" w:rsidP="00A17EBE">
      <w:pPr>
        <w:spacing w:after="0" w:line="240" w:lineRule="auto"/>
        <w:rPr>
          <w:rFonts w:eastAsia="Calibri"/>
          <w:szCs w:val="24"/>
        </w:rPr>
      </w:pPr>
    </w:p>
    <w:tbl>
      <w:tblPr>
        <w:tblW w:w="9356" w:type="dxa"/>
        <w:tblInd w:w="-289" w:type="dxa"/>
        <w:tblLook w:val="04A0" w:firstRow="1" w:lastRow="0" w:firstColumn="1" w:lastColumn="0" w:noHBand="0" w:noVBand="1"/>
      </w:tblPr>
      <w:tblGrid>
        <w:gridCol w:w="3545"/>
        <w:gridCol w:w="2126"/>
        <w:gridCol w:w="2126"/>
        <w:gridCol w:w="1559"/>
      </w:tblGrid>
      <w:tr w:rsidR="00A17EBE" w:rsidRPr="00A17EBE" w14:paraId="6AA5BB81" w14:textId="77777777" w:rsidTr="00BC1ACF">
        <w:tc>
          <w:tcPr>
            <w:tcW w:w="3545" w:type="dxa"/>
          </w:tcPr>
          <w:p w14:paraId="399DE0E9" w14:textId="77777777" w:rsidR="00A17EBE" w:rsidRPr="00A17EBE" w:rsidRDefault="00A17EBE" w:rsidP="00A17EBE">
            <w:pPr>
              <w:spacing w:after="0" w:line="240" w:lineRule="auto"/>
              <w:rPr>
                <w:rFonts w:eastAsia="Calibri"/>
              </w:rPr>
            </w:pPr>
          </w:p>
        </w:tc>
        <w:tc>
          <w:tcPr>
            <w:tcW w:w="2126" w:type="dxa"/>
          </w:tcPr>
          <w:p w14:paraId="78CA24A1" w14:textId="77777777" w:rsidR="00A17EBE" w:rsidRPr="00A17EBE" w:rsidRDefault="00A17EBE" w:rsidP="00A17EBE">
            <w:pPr>
              <w:spacing w:after="0" w:line="240" w:lineRule="auto"/>
              <w:rPr>
                <w:rFonts w:eastAsia="Calibri"/>
              </w:rPr>
            </w:pPr>
            <w:r w:rsidRPr="00A17EBE">
              <w:rPr>
                <w:rFonts w:eastAsia="Calibri"/>
              </w:rPr>
              <w:t>Period of Report</w:t>
            </w:r>
          </w:p>
          <w:p w14:paraId="7DEC3A75" w14:textId="77777777" w:rsidR="00A17EBE" w:rsidRPr="00A17EBE" w:rsidRDefault="00A17EBE" w:rsidP="00A17EBE">
            <w:pPr>
              <w:spacing w:after="0" w:line="240" w:lineRule="auto"/>
              <w:rPr>
                <w:rFonts w:eastAsia="Calibri"/>
              </w:rPr>
            </w:pPr>
            <w:r w:rsidRPr="00A17EBE">
              <w:rPr>
                <w:rFonts w:eastAsia="Calibri"/>
              </w:rPr>
              <w:t>July – September  2022</w:t>
            </w:r>
          </w:p>
        </w:tc>
        <w:tc>
          <w:tcPr>
            <w:tcW w:w="2126" w:type="dxa"/>
          </w:tcPr>
          <w:p w14:paraId="6A8B9203" w14:textId="77777777" w:rsidR="00A17EBE" w:rsidRPr="00A17EBE" w:rsidRDefault="00A17EBE" w:rsidP="00A17EBE">
            <w:pPr>
              <w:spacing w:after="0" w:line="240" w:lineRule="auto"/>
              <w:rPr>
                <w:rFonts w:eastAsia="Calibri"/>
              </w:rPr>
            </w:pPr>
            <w:r w:rsidRPr="00A17EBE">
              <w:rPr>
                <w:rFonts w:eastAsia="Calibri"/>
              </w:rPr>
              <w:t xml:space="preserve">Same 3 months </w:t>
            </w:r>
          </w:p>
          <w:p w14:paraId="076D7282" w14:textId="77777777" w:rsidR="00A17EBE" w:rsidRPr="00A17EBE" w:rsidRDefault="00A17EBE" w:rsidP="00A17EBE">
            <w:pPr>
              <w:spacing w:after="0" w:line="240" w:lineRule="auto"/>
              <w:rPr>
                <w:rFonts w:eastAsia="Calibri"/>
              </w:rPr>
            </w:pPr>
            <w:r w:rsidRPr="00A17EBE">
              <w:rPr>
                <w:rFonts w:eastAsia="Calibri"/>
              </w:rPr>
              <w:t>July – September  2021</w:t>
            </w:r>
          </w:p>
        </w:tc>
        <w:tc>
          <w:tcPr>
            <w:tcW w:w="1559" w:type="dxa"/>
          </w:tcPr>
          <w:p w14:paraId="0CCE8A8B" w14:textId="77777777" w:rsidR="00A17EBE" w:rsidRPr="00A17EBE" w:rsidRDefault="00A17EBE" w:rsidP="00A17EBE">
            <w:pPr>
              <w:spacing w:after="0" w:line="240" w:lineRule="auto"/>
              <w:rPr>
                <w:rFonts w:eastAsia="Calibri"/>
              </w:rPr>
            </w:pPr>
            <w:r w:rsidRPr="00A17EBE">
              <w:rPr>
                <w:rFonts w:eastAsia="Calibri"/>
              </w:rPr>
              <w:t>Comparison</w:t>
            </w:r>
          </w:p>
        </w:tc>
      </w:tr>
      <w:tr w:rsidR="00A17EBE" w:rsidRPr="00A17EBE" w14:paraId="01CC7B84" w14:textId="77777777" w:rsidTr="00BC1ACF">
        <w:trPr>
          <w:trHeight w:val="999"/>
        </w:trPr>
        <w:tc>
          <w:tcPr>
            <w:tcW w:w="3545" w:type="dxa"/>
          </w:tcPr>
          <w:p w14:paraId="731728DD" w14:textId="77777777" w:rsidR="00A17EBE" w:rsidRPr="00A17EBE" w:rsidRDefault="00A17EBE" w:rsidP="00A17EBE">
            <w:pPr>
              <w:spacing w:after="0" w:line="240" w:lineRule="auto"/>
              <w:rPr>
                <w:rFonts w:eastAsia="Calibri"/>
              </w:rPr>
            </w:pPr>
            <w:r w:rsidRPr="00A17EBE">
              <w:rPr>
                <w:rFonts w:eastAsia="Calibri"/>
              </w:rPr>
              <w:t>Service Requests received the three months</w:t>
            </w:r>
          </w:p>
        </w:tc>
        <w:tc>
          <w:tcPr>
            <w:tcW w:w="2126" w:type="dxa"/>
          </w:tcPr>
          <w:p w14:paraId="5A87A0CB" w14:textId="77777777" w:rsidR="00A17EBE" w:rsidRPr="00A17EBE" w:rsidRDefault="00A17EBE" w:rsidP="00A17EBE">
            <w:pPr>
              <w:spacing w:after="0" w:line="240" w:lineRule="auto"/>
              <w:rPr>
                <w:rFonts w:eastAsia="Calibri"/>
              </w:rPr>
            </w:pPr>
          </w:p>
          <w:p w14:paraId="203064FD" w14:textId="77777777" w:rsidR="00A17EBE" w:rsidRPr="00A17EBE" w:rsidRDefault="00A17EBE" w:rsidP="00A17EBE">
            <w:pPr>
              <w:spacing w:after="0" w:line="240" w:lineRule="auto"/>
              <w:rPr>
                <w:rFonts w:eastAsia="Calibri"/>
              </w:rPr>
            </w:pPr>
            <w:r w:rsidRPr="00A17EBE">
              <w:rPr>
                <w:rFonts w:eastAsia="Calibri"/>
              </w:rPr>
              <w:t>623</w:t>
            </w:r>
          </w:p>
          <w:p w14:paraId="7B9EFE32" w14:textId="77777777" w:rsidR="00A17EBE" w:rsidRPr="00A17EBE" w:rsidRDefault="00A17EBE" w:rsidP="00A17EBE">
            <w:pPr>
              <w:spacing w:after="0" w:line="240" w:lineRule="auto"/>
              <w:rPr>
                <w:rFonts w:eastAsia="Calibri"/>
              </w:rPr>
            </w:pPr>
          </w:p>
        </w:tc>
        <w:tc>
          <w:tcPr>
            <w:tcW w:w="2126" w:type="dxa"/>
          </w:tcPr>
          <w:p w14:paraId="1D8ABE86" w14:textId="77777777" w:rsidR="00A17EBE" w:rsidRPr="00A17EBE" w:rsidRDefault="00A17EBE" w:rsidP="00A17EBE">
            <w:pPr>
              <w:spacing w:after="0" w:line="240" w:lineRule="auto"/>
              <w:rPr>
                <w:rFonts w:eastAsia="Calibri"/>
              </w:rPr>
            </w:pPr>
          </w:p>
          <w:p w14:paraId="6EBBE5FB" w14:textId="77777777" w:rsidR="00A17EBE" w:rsidRPr="00A17EBE" w:rsidRDefault="00A17EBE" w:rsidP="00A17EBE">
            <w:pPr>
              <w:spacing w:after="0" w:line="240" w:lineRule="auto"/>
              <w:rPr>
                <w:rFonts w:eastAsia="Calibri"/>
              </w:rPr>
            </w:pPr>
            <w:r w:rsidRPr="00A17EBE">
              <w:rPr>
                <w:rFonts w:eastAsia="Calibri"/>
              </w:rPr>
              <w:t>839</w:t>
            </w:r>
          </w:p>
        </w:tc>
        <w:tc>
          <w:tcPr>
            <w:tcW w:w="1559" w:type="dxa"/>
          </w:tcPr>
          <w:p w14:paraId="3972BD14" w14:textId="72EF2BC6" w:rsidR="00A17EBE" w:rsidRPr="00F40974" w:rsidRDefault="00F40974" w:rsidP="00F40974">
            <w:pPr>
              <w:spacing w:after="0" w:line="240" w:lineRule="auto"/>
              <w:jc w:val="center"/>
              <w:rPr>
                <w:rFonts w:eastAsia="Calibri"/>
                <w:b/>
                <w:bCs/>
                <w:sz w:val="28"/>
                <w:szCs w:val="28"/>
              </w:rPr>
            </w:pPr>
            <w:r w:rsidRPr="00F40974">
              <w:rPr>
                <w:b/>
                <w:bCs/>
                <w:sz w:val="28"/>
                <w:szCs w:val="28"/>
              </w:rPr>
              <w:t>DOWN</w:t>
            </w:r>
          </w:p>
        </w:tc>
      </w:tr>
    </w:tbl>
    <w:p w14:paraId="1CAB22DD" w14:textId="77777777" w:rsidR="00A17EBE" w:rsidRPr="00A17EBE" w:rsidRDefault="00A17EBE" w:rsidP="00A17EBE">
      <w:pPr>
        <w:spacing w:after="0" w:line="240" w:lineRule="auto"/>
        <w:rPr>
          <w:rFonts w:eastAsia="Calibri"/>
          <w:szCs w:val="24"/>
        </w:rPr>
      </w:pPr>
    </w:p>
    <w:p w14:paraId="6C653CB2" w14:textId="77777777" w:rsidR="00A17EBE" w:rsidRPr="00A17EBE" w:rsidRDefault="00A17EBE" w:rsidP="00A17EBE">
      <w:pPr>
        <w:spacing w:after="0" w:line="240" w:lineRule="auto"/>
        <w:rPr>
          <w:rFonts w:eastAsia="Calibri"/>
          <w:szCs w:val="24"/>
        </w:rPr>
      </w:pPr>
    </w:p>
    <w:p w14:paraId="02D6634B" w14:textId="07162429" w:rsidR="00A17EBE" w:rsidRPr="00A17EBE" w:rsidRDefault="00F40974" w:rsidP="00A17EBE">
      <w:pPr>
        <w:spacing w:after="0" w:line="240" w:lineRule="auto"/>
        <w:rPr>
          <w:rFonts w:eastAsia="Calibri"/>
          <w:szCs w:val="24"/>
        </w:rPr>
      </w:pPr>
      <w:r w:rsidRPr="00A17EBE">
        <w:rPr>
          <w:rFonts w:eastAsia="Calibri"/>
          <w:noProof/>
          <w:szCs w:val="24"/>
        </w:rPr>
        <w:lastRenderedPageBreak/>
        <w:drawing>
          <wp:inline distT="0" distB="0" distL="0" distR="0" wp14:anchorId="7775E4CD" wp14:editId="6C7B2E7A">
            <wp:extent cx="5731510" cy="5521379"/>
            <wp:effectExtent l="0" t="0" r="2540" b="3175"/>
            <wp:docPr id="15" name="Chart 15">
              <a:extLst xmlns:a="http://schemas.openxmlformats.org/drawingml/2006/main">
                <a:ext uri="{FF2B5EF4-FFF2-40B4-BE49-F238E27FC236}">
                  <a16:creationId xmlns:a16="http://schemas.microsoft.com/office/drawing/2014/main" id="{29CBFCF8-C775-417B-ADA9-F37DA17ED224}"/>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75ABD3A3" w14:textId="77777777" w:rsidR="00A17EBE" w:rsidRPr="00A17EBE" w:rsidRDefault="00A17EBE" w:rsidP="00A17EBE">
      <w:pPr>
        <w:spacing w:after="0" w:line="240" w:lineRule="auto"/>
        <w:rPr>
          <w:rFonts w:eastAsia="Calibri"/>
          <w:szCs w:val="24"/>
        </w:rPr>
      </w:pPr>
    </w:p>
    <w:p w14:paraId="32314E82" w14:textId="6248B5FC" w:rsidR="00A17EBE" w:rsidRPr="00A17EBE" w:rsidRDefault="00A17EBE" w:rsidP="00A17EBE">
      <w:pPr>
        <w:spacing w:after="0" w:line="240" w:lineRule="auto"/>
        <w:rPr>
          <w:rFonts w:eastAsia="Calibri"/>
          <w:b/>
          <w:bCs/>
          <w:szCs w:val="24"/>
        </w:rPr>
      </w:pPr>
      <w:r w:rsidRPr="00A17EBE">
        <w:rPr>
          <w:rFonts w:eastAsia="Calibri"/>
          <w:b/>
          <w:bCs/>
          <w:szCs w:val="24"/>
        </w:rPr>
        <w:t xml:space="preserve">   </w:t>
      </w:r>
      <w:bookmarkStart w:id="5" w:name="_Hlk110416946"/>
      <w:r w:rsidRPr="00A17EBE">
        <w:rPr>
          <w:rFonts w:eastAsia="Calibri"/>
          <w:b/>
          <w:bCs/>
          <w:szCs w:val="24"/>
        </w:rPr>
        <w:t>Non-Compliance</w:t>
      </w:r>
      <w:bookmarkEnd w:id="5"/>
    </w:p>
    <w:p w14:paraId="289DAC0B" w14:textId="77777777" w:rsidR="00A17EBE" w:rsidRPr="00A17EBE" w:rsidRDefault="00A17EBE" w:rsidP="00A17EBE">
      <w:pPr>
        <w:spacing w:after="0" w:line="240" w:lineRule="auto"/>
        <w:rPr>
          <w:rFonts w:eastAsia="Calibri"/>
          <w:szCs w:val="24"/>
        </w:rPr>
      </w:pPr>
      <w:r w:rsidRPr="00A17EBE">
        <w:rPr>
          <w:rFonts w:eastAsia="Calibri"/>
          <w:szCs w:val="24"/>
        </w:rPr>
        <w:t xml:space="preserve">   Prosecutions</w:t>
      </w:r>
    </w:p>
    <w:p w14:paraId="43DDDB2B" w14:textId="77777777" w:rsidR="00A17EBE" w:rsidRPr="00A17EBE" w:rsidRDefault="00A17EBE" w:rsidP="00A17EBE">
      <w:pPr>
        <w:spacing w:after="0" w:line="240" w:lineRule="auto"/>
        <w:rPr>
          <w:rFonts w:eastAsia="Calibri"/>
          <w:szCs w:val="24"/>
        </w:rPr>
      </w:pPr>
    </w:p>
    <w:tbl>
      <w:tblPr>
        <w:tblW w:w="8930" w:type="dxa"/>
        <w:tblInd w:w="137" w:type="dxa"/>
        <w:tblLook w:val="04A0" w:firstRow="1" w:lastRow="0" w:firstColumn="1" w:lastColumn="0" w:noHBand="0" w:noVBand="1"/>
      </w:tblPr>
      <w:tblGrid>
        <w:gridCol w:w="2693"/>
        <w:gridCol w:w="2410"/>
        <w:gridCol w:w="2126"/>
        <w:gridCol w:w="1701"/>
      </w:tblGrid>
      <w:tr w:rsidR="00A17EBE" w:rsidRPr="00A17EBE" w14:paraId="67F53CCC" w14:textId="77777777" w:rsidTr="00BC1ACF">
        <w:tc>
          <w:tcPr>
            <w:tcW w:w="2693" w:type="dxa"/>
          </w:tcPr>
          <w:p w14:paraId="312DCACD" w14:textId="77777777" w:rsidR="00A17EBE" w:rsidRPr="00A17EBE" w:rsidRDefault="00A17EBE" w:rsidP="00A17EBE">
            <w:pPr>
              <w:spacing w:after="0" w:line="240" w:lineRule="auto"/>
              <w:rPr>
                <w:rFonts w:eastAsia="Calibri"/>
              </w:rPr>
            </w:pPr>
          </w:p>
        </w:tc>
        <w:tc>
          <w:tcPr>
            <w:tcW w:w="2410" w:type="dxa"/>
          </w:tcPr>
          <w:p w14:paraId="44C9ED91" w14:textId="77777777" w:rsidR="00A17EBE" w:rsidRPr="00A17EBE" w:rsidRDefault="00A17EBE" w:rsidP="00A17EBE">
            <w:pPr>
              <w:spacing w:after="0" w:line="240" w:lineRule="auto"/>
              <w:rPr>
                <w:rFonts w:eastAsia="Calibri"/>
              </w:rPr>
            </w:pPr>
            <w:r w:rsidRPr="00A17EBE">
              <w:rPr>
                <w:rFonts w:eastAsia="Calibri"/>
              </w:rPr>
              <w:t>Period of Report</w:t>
            </w:r>
          </w:p>
          <w:p w14:paraId="11ABBE60" w14:textId="77777777" w:rsidR="00A17EBE" w:rsidRPr="00A17EBE" w:rsidRDefault="00A17EBE" w:rsidP="00A17EBE">
            <w:pPr>
              <w:spacing w:after="0" w:line="240" w:lineRule="auto"/>
              <w:rPr>
                <w:rFonts w:eastAsia="Calibri"/>
              </w:rPr>
            </w:pPr>
            <w:r w:rsidRPr="00A17EBE">
              <w:rPr>
                <w:rFonts w:eastAsia="Calibri"/>
              </w:rPr>
              <w:t>July – September 2022</w:t>
            </w:r>
          </w:p>
        </w:tc>
        <w:tc>
          <w:tcPr>
            <w:tcW w:w="2126" w:type="dxa"/>
          </w:tcPr>
          <w:p w14:paraId="04B33588" w14:textId="77777777" w:rsidR="00A17EBE" w:rsidRPr="00A17EBE" w:rsidRDefault="00A17EBE" w:rsidP="00A17EBE">
            <w:pPr>
              <w:spacing w:after="0" w:line="240" w:lineRule="auto"/>
              <w:rPr>
                <w:rFonts w:eastAsia="Calibri"/>
              </w:rPr>
            </w:pPr>
            <w:r w:rsidRPr="00A17EBE">
              <w:rPr>
                <w:rFonts w:eastAsia="Calibri"/>
              </w:rPr>
              <w:t>Same 3 months July – September 2021</w:t>
            </w:r>
          </w:p>
        </w:tc>
        <w:tc>
          <w:tcPr>
            <w:tcW w:w="1701" w:type="dxa"/>
          </w:tcPr>
          <w:p w14:paraId="6A194EE9" w14:textId="77777777" w:rsidR="00A17EBE" w:rsidRPr="00A17EBE" w:rsidRDefault="00A17EBE" w:rsidP="00A17EBE">
            <w:pPr>
              <w:spacing w:after="0" w:line="240" w:lineRule="auto"/>
              <w:rPr>
                <w:rFonts w:eastAsia="Calibri"/>
              </w:rPr>
            </w:pPr>
            <w:r w:rsidRPr="00A17EBE">
              <w:rPr>
                <w:rFonts w:eastAsia="Calibri"/>
              </w:rPr>
              <w:t>Comparison</w:t>
            </w:r>
          </w:p>
        </w:tc>
      </w:tr>
      <w:tr w:rsidR="00A17EBE" w:rsidRPr="00A17EBE" w14:paraId="3C15B4F6" w14:textId="77777777" w:rsidTr="00BC1ACF">
        <w:trPr>
          <w:trHeight w:val="628"/>
        </w:trPr>
        <w:tc>
          <w:tcPr>
            <w:tcW w:w="2693" w:type="dxa"/>
          </w:tcPr>
          <w:p w14:paraId="462A5D7D" w14:textId="77777777" w:rsidR="00A17EBE" w:rsidRPr="00A17EBE" w:rsidRDefault="00A17EBE" w:rsidP="00A17EBE">
            <w:pPr>
              <w:spacing w:after="0" w:line="240" w:lineRule="auto"/>
              <w:rPr>
                <w:rFonts w:eastAsia="Calibri"/>
              </w:rPr>
            </w:pPr>
          </w:p>
          <w:p w14:paraId="62515628" w14:textId="77777777" w:rsidR="00A17EBE" w:rsidRPr="00A17EBE" w:rsidRDefault="00A17EBE" w:rsidP="00A17EBE">
            <w:pPr>
              <w:spacing w:after="0" w:line="240" w:lineRule="auto"/>
              <w:rPr>
                <w:rFonts w:eastAsia="Calibri"/>
              </w:rPr>
            </w:pPr>
            <w:r w:rsidRPr="00A17EBE">
              <w:rPr>
                <w:rFonts w:eastAsia="Calibri"/>
              </w:rPr>
              <w:t xml:space="preserve">Total Prosecutions </w:t>
            </w:r>
          </w:p>
        </w:tc>
        <w:tc>
          <w:tcPr>
            <w:tcW w:w="2410" w:type="dxa"/>
          </w:tcPr>
          <w:p w14:paraId="65631CE3" w14:textId="77777777" w:rsidR="00A17EBE" w:rsidRPr="00A17EBE" w:rsidRDefault="00A17EBE" w:rsidP="00A17EBE">
            <w:pPr>
              <w:spacing w:after="0" w:line="240" w:lineRule="auto"/>
              <w:rPr>
                <w:rFonts w:eastAsia="Calibri"/>
              </w:rPr>
            </w:pPr>
          </w:p>
          <w:p w14:paraId="265820EF" w14:textId="77777777" w:rsidR="00A17EBE" w:rsidRPr="00A17EBE" w:rsidRDefault="00A17EBE" w:rsidP="00A17EBE">
            <w:pPr>
              <w:spacing w:after="0" w:line="240" w:lineRule="auto"/>
              <w:rPr>
                <w:rFonts w:eastAsia="Calibri"/>
              </w:rPr>
            </w:pPr>
            <w:r w:rsidRPr="00A17EBE">
              <w:rPr>
                <w:rFonts w:eastAsia="Calibri"/>
              </w:rPr>
              <w:t>11</w:t>
            </w:r>
          </w:p>
          <w:p w14:paraId="1DF43CF4" w14:textId="77777777" w:rsidR="00A17EBE" w:rsidRPr="00A17EBE" w:rsidRDefault="00A17EBE" w:rsidP="00A17EBE">
            <w:pPr>
              <w:spacing w:after="0" w:line="240" w:lineRule="auto"/>
              <w:rPr>
                <w:rFonts w:eastAsia="Calibri"/>
              </w:rPr>
            </w:pPr>
          </w:p>
        </w:tc>
        <w:tc>
          <w:tcPr>
            <w:tcW w:w="2126" w:type="dxa"/>
          </w:tcPr>
          <w:p w14:paraId="3DD32519" w14:textId="77777777" w:rsidR="00A17EBE" w:rsidRPr="00A17EBE" w:rsidRDefault="00A17EBE" w:rsidP="00A17EBE">
            <w:pPr>
              <w:spacing w:after="0" w:line="240" w:lineRule="auto"/>
              <w:rPr>
                <w:rFonts w:eastAsia="Calibri"/>
              </w:rPr>
            </w:pPr>
          </w:p>
          <w:p w14:paraId="6842FC5B" w14:textId="77777777" w:rsidR="00A17EBE" w:rsidRPr="00A17EBE" w:rsidRDefault="00A17EBE" w:rsidP="00A17EBE">
            <w:pPr>
              <w:spacing w:after="0" w:line="240" w:lineRule="auto"/>
              <w:rPr>
                <w:rFonts w:eastAsia="Calibri"/>
              </w:rPr>
            </w:pPr>
            <w:r w:rsidRPr="00A17EBE">
              <w:rPr>
                <w:rFonts w:eastAsia="Calibri"/>
              </w:rPr>
              <w:t>18</w:t>
            </w:r>
          </w:p>
        </w:tc>
        <w:tc>
          <w:tcPr>
            <w:tcW w:w="1701" w:type="dxa"/>
          </w:tcPr>
          <w:p w14:paraId="6CD82BD0" w14:textId="382BAB8B" w:rsidR="00A17EBE" w:rsidRPr="00F40974" w:rsidRDefault="00F40974" w:rsidP="00F40974">
            <w:pPr>
              <w:spacing w:after="0" w:line="240" w:lineRule="auto"/>
              <w:jc w:val="center"/>
              <w:rPr>
                <w:rFonts w:eastAsia="Calibri"/>
                <w:b/>
                <w:bCs/>
                <w:sz w:val="28"/>
                <w:szCs w:val="28"/>
              </w:rPr>
            </w:pPr>
            <w:r>
              <w:rPr>
                <w:rFonts w:eastAsia="Calibri"/>
                <w:b/>
                <w:bCs/>
                <w:sz w:val="28"/>
                <w:szCs w:val="28"/>
              </w:rPr>
              <w:t>DOWN</w:t>
            </w:r>
          </w:p>
        </w:tc>
      </w:tr>
    </w:tbl>
    <w:p w14:paraId="27CC1883" w14:textId="77777777" w:rsidR="00A17EBE" w:rsidRPr="00A17EBE" w:rsidRDefault="00A17EBE" w:rsidP="00A17EBE">
      <w:pPr>
        <w:spacing w:after="0" w:line="240" w:lineRule="auto"/>
        <w:rPr>
          <w:rFonts w:eastAsia="Calibri"/>
          <w:szCs w:val="24"/>
        </w:rPr>
      </w:pPr>
    </w:p>
    <w:p w14:paraId="5BD51695" w14:textId="77777777" w:rsidR="00A17EBE" w:rsidRPr="00A17EBE" w:rsidRDefault="00A17EBE" w:rsidP="00A17EBE">
      <w:pPr>
        <w:spacing w:after="0" w:line="240" w:lineRule="auto"/>
        <w:rPr>
          <w:rFonts w:eastAsia="Calibri"/>
          <w:szCs w:val="24"/>
        </w:rPr>
      </w:pPr>
      <w:r w:rsidRPr="00A17EBE">
        <w:rPr>
          <w:rFonts w:eastAsia="Calibri"/>
          <w:szCs w:val="24"/>
        </w:rPr>
        <w:t>The level of prosecutions during the same period last year included a back log of cases delayed due to COVID 19.</w:t>
      </w:r>
    </w:p>
    <w:p w14:paraId="18D0266D" w14:textId="77777777" w:rsidR="00A17EBE" w:rsidRPr="00A17EBE" w:rsidRDefault="00A17EBE" w:rsidP="00A17EBE">
      <w:pPr>
        <w:spacing w:after="0" w:line="240" w:lineRule="auto"/>
        <w:rPr>
          <w:rFonts w:eastAsia="Calibri"/>
          <w:szCs w:val="24"/>
        </w:rPr>
      </w:pPr>
    </w:p>
    <w:p w14:paraId="476A8EAF" w14:textId="77777777" w:rsidR="00A17EBE" w:rsidRPr="00A17EBE" w:rsidRDefault="00A17EBE" w:rsidP="00A17EBE">
      <w:pPr>
        <w:spacing w:after="0" w:line="240" w:lineRule="auto"/>
        <w:rPr>
          <w:rFonts w:eastAsia="Calibri"/>
          <w:b/>
          <w:bCs/>
          <w:szCs w:val="24"/>
        </w:rPr>
      </w:pPr>
      <w:r w:rsidRPr="00A17EBE">
        <w:rPr>
          <w:rFonts w:eastAsia="Calibri"/>
          <w:b/>
          <w:bCs/>
          <w:szCs w:val="24"/>
        </w:rPr>
        <w:t>Fixed Penalty Notices</w:t>
      </w:r>
    </w:p>
    <w:p w14:paraId="5DF0A870" w14:textId="77777777" w:rsidR="00A17EBE" w:rsidRPr="00A17EBE" w:rsidRDefault="00A17EBE" w:rsidP="00A17EBE">
      <w:pPr>
        <w:spacing w:after="0" w:line="240" w:lineRule="auto"/>
        <w:rPr>
          <w:rFonts w:eastAsia="Calibri"/>
          <w:szCs w:val="24"/>
        </w:rPr>
      </w:pPr>
      <w:r w:rsidRPr="00A17EBE">
        <w:rPr>
          <w:rFonts w:eastAsia="Calibri"/>
          <w:szCs w:val="24"/>
        </w:rPr>
        <w:t xml:space="preserve">In addition to cases being prosecuted through the court, </w:t>
      </w:r>
      <w:r w:rsidRPr="00A17EBE">
        <w:rPr>
          <w:rFonts w:eastAsia="Calibri"/>
          <w:b/>
          <w:bCs/>
          <w:szCs w:val="24"/>
        </w:rPr>
        <w:t>79</w:t>
      </w:r>
      <w:r w:rsidRPr="00A17EBE">
        <w:rPr>
          <w:rFonts w:eastAsia="Calibri"/>
          <w:szCs w:val="24"/>
        </w:rPr>
        <w:t xml:space="preserve"> fixed penalty notices had been issued in respect of various matters. This continued to demonstrate a sustained Council focus upon detecting and punishing those who persisted in committing environmental offences in the Borough and highlights one patrolling </w:t>
      </w:r>
      <w:r w:rsidRPr="00A17EBE">
        <w:rPr>
          <w:rFonts w:eastAsia="Calibri"/>
          <w:szCs w:val="24"/>
        </w:rPr>
        <w:lastRenderedPageBreak/>
        <w:t>outcome of the Neighbourhood Environment Team achieved despite the reduction in staffing levels due to sickness and vacant posts. Recruiting for Enforcement officers was ongoing in October 2022.</w:t>
      </w:r>
    </w:p>
    <w:p w14:paraId="747ABADC" w14:textId="77777777" w:rsidR="00A17EBE" w:rsidRPr="00A17EBE" w:rsidRDefault="00A17EBE" w:rsidP="00A17EBE">
      <w:pPr>
        <w:spacing w:after="0" w:line="240" w:lineRule="auto"/>
        <w:rPr>
          <w:rFonts w:eastAsia="Calibri"/>
          <w:szCs w:val="24"/>
        </w:rPr>
      </w:pPr>
    </w:p>
    <w:p w14:paraId="235F7286" w14:textId="77777777" w:rsidR="00A17EBE" w:rsidRPr="00A17EBE" w:rsidRDefault="00A17EBE" w:rsidP="00A17EBE">
      <w:pPr>
        <w:spacing w:after="0" w:line="240" w:lineRule="auto"/>
        <w:rPr>
          <w:rFonts w:eastAsia="Calibri"/>
          <w:szCs w:val="24"/>
        </w:rPr>
      </w:pPr>
      <w:r w:rsidRPr="00A17EBE">
        <w:rPr>
          <w:rFonts w:eastAsia="Calibri"/>
          <w:szCs w:val="24"/>
        </w:rPr>
        <w:t xml:space="preserve">The main categories of fixed penalties were shown below. Other categories existed i.e. breach of dog control conditions, exclusion order and off lead offences. The offer of an £80 Fixed Penalty Fine was an opportunity to discharge liability to prosecution. </w:t>
      </w:r>
    </w:p>
    <w:p w14:paraId="1FB94809" w14:textId="77777777" w:rsidR="00A17EBE" w:rsidRPr="00A17EBE" w:rsidRDefault="00A17EBE" w:rsidP="00A17EBE">
      <w:pPr>
        <w:spacing w:after="0" w:line="240" w:lineRule="auto"/>
        <w:rPr>
          <w:rFonts w:eastAsia="Calibri"/>
          <w:szCs w:val="24"/>
        </w:rPr>
      </w:pPr>
      <w:r w:rsidRPr="00A17EBE">
        <w:rPr>
          <w:rFonts w:eastAsia="Calibri"/>
          <w:szCs w:val="24"/>
        </w:rPr>
        <w:t>A payment period of 28 days was permitted. If paid within 14 days, the fine was discounted to £60. As staff recruitment and retention remained a challenge this had impacted on the number of notices issued during the quarter.</w:t>
      </w:r>
    </w:p>
    <w:p w14:paraId="220D5471" w14:textId="77777777" w:rsidR="00A17EBE" w:rsidRPr="00A17EBE" w:rsidRDefault="00A17EBE" w:rsidP="00A17EBE">
      <w:pPr>
        <w:spacing w:after="0" w:line="240" w:lineRule="auto"/>
        <w:rPr>
          <w:rFonts w:eastAsia="Calibri"/>
          <w:szCs w:val="24"/>
        </w:rPr>
      </w:pPr>
    </w:p>
    <w:tbl>
      <w:tblPr>
        <w:tblStyle w:val="TableGrid"/>
        <w:tblW w:w="0" w:type="auto"/>
        <w:tblLook w:val="04A0" w:firstRow="1" w:lastRow="0" w:firstColumn="1" w:lastColumn="0" w:noHBand="0" w:noVBand="1"/>
      </w:tblPr>
      <w:tblGrid>
        <w:gridCol w:w="1838"/>
        <w:gridCol w:w="2552"/>
        <w:gridCol w:w="2372"/>
        <w:gridCol w:w="2254"/>
      </w:tblGrid>
      <w:tr w:rsidR="00A17EBE" w:rsidRPr="00A17EBE" w14:paraId="347CE03C" w14:textId="77777777" w:rsidTr="00BC1ACF">
        <w:tc>
          <w:tcPr>
            <w:tcW w:w="1838" w:type="dxa"/>
          </w:tcPr>
          <w:p w14:paraId="746D3E5A" w14:textId="77777777" w:rsidR="00A17EBE" w:rsidRPr="00A17EBE" w:rsidRDefault="00A17EBE" w:rsidP="00A17EBE">
            <w:pPr>
              <w:spacing w:after="0" w:line="240" w:lineRule="auto"/>
              <w:rPr>
                <w:rFonts w:eastAsia="Calibri"/>
                <w:szCs w:val="24"/>
              </w:rPr>
            </w:pPr>
          </w:p>
        </w:tc>
        <w:tc>
          <w:tcPr>
            <w:tcW w:w="2552" w:type="dxa"/>
          </w:tcPr>
          <w:p w14:paraId="1DFDF197" w14:textId="77777777" w:rsidR="00A17EBE" w:rsidRPr="00A17EBE" w:rsidRDefault="00A17EBE" w:rsidP="00A17EBE">
            <w:pPr>
              <w:spacing w:after="0" w:line="240" w:lineRule="auto"/>
              <w:rPr>
                <w:rFonts w:eastAsia="Calibri"/>
                <w:szCs w:val="24"/>
              </w:rPr>
            </w:pPr>
            <w:r w:rsidRPr="00A17EBE">
              <w:rPr>
                <w:rFonts w:eastAsia="Calibri"/>
                <w:szCs w:val="24"/>
              </w:rPr>
              <w:t>Period of Report</w:t>
            </w:r>
          </w:p>
          <w:p w14:paraId="322A011A" w14:textId="77777777" w:rsidR="00A17EBE" w:rsidRPr="00A17EBE" w:rsidRDefault="00A17EBE" w:rsidP="00A17EBE">
            <w:pPr>
              <w:spacing w:after="0" w:line="240" w:lineRule="auto"/>
              <w:rPr>
                <w:rFonts w:eastAsia="Calibri"/>
                <w:szCs w:val="24"/>
              </w:rPr>
            </w:pPr>
            <w:r w:rsidRPr="00A17EBE">
              <w:rPr>
                <w:rFonts w:eastAsia="Calibri"/>
                <w:szCs w:val="24"/>
              </w:rPr>
              <w:t>July – September 2022</w:t>
            </w:r>
          </w:p>
        </w:tc>
        <w:tc>
          <w:tcPr>
            <w:tcW w:w="2372" w:type="dxa"/>
          </w:tcPr>
          <w:p w14:paraId="107914B8" w14:textId="77777777" w:rsidR="00A17EBE" w:rsidRPr="00A17EBE" w:rsidRDefault="00A17EBE" w:rsidP="00A17EBE">
            <w:pPr>
              <w:spacing w:after="0" w:line="240" w:lineRule="auto"/>
              <w:rPr>
                <w:rFonts w:eastAsia="Calibri"/>
                <w:szCs w:val="24"/>
              </w:rPr>
            </w:pPr>
            <w:r w:rsidRPr="00A17EBE">
              <w:rPr>
                <w:rFonts w:eastAsia="Calibri"/>
                <w:szCs w:val="24"/>
              </w:rPr>
              <w:t>Same 3 months July – September 2021</w:t>
            </w:r>
          </w:p>
        </w:tc>
        <w:tc>
          <w:tcPr>
            <w:tcW w:w="2254" w:type="dxa"/>
          </w:tcPr>
          <w:p w14:paraId="101C9B42" w14:textId="77777777" w:rsidR="00A17EBE" w:rsidRPr="00A17EBE" w:rsidRDefault="00A17EBE" w:rsidP="00A17EBE">
            <w:pPr>
              <w:spacing w:after="0" w:line="240" w:lineRule="auto"/>
              <w:rPr>
                <w:rFonts w:eastAsia="Calibri"/>
                <w:szCs w:val="24"/>
              </w:rPr>
            </w:pPr>
            <w:r w:rsidRPr="00A17EBE">
              <w:rPr>
                <w:rFonts w:eastAsia="Calibri"/>
                <w:szCs w:val="24"/>
              </w:rPr>
              <w:t>Comparison</w:t>
            </w:r>
          </w:p>
        </w:tc>
      </w:tr>
      <w:tr w:rsidR="00A17EBE" w:rsidRPr="00A17EBE" w14:paraId="2B3AB02D" w14:textId="77777777" w:rsidTr="00BC1ACF">
        <w:tc>
          <w:tcPr>
            <w:tcW w:w="1838" w:type="dxa"/>
          </w:tcPr>
          <w:p w14:paraId="35B32C8C" w14:textId="77777777" w:rsidR="00A17EBE" w:rsidRPr="00A17EBE" w:rsidRDefault="00A17EBE" w:rsidP="00A17EBE">
            <w:pPr>
              <w:spacing w:after="0" w:line="240" w:lineRule="auto"/>
              <w:rPr>
                <w:rFonts w:eastAsia="Calibri"/>
                <w:szCs w:val="24"/>
              </w:rPr>
            </w:pPr>
            <w:r w:rsidRPr="00A17EBE">
              <w:rPr>
                <w:rFonts w:eastAsia="Calibri"/>
                <w:szCs w:val="24"/>
              </w:rPr>
              <w:t>Straying</w:t>
            </w:r>
          </w:p>
        </w:tc>
        <w:tc>
          <w:tcPr>
            <w:tcW w:w="2552" w:type="dxa"/>
          </w:tcPr>
          <w:p w14:paraId="35C0CD07" w14:textId="77777777" w:rsidR="00A17EBE" w:rsidRPr="00A17EBE" w:rsidRDefault="00A17EBE" w:rsidP="00A17EBE">
            <w:pPr>
              <w:spacing w:after="0" w:line="240" w:lineRule="auto"/>
              <w:rPr>
                <w:rFonts w:eastAsia="Calibri"/>
                <w:szCs w:val="24"/>
              </w:rPr>
            </w:pPr>
            <w:r w:rsidRPr="00A17EBE">
              <w:rPr>
                <w:rFonts w:eastAsia="Calibri"/>
                <w:szCs w:val="24"/>
              </w:rPr>
              <w:t>11</w:t>
            </w:r>
          </w:p>
        </w:tc>
        <w:tc>
          <w:tcPr>
            <w:tcW w:w="2372" w:type="dxa"/>
          </w:tcPr>
          <w:p w14:paraId="40865B09" w14:textId="77777777" w:rsidR="00A17EBE" w:rsidRPr="00A17EBE" w:rsidRDefault="00A17EBE" w:rsidP="00A17EBE">
            <w:pPr>
              <w:spacing w:after="0" w:line="240" w:lineRule="auto"/>
              <w:rPr>
                <w:rFonts w:eastAsia="Calibri"/>
                <w:szCs w:val="24"/>
              </w:rPr>
            </w:pPr>
            <w:r w:rsidRPr="00A17EBE">
              <w:rPr>
                <w:rFonts w:eastAsia="Calibri"/>
                <w:szCs w:val="24"/>
              </w:rPr>
              <w:t>12</w:t>
            </w:r>
          </w:p>
        </w:tc>
        <w:tc>
          <w:tcPr>
            <w:tcW w:w="2254" w:type="dxa"/>
          </w:tcPr>
          <w:p w14:paraId="7D5F4BC5" w14:textId="74E0B8DD" w:rsidR="00A17EBE" w:rsidRPr="00F40974" w:rsidRDefault="00F40974" w:rsidP="00F40974">
            <w:pPr>
              <w:spacing w:after="0" w:line="240" w:lineRule="auto"/>
              <w:jc w:val="center"/>
              <w:rPr>
                <w:rFonts w:eastAsia="Calibri"/>
                <w:b/>
                <w:bCs/>
                <w:szCs w:val="24"/>
              </w:rPr>
            </w:pPr>
            <w:r w:rsidRPr="00F40974">
              <w:rPr>
                <w:b/>
                <w:bCs/>
              </w:rPr>
              <w:t>DOWN</w:t>
            </w:r>
          </w:p>
          <w:p w14:paraId="4BEACD29" w14:textId="77777777" w:rsidR="00A17EBE" w:rsidRPr="00F40974" w:rsidRDefault="00A17EBE" w:rsidP="00A17EBE">
            <w:pPr>
              <w:spacing w:after="0" w:line="240" w:lineRule="auto"/>
              <w:rPr>
                <w:rFonts w:eastAsia="Calibri"/>
                <w:b/>
                <w:bCs/>
                <w:szCs w:val="24"/>
              </w:rPr>
            </w:pPr>
          </w:p>
          <w:p w14:paraId="09CD7CD5" w14:textId="77777777" w:rsidR="00A17EBE" w:rsidRPr="00A17EBE" w:rsidRDefault="00A17EBE" w:rsidP="00A17EBE">
            <w:pPr>
              <w:spacing w:after="0" w:line="240" w:lineRule="auto"/>
              <w:rPr>
                <w:rFonts w:eastAsia="Calibri"/>
                <w:szCs w:val="24"/>
              </w:rPr>
            </w:pPr>
          </w:p>
        </w:tc>
      </w:tr>
      <w:tr w:rsidR="00A17EBE" w:rsidRPr="00A17EBE" w14:paraId="559F0C1D" w14:textId="77777777" w:rsidTr="00BC1ACF">
        <w:tc>
          <w:tcPr>
            <w:tcW w:w="1838" w:type="dxa"/>
          </w:tcPr>
          <w:p w14:paraId="05857C0D" w14:textId="77777777" w:rsidR="00A17EBE" w:rsidRPr="00A17EBE" w:rsidRDefault="00A17EBE" w:rsidP="00A17EBE">
            <w:pPr>
              <w:spacing w:after="0" w:line="240" w:lineRule="auto"/>
              <w:rPr>
                <w:rFonts w:eastAsia="Calibri"/>
                <w:szCs w:val="24"/>
              </w:rPr>
            </w:pPr>
            <w:r w:rsidRPr="00A17EBE">
              <w:rPr>
                <w:rFonts w:eastAsia="Calibri"/>
                <w:szCs w:val="24"/>
              </w:rPr>
              <w:t>No Licence</w:t>
            </w:r>
          </w:p>
        </w:tc>
        <w:tc>
          <w:tcPr>
            <w:tcW w:w="2552" w:type="dxa"/>
          </w:tcPr>
          <w:p w14:paraId="6CF4C00F" w14:textId="77777777" w:rsidR="00A17EBE" w:rsidRPr="00A17EBE" w:rsidRDefault="00A17EBE" w:rsidP="00A17EBE">
            <w:pPr>
              <w:spacing w:after="0" w:line="240" w:lineRule="auto"/>
              <w:rPr>
                <w:rFonts w:eastAsia="Calibri"/>
                <w:szCs w:val="24"/>
              </w:rPr>
            </w:pPr>
            <w:r w:rsidRPr="00A17EBE">
              <w:rPr>
                <w:rFonts w:eastAsia="Calibri"/>
                <w:szCs w:val="24"/>
              </w:rPr>
              <w:t>1</w:t>
            </w:r>
          </w:p>
        </w:tc>
        <w:tc>
          <w:tcPr>
            <w:tcW w:w="2372" w:type="dxa"/>
          </w:tcPr>
          <w:p w14:paraId="0478E847" w14:textId="77777777" w:rsidR="00A17EBE" w:rsidRPr="00A17EBE" w:rsidRDefault="00A17EBE" w:rsidP="00A17EBE">
            <w:pPr>
              <w:spacing w:after="0" w:line="240" w:lineRule="auto"/>
              <w:rPr>
                <w:rFonts w:eastAsia="Calibri"/>
                <w:szCs w:val="24"/>
              </w:rPr>
            </w:pPr>
            <w:r w:rsidRPr="00A17EBE">
              <w:rPr>
                <w:rFonts w:eastAsia="Calibri"/>
                <w:szCs w:val="24"/>
              </w:rPr>
              <w:t>31</w:t>
            </w:r>
          </w:p>
        </w:tc>
        <w:tc>
          <w:tcPr>
            <w:tcW w:w="2254" w:type="dxa"/>
          </w:tcPr>
          <w:p w14:paraId="2D73A3C4" w14:textId="6ACD6B33" w:rsidR="00A17EBE" w:rsidRPr="00F40974" w:rsidRDefault="00F40974" w:rsidP="00F40974">
            <w:pPr>
              <w:spacing w:after="0" w:line="240" w:lineRule="auto"/>
              <w:jc w:val="center"/>
              <w:rPr>
                <w:rFonts w:eastAsia="Calibri"/>
                <w:b/>
                <w:bCs/>
                <w:szCs w:val="24"/>
              </w:rPr>
            </w:pPr>
            <w:r w:rsidRPr="00F40974">
              <w:rPr>
                <w:rFonts w:eastAsia="Calibri"/>
                <w:b/>
                <w:bCs/>
                <w:szCs w:val="24"/>
              </w:rPr>
              <w:t>DOWN</w:t>
            </w:r>
          </w:p>
          <w:p w14:paraId="485E63FA" w14:textId="77777777" w:rsidR="00A17EBE" w:rsidRPr="00A17EBE" w:rsidRDefault="00A17EBE" w:rsidP="00A17EBE">
            <w:pPr>
              <w:spacing w:after="0" w:line="240" w:lineRule="auto"/>
              <w:rPr>
                <w:rFonts w:eastAsia="Calibri"/>
                <w:szCs w:val="24"/>
              </w:rPr>
            </w:pPr>
          </w:p>
          <w:p w14:paraId="682E5C7D" w14:textId="77777777" w:rsidR="00A17EBE" w:rsidRPr="00A17EBE" w:rsidRDefault="00A17EBE" w:rsidP="00A17EBE">
            <w:pPr>
              <w:spacing w:after="0" w:line="240" w:lineRule="auto"/>
              <w:rPr>
                <w:rFonts w:eastAsia="Calibri"/>
                <w:szCs w:val="24"/>
              </w:rPr>
            </w:pPr>
          </w:p>
        </w:tc>
      </w:tr>
      <w:tr w:rsidR="00A17EBE" w:rsidRPr="00A17EBE" w14:paraId="553EF982" w14:textId="77777777" w:rsidTr="00BC1ACF">
        <w:tc>
          <w:tcPr>
            <w:tcW w:w="1838" w:type="dxa"/>
          </w:tcPr>
          <w:p w14:paraId="51A0932B" w14:textId="77777777" w:rsidR="00A17EBE" w:rsidRPr="00A17EBE" w:rsidRDefault="00A17EBE" w:rsidP="00A17EBE">
            <w:pPr>
              <w:spacing w:after="0" w:line="240" w:lineRule="auto"/>
              <w:rPr>
                <w:rFonts w:eastAsia="Calibri"/>
                <w:szCs w:val="24"/>
              </w:rPr>
            </w:pPr>
            <w:r w:rsidRPr="00A17EBE">
              <w:rPr>
                <w:rFonts w:eastAsia="Calibri"/>
                <w:szCs w:val="24"/>
              </w:rPr>
              <w:t>Litter</w:t>
            </w:r>
          </w:p>
        </w:tc>
        <w:tc>
          <w:tcPr>
            <w:tcW w:w="2552" w:type="dxa"/>
          </w:tcPr>
          <w:p w14:paraId="183AC246" w14:textId="77777777" w:rsidR="00A17EBE" w:rsidRPr="00A17EBE" w:rsidRDefault="00A17EBE" w:rsidP="00A17EBE">
            <w:pPr>
              <w:spacing w:after="0" w:line="240" w:lineRule="auto"/>
              <w:rPr>
                <w:rFonts w:eastAsia="Calibri"/>
                <w:szCs w:val="24"/>
              </w:rPr>
            </w:pPr>
            <w:r w:rsidRPr="00A17EBE">
              <w:rPr>
                <w:rFonts w:eastAsia="Calibri"/>
                <w:szCs w:val="24"/>
              </w:rPr>
              <w:t>58</w:t>
            </w:r>
          </w:p>
        </w:tc>
        <w:tc>
          <w:tcPr>
            <w:tcW w:w="2372" w:type="dxa"/>
          </w:tcPr>
          <w:p w14:paraId="213BAF41" w14:textId="77777777" w:rsidR="00A17EBE" w:rsidRPr="00A17EBE" w:rsidRDefault="00A17EBE" w:rsidP="00A17EBE">
            <w:pPr>
              <w:spacing w:after="0" w:line="240" w:lineRule="auto"/>
              <w:rPr>
                <w:rFonts w:eastAsia="Calibri"/>
                <w:szCs w:val="24"/>
              </w:rPr>
            </w:pPr>
            <w:r w:rsidRPr="00A17EBE">
              <w:rPr>
                <w:rFonts w:eastAsia="Calibri"/>
                <w:szCs w:val="24"/>
              </w:rPr>
              <w:t>58</w:t>
            </w:r>
          </w:p>
        </w:tc>
        <w:tc>
          <w:tcPr>
            <w:tcW w:w="2254" w:type="dxa"/>
          </w:tcPr>
          <w:p w14:paraId="09BF1075" w14:textId="6596660E" w:rsidR="00A17EBE" w:rsidRPr="00A17EBE" w:rsidRDefault="00A17EBE" w:rsidP="00A17EBE">
            <w:pPr>
              <w:spacing w:after="0" w:line="240" w:lineRule="auto"/>
              <w:rPr>
                <w:rFonts w:eastAsia="Calibri"/>
                <w:szCs w:val="24"/>
              </w:rPr>
            </w:pPr>
          </w:p>
          <w:p w14:paraId="01E702B1" w14:textId="3B01DB40" w:rsidR="00A17EBE" w:rsidRPr="00F40974" w:rsidRDefault="00F40974" w:rsidP="00F40974">
            <w:pPr>
              <w:spacing w:after="0" w:line="240" w:lineRule="auto"/>
              <w:jc w:val="center"/>
              <w:rPr>
                <w:rFonts w:eastAsia="Calibri"/>
                <w:b/>
                <w:bCs/>
                <w:sz w:val="36"/>
                <w:szCs w:val="36"/>
              </w:rPr>
            </w:pPr>
            <w:r w:rsidRPr="00F40974">
              <w:rPr>
                <w:rFonts w:eastAsia="Calibri"/>
                <w:b/>
                <w:bCs/>
                <w:sz w:val="36"/>
                <w:szCs w:val="36"/>
              </w:rPr>
              <w:t>-</w:t>
            </w:r>
          </w:p>
          <w:p w14:paraId="165EFDE5" w14:textId="77777777" w:rsidR="00A17EBE" w:rsidRPr="00A17EBE" w:rsidRDefault="00A17EBE" w:rsidP="00A17EBE">
            <w:pPr>
              <w:spacing w:after="0" w:line="240" w:lineRule="auto"/>
              <w:rPr>
                <w:rFonts w:eastAsia="Calibri"/>
                <w:szCs w:val="24"/>
              </w:rPr>
            </w:pPr>
          </w:p>
        </w:tc>
      </w:tr>
      <w:tr w:rsidR="00A17EBE" w:rsidRPr="00A17EBE" w14:paraId="7A0E99B7" w14:textId="77777777" w:rsidTr="00BC1ACF">
        <w:tc>
          <w:tcPr>
            <w:tcW w:w="1838" w:type="dxa"/>
          </w:tcPr>
          <w:p w14:paraId="6BF6CD5C" w14:textId="7EFC958A" w:rsidR="00A17EBE" w:rsidRPr="00A17EBE" w:rsidRDefault="00A17EBE" w:rsidP="00A17EBE">
            <w:pPr>
              <w:spacing w:after="0" w:line="240" w:lineRule="auto"/>
              <w:rPr>
                <w:rFonts w:eastAsia="Calibri"/>
                <w:szCs w:val="24"/>
              </w:rPr>
            </w:pPr>
          </w:p>
        </w:tc>
        <w:tc>
          <w:tcPr>
            <w:tcW w:w="2552" w:type="dxa"/>
          </w:tcPr>
          <w:p w14:paraId="76313A28" w14:textId="77777777" w:rsidR="00A17EBE" w:rsidRPr="00A17EBE" w:rsidRDefault="00A17EBE" w:rsidP="00A17EBE">
            <w:pPr>
              <w:spacing w:after="0" w:line="240" w:lineRule="auto"/>
              <w:rPr>
                <w:rFonts w:eastAsia="Calibri"/>
                <w:szCs w:val="24"/>
              </w:rPr>
            </w:pPr>
            <w:r w:rsidRPr="00A17EBE">
              <w:rPr>
                <w:rFonts w:eastAsia="Calibri"/>
                <w:szCs w:val="24"/>
              </w:rPr>
              <w:t>7</w:t>
            </w:r>
          </w:p>
        </w:tc>
        <w:tc>
          <w:tcPr>
            <w:tcW w:w="2372" w:type="dxa"/>
          </w:tcPr>
          <w:p w14:paraId="5990F48F" w14:textId="77777777" w:rsidR="00A17EBE" w:rsidRPr="00A17EBE" w:rsidRDefault="00A17EBE" w:rsidP="00A17EBE">
            <w:pPr>
              <w:spacing w:after="0" w:line="240" w:lineRule="auto"/>
              <w:rPr>
                <w:rFonts w:eastAsia="Calibri"/>
                <w:szCs w:val="24"/>
              </w:rPr>
            </w:pPr>
            <w:r w:rsidRPr="00A17EBE">
              <w:rPr>
                <w:rFonts w:eastAsia="Calibri"/>
                <w:szCs w:val="24"/>
              </w:rPr>
              <w:t>9</w:t>
            </w:r>
          </w:p>
        </w:tc>
        <w:tc>
          <w:tcPr>
            <w:tcW w:w="2254" w:type="dxa"/>
          </w:tcPr>
          <w:p w14:paraId="2902FEAC" w14:textId="602147FB" w:rsidR="00A17EBE" w:rsidRPr="00F40974" w:rsidRDefault="00F40974" w:rsidP="00F40974">
            <w:pPr>
              <w:spacing w:after="0" w:line="240" w:lineRule="auto"/>
              <w:jc w:val="center"/>
              <w:rPr>
                <w:rFonts w:eastAsia="Calibri"/>
                <w:b/>
                <w:bCs/>
                <w:szCs w:val="24"/>
              </w:rPr>
            </w:pPr>
            <w:r>
              <w:rPr>
                <w:rFonts w:eastAsia="Calibri"/>
                <w:b/>
                <w:bCs/>
                <w:szCs w:val="24"/>
              </w:rPr>
              <w:t>DOWN</w:t>
            </w:r>
          </w:p>
          <w:p w14:paraId="72F0D576" w14:textId="77777777" w:rsidR="00A17EBE" w:rsidRPr="00A17EBE" w:rsidRDefault="00A17EBE" w:rsidP="00A17EBE">
            <w:pPr>
              <w:spacing w:after="0" w:line="240" w:lineRule="auto"/>
              <w:rPr>
                <w:rFonts w:eastAsia="Calibri"/>
                <w:szCs w:val="24"/>
              </w:rPr>
            </w:pPr>
          </w:p>
          <w:p w14:paraId="1C3A0CED" w14:textId="77777777" w:rsidR="00A17EBE" w:rsidRPr="00A17EBE" w:rsidRDefault="00A17EBE" w:rsidP="00A17EBE">
            <w:pPr>
              <w:spacing w:after="0" w:line="240" w:lineRule="auto"/>
              <w:rPr>
                <w:rFonts w:eastAsia="Calibri"/>
                <w:szCs w:val="24"/>
              </w:rPr>
            </w:pPr>
          </w:p>
        </w:tc>
      </w:tr>
    </w:tbl>
    <w:p w14:paraId="1D2BF579" w14:textId="77777777" w:rsidR="00A17EBE" w:rsidRPr="00A17EBE" w:rsidRDefault="00A17EBE" w:rsidP="00A17EBE">
      <w:pPr>
        <w:spacing w:after="0" w:line="240" w:lineRule="auto"/>
        <w:rPr>
          <w:rFonts w:eastAsia="Calibri"/>
          <w:szCs w:val="24"/>
        </w:rPr>
      </w:pPr>
    </w:p>
    <w:p w14:paraId="46FFEAF8" w14:textId="77777777" w:rsidR="00A17EBE" w:rsidRPr="00A17EBE" w:rsidRDefault="00A17EBE" w:rsidP="00A17EBE">
      <w:pPr>
        <w:spacing w:after="0" w:line="240" w:lineRule="auto"/>
        <w:rPr>
          <w:rFonts w:eastAsia="Calibri"/>
          <w:szCs w:val="24"/>
        </w:rPr>
      </w:pPr>
      <w:r w:rsidRPr="00A17EBE">
        <w:rPr>
          <w:rFonts w:eastAsia="Calibri"/>
          <w:szCs w:val="24"/>
        </w:rPr>
        <w:t xml:space="preserve">The following graphs demonstrated: </w:t>
      </w:r>
    </w:p>
    <w:p w14:paraId="62E5F66C" w14:textId="77777777" w:rsidR="00A17EBE" w:rsidRPr="00A17EBE" w:rsidRDefault="00A17EBE" w:rsidP="00A17EBE">
      <w:pPr>
        <w:spacing w:after="0" w:line="240" w:lineRule="auto"/>
        <w:rPr>
          <w:rFonts w:eastAsia="Calibri"/>
          <w:szCs w:val="24"/>
        </w:rPr>
      </w:pPr>
    </w:p>
    <w:p w14:paraId="2B2B6E45" w14:textId="77777777" w:rsidR="00A17EBE" w:rsidRPr="00A17EBE" w:rsidRDefault="00A17EBE" w:rsidP="00A17EBE">
      <w:pPr>
        <w:numPr>
          <w:ilvl w:val="0"/>
          <w:numId w:val="1"/>
        </w:numPr>
        <w:spacing w:after="0" w:line="240" w:lineRule="auto"/>
        <w:rPr>
          <w:rFonts w:eastAsia="Calibri"/>
          <w:szCs w:val="24"/>
        </w:rPr>
      </w:pPr>
      <w:r w:rsidRPr="00A17EBE">
        <w:rPr>
          <w:rFonts w:eastAsia="Calibri"/>
          <w:szCs w:val="24"/>
        </w:rPr>
        <w:t>the total number of fixed penalties issued by the Neighbourhood Environment Team during each month of the period of report</w:t>
      </w:r>
    </w:p>
    <w:p w14:paraId="3C320929" w14:textId="77777777" w:rsidR="00A17EBE" w:rsidRPr="00A17EBE" w:rsidRDefault="00A17EBE" w:rsidP="00A17EBE">
      <w:pPr>
        <w:numPr>
          <w:ilvl w:val="0"/>
          <w:numId w:val="1"/>
        </w:numPr>
        <w:spacing w:after="0" w:line="240" w:lineRule="auto"/>
        <w:rPr>
          <w:rFonts w:eastAsia="Calibri"/>
          <w:szCs w:val="24"/>
        </w:rPr>
      </w:pPr>
      <w:bookmarkStart w:id="6" w:name="_Hlk522085282"/>
      <w:r w:rsidRPr="00A17EBE">
        <w:rPr>
          <w:rFonts w:eastAsia="Calibri"/>
          <w:szCs w:val="24"/>
        </w:rPr>
        <w:t>the fixed penalties issued during the period of report by type</w:t>
      </w:r>
      <w:bookmarkEnd w:id="6"/>
      <w:r w:rsidRPr="00A17EBE">
        <w:rPr>
          <w:rFonts w:eastAsia="Calibri"/>
          <w:szCs w:val="24"/>
        </w:rPr>
        <w:t xml:space="preserve"> </w:t>
      </w:r>
    </w:p>
    <w:p w14:paraId="6696374B" w14:textId="77777777" w:rsidR="00A17EBE" w:rsidRPr="00A17EBE" w:rsidRDefault="00A17EBE" w:rsidP="00A17EBE">
      <w:pPr>
        <w:spacing w:after="0" w:line="240" w:lineRule="auto"/>
        <w:rPr>
          <w:rFonts w:eastAsia="Calibri"/>
          <w:szCs w:val="24"/>
        </w:rPr>
      </w:pPr>
    </w:p>
    <w:p w14:paraId="2BD42A70" w14:textId="0582F955" w:rsidR="00A17EBE" w:rsidRPr="00A17EBE" w:rsidRDefault="00A17EBE" w:rsidP="00A17EBE">
      <w:pPr>
        <w:spacing w:after="0" w:line="240" w:lineRule="auto"/>
        <w:rPr>
          <w:rFonts w:eastAsia="Calibri"/>
          <w:szCs w:val="24"/>
        </w:rPr>
      </w:pPr>
    </w:p>
    <w:p w14:paraId="056CDDA3" w14:textId="65EDA979" w:rsidR="00A17EBE" w:rsidRPr="00A17EBE" w:rsidRDefault="00A17EBE" w:rsidP="00A17EBE">
      <w:pPr>
        <w:spacing w:after="0" w:line="240" w:lineRule="auto"/>
        <w:rPr>
          <w:rFonts w:eastAsia="Calibri"/>
          <w:szCs w:val="24"/>
        </w:rPr>
      </w:pPr>
      <w:r w:rsidRPr="00A17EBE">
        <w:rPr>
          <w:rFonts w:eastAsia="Calibri"/>
          <w:iCs/>
          <w:szCs w:val="24"/>
        </w:rPr>
        <w:lastRenderedPageBreak/>
        <w:t xml:space="preserve">         </w:t>
      </w:r>
      <w:r w:rsidR="00F40974" w:rsidRPr="00A17EBE">
        <w:rPr>
          <w:rFonts w:eastAsia="Calibri"/>
          <w:noProof/>
          <w:szCs w:val="24"/>
        </w:rPr>
        <w:drawing>
          <wp:inline distT="0" distB="0" distL="0" distR="0" wp14:anchorId="698B794C" wp14:editId="26B9397E">
            <wp:extent cx="5459730" cy="2865120"/>
            <wp:effectExtent l="0" t="0" r="7620" b="11430"/>
            <wp:docPr id="20" name="Chart 20">
              <a:extLst xmlns:a="http://schemas.openxmlformats.org/drawingml/2006/main">
                <a:ext uri="{FF2B5EF4-FFF2-40B4-BE49-F238E27FC236}">
                  <a16:creationId xmlns:a16="http://schemas.microsoft.com/office/drawing/2014/main" id="{B561FD24-3B69-451B-910C-159D6D15049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r w:rsidRPr="00A17EBE">
        <w:rPr>
          <w:rFonts w:eastAsia="Calibri"/>
          <w:iCs/>
          <w:szCs w:val="24"/>
        </w:rPr>
        <w:t xml:space="preserve">                 </w:t>
      </w:r>
    </w:p>
    <w:p w14:paraId="0F496F6D" w14:textId="77777777" w:rsidR="00F40974" w:rsidRDefault="00F40974" w:rsidP="00A17EBE">
      <w:pPr>
        <w:spacing w:after="0" w:line="240" w:lineRule="auto"/>
        <w:rPr>
          <w:rFonts w:eastAsia="Calibri"/>
          <w:szCs w:val="24"/>
        </w:rPr>
      </w:pPr>
    </w:p>
    <w:p w14:paraId="3C7F6C9D" w14:textId="0F4451F6" w:rsidR="00A17EBE" w:rsidRDefault="00A17EBE" w:rsidP="00A17EBE">
      <w:pPr>
        <w:spacing w:after="0" w:line="240" w:lineRule="auto"/>
        <w:rPr>
          <w:rFonts w:eastAsia="Calibri"/>
          <w:szCs w:val="24"/>
        </w:rPr>
      </w:pPr>
      <w:r w:rsidRPr="00A17EBE">
        <w:rPr>
          <w:rFonts w:eastAsia="Calibri"/>
          <w:szCs w:val="24"/>
        </w:rPr>
        <w:t>Appendix A to this report provided a street level location for each of the penalty fines issued during the period of report 1 July to 30 September 2022.</w:t>
      </w:r>
    </w:p>
    <w:p w14:paraId="4B090808" w14:textId="77777777" w:rsidR="00F40974" w:rsidRPr="00A17EBE" w:rsidRDefault="00F40974" w:rsidP="00A17EBE">
      <w:pPr>
        <w:spacing w:after="0" w:line="240" w:lineRule="auto"/>
        <w:rPr>
          <w:rFonts w:eastAsia="Calibri"/>
          <w:b/>
          <w:bCs/>
          <w:szCs w:val="24"/>
        </w:rPr>
      </w:pPr>
    </w:p>
    <w:p w14:paraId="7F7697ED" w14:textId="77777777" w:rsidR="00A17EBE" w:rsidRPr="00A17EBE" w:rsidRDefault="00A17EBE" w:rsidP="00A17EBE">
      <w:pPr>
        <w:spacing w:after="0" w:line="240" w:lineRule="auto"/>
        <w:rPr>
          <w:rFonts w:eastAsia="Calibri"/>
          <w:b/>
          <w:bCs/>
          <w:szCs w:val="24"/>
        </w:rPr>
      </w:pPr>
      <w:r w:rsidRPr="00A17EBE">
        <w:rPr>
          <w:rFonts w:eastAsia="Calibri"/>
          <w:b/>
          <w:bCs/>
          <w:szCs w:val="24"/>
        </w:rPr>
        <w:t>Environmental Education Programme – Preliminary Actions</w:t>
      </w:r>
    </w:p>
    <w:p w14:paraId="03AF5796" w14:textId="77777777" w:rsidR="00A17EBE" w:rsidRPr="00A17EBE" w:rsidRDefault="00A17EBE" w:rsidP="00A17EBE">
      <w:pPr>
        <w:spacing w:after="0" w:line="240" w:lineRule="auto"/>
        <w:rPr>
          <w:rFonts w:eastAsia="Calibri"/>
          <w:szCs w:val="24"/>
        </w:rPr>
      </w:pPr>
      <w:r w:rsidRPr="00A17EBE">
        <w:rPr>
          <w:rFonts w:eastAsia="Calibri"/>
          <w:szCs w:val="24"/>
        </w:rPr>
        <w:t>The Neighbourhood Environment Team was continuing to prepare an Environmental Education Programme during this financial year with a view to rolling out delivery in the next financial year subject to ongoing Recycling Community Investment Fund budget availability.</w:t>
      </w:r>
    </w:p>
    <w:p w14:paraId="78BFCBF6" w14:textId="77777777" w:rsidR="00A17EBE" w:rsidRPr="00A17EBE" w:rsidRDefault="00A17EBE" w:rsidP="00A17EBE">
      <w:pPr>
        <w:spacing w:after="0" w:line="240" w:lineRule="auto"/>
        <w:rPr>
          <w:rFonts w:eastAsia="Calibri"/>
          <w:szCs w:val="24"/>
        </w:rPr>
      </w:pPr>
    </w:p>
    <w:p w14:paraId="4F48305F" w14:textId="6205D997" w:rsidR="00A17EBE" w:rsidRDefault="00A17EBE" w:rsidP="00A17EBE">
      <w:pPr>
        <w:spacing w:after="0" w:line="240" w:lineRule="auto"/>
        <w:rPr>
          <w:rFonts w:eastAsia="Calibri"/>
          <w:szCs w:val="24"/>
        </w:rPr>
      </w:pPr>
      <w:r w:rsidRPr="00A17EBE">
        <w:rPr>
          <w:rFonts w:eastAsia="Calibri"/>
          <w:szCs w:val="24"/>
        </w:rPr>
        <w:t>RECOMMENDED that the Council notes the report.</w:t>
      </w:r>
    </w:p>
    <w:p w14:paraId="15796AE5" w14:textId="19BFA06C" w:rsidR="00572326" w:rsidRDefault="00572326" w:rsidP="00A17EBE">
      <w:pPr>
        <w:spacing w:after="0" w:line="240" w:lineRule="auto"/>
        <w:rPr>
          <w:rFonts w:eastAsia="Calibri"/>
          <w:szCs w:val="24"/>
        </w:rPr>
      </w:pPr>
    </w:p>
    <w:p w14:paraId="677A0D0C" w14:textId="6C18E6B8" w:rsidR="0024511A" w:rsidRDefault="002132AE" w:rsidP="00A17EBE">
      <w:pPr>
        <w:spacing w:after="0" w:line="240" w:lineRule="auto"/>
        <w:rPr>
          <w:rFonts w:eastAsia="Calibri"/>
          <w:szCs w:val="24"/>
        </w:rPr>
      </w:pPr>
      <w:r>
        <w:rPr>
          <w:rFonts w:eastAsia="Calibri"/>
          <w:szCs w:val="24"/>
        </w:rPr>
        <w:t>Proposed by Councillor Cummings, seconded by Councillor Johnson, that the recommendation be adopted.</w:t>
      </w:r>
    </w:p>
    <w:p w14:paraId="12580DF2" w14:textId="571BB316" w:rsidR="002132AE" w:rsidRDefault="002132AE" w:rsidP="00A17EBE">
      <w:pPr>
        <w:spacing w:after="0" w:line="240" w:lineRule="auto"/>
        <w:rPr>
          <w:rFonts w:eastAsia="Calibri"/>
          <w:szCs w:val="24"/>
        </w:rPr>
      </w:pPr>
    </w:p>
    <w:p w14:paraId="5CB23958" w14:textId="1900FA05" w:rsidR="002132AE" w:rsidRDefault="00A84473" w:rsidP="00A17EBE">
      <w:pPr>
        <w:spacing w:after="0" w:line="240" w:lineRule="auto"/>
        <w:rPr>
          <w:rFonts w:eastAsia="Calibri"/>
          <w:szCs w:val="24"/>
        </w:rPr>
      </w:pPr>
      <w:r>
        <w:rPr>
          <w:rFonts w:eastAsia="Calibri"/>
          <w:szCs w:val="24"/>
        </w:rPr>
        <w:t xml:space="preserve">Noting the reported dog behavioural </w:t>
      </w:r>
      <w:r w:rsidR="0039769C">
        <w:rPr>
          <w:rFonts w:eastAsia="Calibri"/>
          <w:szCs w:val="24"/>
        </w:rPr>
        <w:t>statistics</w:t>
      </w:r>
      <w:r>
        <w:rPr>
          <w:rFonts w:eastAsia="Calibri"/>
          <w:szCs w:val="24"/>
        </w:rPr>
        <w:t xml:space="preserve">, </w:t>
      </w:r>
      <w:r w:rsidR="002132AE">
        <w:rPr>
          <w:rFonts w:eastAsia="Calibri"/>
          <w:szCs w:val="24"/>
        </w:rPr>
        <w:t>Councillor Cummings queried if there were plans to reintroduce</w:t>
      </w:r>
      <w:r>
        <w:rPr>
          <w:rFonts w:eastAsia="Calibri"/>
          <w:szCs w:val="24"/>
        </w:rPr>
        <w:t xml:space="preserve"> the Green Dog Walkers Scheme</w:t>
      </w:r>
      <w:r w:rsidR="00EF4975">
        <w:rPr>
          <w:rFonts w:eastAsia="Calibri"/>
          <w:szCs w:val="24"/>
        </w:rPr>
        <w:t xml:space="preserve"> or any other training programmes around dog behaviour. </w:t>
      </w:r>
      <w:r>
        <w:rPr>
          <w:rFonts w:eastAsia="Calibri"/>
          <w:szCs w:val="24"/>
        </w:rPr>
        <w:t>T</w:t>
      </w:r>
      <w:r w:rsidR="001C5D3F">
        <w:rPr>
          <w:rFonts w:eastAsia="Calibri"/>
          <w:szCs w:val="24"/>
        </w:rPr>
        <w:t xml:space="preserve">he Director advised that </w:t>
      </w:r>
      <w:r w:rsidR="00EF4975">
        <w:rPr>
          <w:rFonts w:eastAsia="Calibri"/>
          <w:szCs w:val="24"/>
        </w:rPr>
        <w:t xml:space="preserve">there had been discussions looking at getting those types of responsible dog owner schemes back on track through a mixture of in-house and contracting arrangements, however </w:t>
      </w:r>
      <w:r w:rsidR="001C5D3F">
        <w:rPr>
          <w:rFonts w:eastAsia="Calibri"/>
          <w:szCs w:val="24"/>
        </w:rPr>
        <w:t>such schemes were considered to be discretionary spend and</w:t>
      </w:r>
      <w:r w:rsidR="002132AE">
        <w:rPr>
          <w:rFonts w:eastAsia="Calibri"/>
          <w:szCs w:val="24"/>
        </w:rPr>
        <w:t xml:space="preserve"> </w:t>
      </w:r>
      <w:r w:rsidR="001C5D3F">
        <w:rPr>
          <w:rFonts w:eastAsia="Calibri"/>
          <w:szCs w:val="24"/>
        </w:rPr>
        <w:t xml:space="preserve">would </w:t>
      </w:r>
      <w:r w:rsidR="00EF4975">
        <w:rPr>
          <w:rFonts w:eastAsia="Calibri"/>
          <w:szCs w:val="24"/>
        </w:rPr>
        <w:t xml:space="preserve">be on a list for review in </w:t>
      </w:r>
      <w:r w:rsidR="001C5D3F">
        <w:rPr>
          <w:rFonts w:eastAsia="Calibri"/>
          <w:szCs w:val="24"/>
        </w:rPr>
        <w:t>the upcoming estimates process.</w:t>
      </w:r>
    </w:p>
    <w:p w14:paraId="1B66CBC5" w14:textId="51A413B1" w:rsidR="001C5D3F" w:rsidRDefault="001C5D3F" w:rsidP="00A17EBE">
      <w:pPr>
        <w:spacing w:after="0" w:line="240" w:lineRule="auto"/>
        <w:rPr>
          <w:rFonts w:eastAsia="Calibri"/>
          <w:szCs w:val="24"/>
        </w:rPr>
      </w:pPr>
    </w:p>
    <w:p w14:paraId="1E943FF3" w14:textId="56EF9B77" w:rsidR="001C5D3F" w:rsidRDefault="001C5D3F" w:rsidP="000C0A21">
      <w:pPr>
        <w:spacing w:after="0" w:line="240" w:lineRule="auto"/>
        <w:rPr>
          <w:rFonts w:eastAsia="Calibri"/>
          <w:szCs w:val="24"/>
        </w:rPr>
      </w:pPr>
      <w:r>
        <w:rPr>
          <w:rFonts w:eastAsia="Calibri"/>
          <w:szCs w:val="24"/>
        </w:rPr>
        <w:t xml:space="preserve">Alderman M Smith </w:t>
      </w:r>
      <w:r w:rsidR="00EF4975">
        <w:rPr>
          <w:rFonts w:eastAsia="Calibri"/>
          <w:szCs w:val="24"/>
        </w:rPr>
        <w:t xml:space="preserve">noted the low number of dog fouling reports but </w:t>
      </w:r>
      <w:r w:rsidR="00A84473">
        <w:rPr>
          <w:rFonts w:eastAsia="Calibri"/>
          <w:szCs w:val="24"/>
        </w:rPr>
        <w:t>questioned</w:t>
      </w:r>
      <w:r>
        <w:rPr>
          <w:rFonts w:eastAsia="Calibri"/>
          <w:szCs w:val="24"/>
        </w:rPr>
        <w:t xml:space="preserve"> the reporting system and explained of potential complainants being put off pursuing </w:t>
      </w:r>
      <w:r w:rsidR="00A84473">
        <w:rPr>
          <w:rFonts w:eastAsia="Calibri"/>
          <w:szCs w:val="24"/>
        </w:rPr>
        <w:t>a</w:t>
      </w:r>
      <w:r>
        <w:rPr>
          <w:rFonts w:eastAsia="Calibri"/>
          <w:szCs w:val="24"/>
        </w:rPr>
        <w:t xml:space="preserve"> complaint further when their personal details were requested as part of the process. The Director reassured the Member that such details were held in confidence</w:t>
      </w:r>
      <w:r w:rsidR="00A84473">
        <w:rPr>
          <w:rFonts w:eastAsia="Calibri"/>
          <w:szCs w:val="24"/>
        </w:rPr>
        <w:t xml:space="preserve"> and </w:t>
      </w:r>
      <w:r w:rsidR="00EF4975">
        <w:rPr>
          <w:rFonts w:eastAsia="Calibri"/>
          <w:szCs w:val="24"/>
        </w:rPr>
        <w:t xml:space="preserve">used for providing feedback </w:t>
      </w:r>
      <w:r w:rsidR="0039769C">
        <w:rPr>
          <w:rFonts w:eastAsia="Calibri"/>
          <w:szCs w:val="24"/>
        </w:rPr>
        <w:t>to the complainant</w:t>
      </w:r>
      <w:r>
        <w:rPr>
          <w:rFonts w:eastAsia="Calibri"/>
          <w:szCs w:val="24"/>
        </w:rPr>
        <w:t>.</w:t>
      </w:r>
      <w:r w:rsidR="00EF4975">
        <w:rPr>
          <w:rFonts w:eastAsia="Calibri"/>
          <w:szCs w:val="24"/>
        </w:rPr>
        <w:t xml:space="preserve"> The</w:t>
      </w:r>
      <w:r w:rsidR="0039769C">
        <w:rPr>
          <w:rFonts w:eastAsia="Calibri"/>
          <w:szCs w:val="24"/>
        </w:rPr>
        <w:t>ir personal</w:t>
      </w:r>
      <w:r w:rsidR="00EF4975">
        <w:rPr>
          <w:rFonts w:eastAsia="Calibri"/>
          <w:szCs w:val="24"/>
        </w:rPr>
        <w:t xml:space="preserve"> details </w:t>
      </w:r>
      <w:r w:rsidR="0039769C">
        <w:rPr>
          <w:rFonts w:eastAsia="Calibri"/>
          <w:szCs w:val="24"/>
        </w:rPr>
        <w:t>were not</w:t>
      </w:r>
      <w:r w:rsidR="00EF4975">
        <w:rPr>
          <w:rFonts w:eastAsia="Calibri"/>
          <w:szCs w:val="24"/>
        </w:rPr>
        <w:t xml:space="preserve"> given out unless the complainant consented and was willing to have their details used in evidence.</w:t>
      </w:r>
      <w:r w:rsidR="000C0A21">
        <w:rPr>
          <w:rFonts w:eastAsia="Calibri"/>
          <w:szCs w:val="24"/>
        </w:rPr>
        <w:t xml:space="preserve">  </w:t>
      </w:r>
      <w:r>
        <w:rPr>
          <w:rFonts w:eastAsia="Calibri"/>
          <w:szCs w:val="24"/>
        </w:rPr>
        <w:t xml:space="preserve">Alderman M Smith felt it was vital to </w:t>
      </w:r>
      <w:r w:rsidR="00EF4975">
        <w:rPr>
          <w:rFonts w:eastAsia="Calibri"/>
          <w:szCs w:val="24"/>
        </w:rPr>
        <w:t>reinforce that message</w:t>
      </w:r>
      <w:r>
        <w:rPr>
          <w:rFonts w:eastAsia="Calibri"/>
          <w:szCs w:val="24"/>
        </w:rPr>
        <w:t xml:space="preserve"> to people</w:t>
      </w:r>
      <w:r w:rsidR="00A84473">
        <w:rPr>
          <w:rFonts w:eastAsia="Calibri"/>
          <w:szCs w:val="24"/>
        </w:rPr>
        <w:t xml:space="preserve"> </w:t>
      </w:r>
      <w:r w:rsidR="0039769C">
        <w:rPr>
          <w:rFonts w:eastAsia="Calibri"/>
          <w:szCs w:val="24"/>
        </w:rPr>
        <w:t>contacting the Council to report issues.</w:t>
      </w:r>
    </w:p>
    <w:p w14:paraId="1B297684" w14:textId="77777777" w:rsidR="00153899" w:rsidRDefault="00153899" w:rsidP="00153899">
      <w:pPr>
        <w:rPr>
          <w:bCs/>
          <w:szCs w:val="24"/>
        </w:rPr>
      </w:pPr>
    </w:p>
    <w:p w14:paraId="20B453E3" w14:textId="03EC9595" w:rsidR="00153899" w:rsidRDefault="00153899" w:rsidP="00153899">
      <w:pPr>
        <w:spacing w:after="0" w:line="240" w:lineRule="auto"/>
        <w:ind w:left="0" w:firstLine="0"/>
        <w:rPr>
          <w:b/>
          <w:bCs/>
          <w:szCs w:val="24"/>
        </w:rPr>
      </w:pPr>
      <w:r w:rsidRPr="00421364">
        <w:rPr>
          <w:b/>
          <w:bCs/>
          <w:szCs w:val="24"/>
        </w:rPr>
        <w:lastRenderedPageBreak/>
        <w:t xml:space="preserve">AGREED TO RECOMMEND, on the proposal of </w:t>
      </w:r>
      <w:r w:rsidR="001C5D3F">
        <w:rPr>
          <w:b/>
          <w:bCs/>
          <w:szCs w:val="24"/>
        </w:rPr>
        <w:t>Councillor Cummings</w:t>
      </w:r>
      <w:r>
        <w:rPr>
          <w:b/>
          <w:bCs/>
          <w:szCs w:val="24"/>
        </w:rPr>
        <w:t xml:space="preserve">, </w:t>
      </w:r>
      <w:r w:rsidRPr="00421364">
        <w:rPr>
          <w:b/>
          <w:bCs/>
          <w:szCs w:val="24"/>
        </w:rPr>
        <w:t>seconded by</w:t>
      </w:r>
      <w:r>
        <w:rPr>
          <w:b/>
          <w:bCs/>
          <w:szCs w:val="24"/>
        </w:rPr>
        <w:t xml:space="preserve"> </w:t>
      </w:r>
      <w:r w:rsidR="001C5D3F">
        <w:rPr>
          <w:b/>
          <w:bCs/>
          <w:szCs w:val="24"/>
        </w:rPr>
        <w:t>Councillor Johnson</w:t>
      </w:r>
      <w:r>
        <w:rPr>
          <w:b/>
          <w:bCs/>
          <w:szCs w:val="24"/>
        </w:rPr>
        <w:t>, that t</w:t>
      </w:r>
      <w:r w:rsidRPr="00421364">
        <w:rPr>
          <w:b/>
          <w:bCs/>
          <w:szCs w:val="24"/>
        </w:rPr>
        <w:t xml:space="preserve">he </w:t>
      </w:r>
      <w:r>
        <w:rPr>
          <w:b/>
          <w:bCs/>
          <w:szCs w:val="24"/>
        </w:rPr>
        <w:t>recommendation be adopted.</w:t>
      </w:r>
    </w:p>
    <w:p w14:paraId="73FA5D8F" w14:textId="77777777" w:rsidR="00153899" w:rsidRDefault="00153899" w:rsidP="006E215D">
      <w:pPr>
        <w:spacing w:after="0" w:line="240" w:lineRule="auto"/>
        <w:rPr>
          <w:rFonts w:eastAsia="Calibri"/>
          <w:szCs w:val="24"/>
        </w:rPr>
      </w:pPr>
    </w:p>
    <w:p w14:paraId="05F2498E" w14:textId="77777777" w:rsidR="00B2071A" w:rsidRDefault="00153899" w:rsidP="00153899">
      <w:pPr>
        <w:pStyle w:val="Heading1"/>
        <w:ind w:left="720" w:hanging="720"/>
      </w:pPr>
      <w:r w:rsidRPr="00F40974">
        <w:rPr>
          <w:u w:val="none"/>
        </w:rPr>
        <w:t>6.</w:t>
      </w:r>
      <w:r w:rsidRPr="00F40974">
        <w:rPr>
          <w:u w:val="none"/>
        </w:rPr>
        <w:tab/>
      </w:r>
      <w:r w:rsidR="00B2071A">
        <w:t>notices of motion</w:t>
      </w:r>
    </w:p>
    <w:p w14:paraId="015FBECA" w14:textId="77777777" w:rsidR="00B2071A" w:rsidRDefault="00B2071A" w:rsidP="00C264D3"/>
    <w:p w14:paraId="0FBFE5FC" w14:textId="64237ABA" w:rsidR="00B2071A" w:rsidRPr="00B2071A" w:rsidRDefault="00B2071A" w:rsidP="00C264D3">
      <w:pPr>
        <w:pStyle w:val="Heading2"/>
        <w:rPr>
          <w:rFonts w:eastAsia="Times New Roman"/>
          <w:lang w:eastAsia="en-US"/>
        </w:rPr>
      </w:pPr>
      <w:r w:rsidRPr="00C264D3">
        <w:rPr>
          <w:u w:val="none"/>
        </w:rPr>
        <w:t>6.1</w:t>
      </w:r>
      <w:r w:rsidRPr="00C264D3">
        <w:rPr>
          <w:u w:val="none"/>
        </w:rPr>
        <w:tab/>
      </w:r>
      <w:r w:rsidRPr="00B2071A">
        <w:rPr>
          <w:rFonts w:eastAsia="Times New Roman"/>
          <w:lang w:eastAsia="en-US"/>
        </w:rPr>
        <w:t xml:space="preserve">Notice of Motion submitted by Councillor Adair and Councillor Edmund </w:t>
      </w:r>
    </w:p>
    <w:p w14:paraId="4FE6A9BF" w14:textId="77777777" w:rsidR="00B2071A" w:rsidRPr="00B2071A" w:rsidRDefault="00B2071A" w:rsidP="00B2071A">
      <w:pPr>
        <w:spacing w:after="0" w:line="240" w:lineRule="auto"/>
        <w:ind w:left="0" w:right="0" w:firstLine="0"/>
        <w:rPr>
          <w:rFonts w:eastAsia="Times New Roman"/>
          <w:color w:val="auto"/>
          <w:szCs w:val="24"/>
          <w:lang w:eastAsia="en-US"/>
        </w:rPr>
      </w:pPr>
    </w:p>
    <w:p w14:paraId="534E82AC" w14:textId="5680D307" w:rsidR="00153899" w:rsidRDefault="00B2071A" w:rsidP="0047793F">
      <w:pPr>
        <w:spacing w:after="0" w:line="240" w:lineRule="auto"/>
        <w:ind w:left="720" w:right="0" w:firstLine="0"/>
        <w:contextualSpacing/>
        <w:rPr>
          <w:u w:val="single"/>
        </w:rPr>
      </w:pPr>
      <w:r w:rsidRPr="00B2071A">
        <w:rPr>
          <w:rFonts w:eastAsia="Times New Roman"/>
          <w:color w:val="auto"/>
          <w:szCs w:val="24"/>
          <w:lang w:eastAsia="en-US"/>
        </w:rPr>
        <w:t xml:space="preserve">That this Council agrees to install signage to identify the townlands of Ballyblack and Kirkistown and that officers are tasked to bring forward proposals to incorporate townland signage across our Borough.   </w:t>
      </w:r>
    </w:p>
    <w:p w14:paraId="139E8FE0" w14:textId="3F60CC8D" w:rsidR="00153899" w:rsidRDefault="00153899" w:rsidP="00153899">
      <w:pPr>
        <w:rPr>
          <w:szCs w:val="24"/>
        </w:rPr>
      </w:pPr>
    </w:p>
    <w:p w14:paraId="7F94090C" w14:textId="55EE5452" w:rsidR="00E65AF2" w:rsidRPr="00A84473" w:rsidRDefault="0024511A" w:rsidP="00153899">
      <w:pPr>
        <w:rPr>
          <w:szCs w:val="24"/>
        </w:rPr>
      </w:pPr>
      <w:r w:rsidRPr="00A84473">
        <w:rPr>
          <w:szCs w:val="24"/>
        </w:rPr>
        <w:t xml:space="preserve">(Councillor Adair joined the meeting </w:t>
      </w:r>
      <w:r w:rsidR="00A84473" w:rsidRPr="00A84473">
        <w:rPr>
          <w:szCs w:val="24"/>
        </w:rPr>
        <w:t>–</w:t>
      </w:r>
      <w:r w:rsidRPr="00A84473">
        <w:rPr>
          <w:szCs w:val="24"/>
        </w:rPr>
        <w:t xml:space="preserve"> </w:t>
      </w:r>
      <w:r w:rsidR="00A84473" w:rsidRPr="00A84473">
        <w:rPr>
          <w:szCs w:val="24"/>
        </w:rPr>
        <w:t>7.30pm)</w:t>
      </w:r>
    </w:p>
    <w:p w14:paraId="01DD6F98" w14:textId="77777777" w:rsidR="00153899" w:rsidRDefault="00153899" w:rsidP="00153899">
      <w:pPr>
        <w:rPr>
          <w:bCs/>
          <w:szCs w:val="24"/>
        </w:rPr>
      </w:pPr>
    </w:p>
    <w:p w14:paraId="55C3F33A" w14:textId="207E15B6" w:rsidR="00153899" w:rsidRPr="0039769C" w:rsidRDefault="00EF4975" w:rsidP="006E215D">
      <w:pPr>
        <w:spacing w:after="0" w:line="240" w:lineRule="auto"/>
        <w:rPr>
          <w:szCs w:val="24"/>
        </w:rPr>
      </w:pPr>
      <w:r w:rsidRPr="0039769C">
        <w:rPr>
          <w:szCs w:val="24"/>
        </w:rPr>
        <w:t>Councillor Adair proposed, seconded by Councillor Edmund, that the Notice of Motion be adopted.</w:t>
      </w:r>
    </w:p>
    <w:p w14:paraId="20139F2A" w14:textId="2BCDE301" w:rsidR="00EF4975" w:rsidRDefault="00EF4975" w:rsidP="006E215D">
      <w:pPr>
        <w:spacing w:after="0" w:line="240" w:lineRule="auto"/>
        <w:rPr>
          <w:b/>
          <w:bCs/>
          <w:szCs w:val="24"/>
        </w:rPr>
      </w:pPr>
    </w:p>
    <w:p w14:paraId="148A618D" w14:textId="44FCA8EE" w:rsidR="00EF4975" w:rsidRPr="0039769C" w:rsidRDefault="00EF4975" w:rsidP="006E215D">
      <w:pPr>
        <w:spacing w:after="0" w:line="240" w:lineRule="auto"/>
        <w:rPr>
          <w:szCs w:val="24"/>
        </w:rPr>
      </w:pPr>
      <w:r w:rsidRPr="0039769C">
        <w:rPr>
          <w:szCs w:val="24"/>
        </w:rPr>
        <w:t xml:space="preserve">Councillor Adair outlined his proposed Notice of Motion, explaining that </w:t>
      </w:r>
      <w:r w:rsidR="002051C4" w:rsidRPr="0039769C">
        <w:rPr>
          <w:szCs w:val="24"/>
        </w:rPr>
        <w:t>the issue of townlands had originated from former</w:t>
      </w:r>
      <w:r w:rsidR="0039769C">
        <w:rPr>
          <w:szCs w:val="24"/>
        </w:rPr>
        <w:t xml:space="preserve"> Ards</w:t>
      </w:r>
      <w:r w:rsidR="002051C4" w:rsidRPr="0039769C">
        <w:rPr>
          <w:szCs w:val="24"/>
        </w:rPr>
        <w:t xml:space="preserve"> MLA and Councillor Kieran McCarthy who had raised this in the 1990s. As a result of that work there were now townland signs erected at </w:t>
      </w:r>
      <w:r w:rsidR="0039769C">
        <w:rPr>
          <w:szCs w:val="24"/>
        </w:rPr>
        <w:t xml:space="preserve">a series of </w:t>
      </w:r>
      <w:r w:rsidR="002051C4" w:rsidRPr="0039769C">
        <w:rPr>
          <w:szCs w:val="24"/>
        </w:rPr>
        <w:t xml:space="preserve">locations throughout the Ards Peninsula. They were part of </w:t>
      </w:r>
      <w:r w:rsidR="0039769C">
        <w:rPr>
          <w:szCs w:val="24"/>
        </w:rPr>
        <w:t>the Borough’s</w:t>
      </w:r>
      <w:r w:rsidR="002051C4" w:rsidRPr="0039769C">
        <w:rPr>
          <w:szCs w:val="24"/>
        </w:rPr>
        <w:t xml:space="preserve"> Christian heritage and common across the </w:t>
      </w:r>
      <w:r w:rsidR="00510E7E" w:rsidRPr="0039769C">
        <w:rPr>
          <w:szCs w:val="24"/>
        </w:rPr>
        <w:t xml:space="preserve">island of Ireland and western Isles of Scotland. Many </w:t>
      </w:r>
      <w:r w:rsidR="0039769C">
        <w:rPr>
          <w:szCs w:val="24"/>
        </w:rPr>
        <w:t>townlands</w:t>
      </w:r>
      <w:r w:rsidR="00510E7E" w:rsidRPr="0039769C">
        <w:rPr>
          <w:szCs w:val="24"/>
        </w:rPr>
        <w:t xml:space="preserve"> </w:t>
      </w:r>
      <w:r w:rsidR="0039769C" w:rsidRPr="0039769C">
        <w:rPr>
          <w:szCs w:val="24"/>
        </w:rPr>
        <w:t>originated</w:t>
      </w:r>
      <w:r w:rsidR="00510E7E" w:rsidRPr="0039769C">
        <w:rPr>
          <w:szCs w:val="24"/>
        </w:rPr>
        <w:t xml:space="preserve"> from Norman </w:t>
      </w:r>
      <w:r w:rsidR="000E7C08">
        <w:rPr>
          <w:szCs w:val="24"/>
        </w:rPr>
        <w:t>t</w:t>
      </w:r>
      <w:r w:rsidR="00510E7E" w:rsidRPr="0039769C">
        <w:rPr>
          <w:szCs w:val="24"/>
        </w:rPr>
        <w:t xml:space="preserve">imes and it was right and proper to keep </w:t>
      </w:r>
      <w:r w:rsidR="000E7C08">
        <w:rPr>
          <w:szCs w:val="24"/>
        </w:rPr>
        <w:t>their</w:t>
      </w:r>
      <w:r w:rsidR="00510E7E" w:rsidRPr="0039769C">
        <w:rPr>
          <w:szCs w:val="24"/>
        </w:rPr>
        <w:t xml:space="preserve"> history alive.</w:t>
      </w:r>
    </w:p>
    <w:p w14:paraId="01B35831" w14:textId="6F64237D" w:rsidR="008E00F8" w:rsidRPr="0039769C" w:rsidRDefault="008E00F8" w:rsidP="006E215D">
      <w:pPr>
        <w:spacing w:after="0" w:line="240" w:lineRule="auto"/>
        <w:rPr>
          <w:szCs w:val="24"/>
        </w:rPr>
      </w:pPr>
    </w:p>
    <w:p w14:paraId="6FB25E3B" w14:textId="7A59AEE6" w:rsidR="00DF6C06" w:rsidRPr="0039769C" w:rsidRDefault="0039769C" w:rsidP="006E215D">
      <w:pPr>
        <w:spacing w:after="0" w:line="240" w:lineRule="auto"/>
        <w:rPr>
          <w:szCs w:val="24"/>
        </w:rPr>
      </w:pPr>
      <w:r>
        <w:rPr>
          <w:szCs w:val="24"/>
        </w:rPr>
        <w:t>The proposer added that t</w:t>
      </w:r>
      <w:r w:rsidR="00DF6C06" w:rsidRPr="0039769C">
        <w:rPr>
          <w:szCs w:val="24"/>
        </w:rPr>
        <w:t>here had been two requests, from the people of Kirkistown</w:t>
      </w:r>
      <w:r w:rsidR="000E7C08">
        <w:rPr>
          <w:szCs w:val="24"/>
        </w:rPr>
        <w:t>, given the marking of its recent 400</w:t>
      </w:r>
      <w:r w:rsidR="000E7C08" w:rsidRPr="000E7C08">
        <w:rPr>
          <w:szCs w:val="24"/>
          <w:vertAlign w:val="superscript"/>
        </w:rPr>
        <w:t>th</w:t>
      </w:r>
      <w:r w:rsidR="000E7C08">
        <w:rPr>
          <w:szCs w:val="24"/>
        </w:rPr>
        <w:t xml:space="preserve"> anniversary,</w:t>
      </w:r>
      <w:r w:rsidR="00DF6C06" w:rsidRPr="0039769C">
        <w:rPr>
          <w:szCs w:val="24"/>
        </w:rPr>
        <w:t xml:space="preserve"> and Ballyblack. There had been calls from the residents of each for the townlands to be identified through signage.</w:t>
      </w:r>
    </w:p>
    <w:p w14:paraId="1D906C09" w14:textId="488D44EC" w:rsidR="00DF6C06" w:rsidRPr="0039769C" w:rsidRDefault="00DF6C06" w:rsidP="006E215D">
      <w:pPr>
        <w:spacing w:after="0" w:line="240" w:lineRule="auto"/>
        <w:rPr>
          <w:szCs w:val="24"/>
        </w:rPr>
      </w:pPr>
    </w:p>
    <w:p w14:paraId="6E99FFA7" w14:textId="0FF18ED4" w:rsidR="00DF6C06" w:rsidRPr="0039769C" w:rsidRDefault="000E7C08" w:rsidP="006E215D">
      <w:pPr>
        <w:spacing w:after="0" w:line="240" w:lineRule="auto"/>
        <w:rPr>
          <w:szCs w:val="24"/>
        </w:rPr>
      </w:pPr>
      <w:r>
        <w:rPr>
          <w:szCs w:val="24"/>
        </w:rPr>
        <w:t>Councillor Adair</w:t>
      </w:r>
      <w:r w:rsidR="00DF6C06" w:rsidRPr="0039769C">
        <w:rPr>
          <w:szCs w:val="24"/>
        </w:rPr>
        <w:t xml:space="preserve"> hoped that Council would agree to this</w:t>
      </w:r>
      <w:r>
        <w:rPr>
          <w:szCs w:val="24"/>
        </w:rPr>
        <w:t xml:space="preserve"> motion</w:t>
      </w:r>
      <w:r w:rsidR="00DF6C06" w:rsidRPr="0039769C">
        <w:rPr>
          <w:szCs w:val="24"/>
        </w:rPr>
        <w:t xml:space="preserve"> and</w:t>
      </w:r>
      <w:r>
        <w:rPr>
          <w:szCs w:val="24"/>
        </w:rPr>
        <w:t xml:space="preserve"> he added that </w:t>
      </w:r>
      <w:r w:rsidR="00DF6C06" w:rsidRPr="0039769C">
        <w:rPr>
          <w:szCs w:val="24"/>
        </w:rPr>
        <w:t xml:space="preserve">it included a </w:t>
      </w:r>
      <w:r>
        <w:rPr>
          <w:szCs w:val="24"/>
        </w:rPr>
        <w:t xml:space="preserve">request for a </w:t>
      </w:r>
      <w:r w:rsidR="00DF6C06" w:rsidRPr="0039769C">
        <w:rPr>
          <w:szCs w:val="24"/>
        </w:rPr>
        <w:t>policy to incorporate townland signs</w:t>
      </w:r>
      <w:r>
        <w:rPr>
          <w:szCs w:val="24"/>
        </w:rPr>
        <w:t xml:space="preserve"> throughout the Borough</w:t>
      </w:r>
      <w:r w:rsidR="00DF6C06" w:rsidRPr="0039769C">
        <w:rPr>
          <w:szCs w:val="24"/>
        </w:rPr>
        <w:t xml:space="preserve"> going forward. It was something that could be done to ensure the old townland names continued to live on</w:t>
      </w:r>
      <w:r>
        <w:rPr>
          <w:szCs w:val="24"/>
        </w:rPr>
        <w:t xml:space="preserve">. </w:t>
      </w:r>
      <w:r w:rsidR="00DF6C06" w:rsidRPr="0039769C">
        <w:rPr>
          <w:szCs w:val="24"/>
        </w:rPr>
        <w:t>He felt that it was something that could be done</w:t>
      </w:r>
      <w:r>
        <w:rPr>
          <w:szCs w:val="24"/>
        </w:rPr>
        <w:t>, perhaps as a phased approach, as and</w:t>
      </w:r>
      <w:r w:rsidR="00DF6C06" w:rsidRPr="0039769C">
        <w:rPr>
          <w:szCs w:val="24"/>
        </w:rPr>
        <w:t xml:space="preserve"> when </w:t>
      </w:r>
      <w:r>
        <w:rPr>
          <w:szCs w:val="24"/>
        </w:rPr>
        <w:t>existing signs</w:t>
      </w:r>
      <w:r w:rsidR="00DF6C06" w:rsidRPr="0039769C">
        <w:rPr>
          <w:szCs w:val="24"/>
        </w:rPr>
        <w:t xml:space="preserve"> needed to be replaced.</w:t>
      </w:r>
    </w:p>
    <w:p w14:paraId="1A2F0595" w14:textId="18F5D589" w:rsidR="00DF6C06" w:rsidRPr="0039769C" w:rsidRDefault="00DF6C06" w:rsidP="006E215D">
      <w:pPr>
        <w:spacing w:after="0" w:line="240" w:lineRule="auto"/>
        <w:rPr>
          <w:szCs w:val="24"/>
        </w:rPr>
      </w:pPr>
    </w:p>
    <w:p w14:paraId="2A0DA949" w14:textId="6E207D30" w:rsidR="00DF6C06" w:rsidRDefault="000E7C08" w:rsidP="006E215D">
      <w:pPr>
        <w:spacing w:after="0" w:line="240" w:lineRule="auto"/>
        <w:rPr>
          <w:szCs w:val="24"/>
        </w:rPr>
      </w:pPr>
      <w:r>
        <w:rPr>
          <w:szCs w:val="24"/>
        </w:rPr>
        <w:t xml:space="preserve">Speaking as seconder, </w:t>
      </w:r>
      <w:r w:rsidR="00DF6C06" w:rsidRPr="0039769C">
        <w:rPr>
          <w:szCs w:val="24"/>
        </w:rPr>
        <w:t>Councillor Edmund supported the proposal and added that people from the townlands took a pride in their heritage.</w:t>
      </w:r>
    </w:p>
    <w:p w14:paraId="6F6F9C36" w14:textId="27C8B489" w:rsidR="000E7C08" w:rsidRDefault="000E7C08" w:rsidP="006E215D">
      <w:pPr>
        <w:spacing w:after="0" w:line="240" w:lineRule="auto"/>
        <w:rPr>
          <w:szCs w:val="24"/>
        </w:rPr>
      </w:pPr>
    </w:p>
    <w:p w14:paraId="36E3E127" w14:textId="15C9CD28" w:rsidR="000E7C08" w:rsidRDefault="000E7C08" w:rsidP="006E215D">
      <w:pPr>
        <w:spacing w:after="0" w:line="240" w:lineRule="auto"/>
        <w:rPr>
          <w:szCs w:val="24"/>
        </w:rPr>
      </w:pPr>
      <w:r>
        <w:rPr>
          <w:szCs w:val="24"/>
        </w:rPr>
        <w:t xml:space="preserve">A debate followed in which </w:t>
      </w:r>
      <w:r w:rsidR="00DF6C06" w:rsidRPr="0039769C">
        <w:rPr>
          <w:szCs w:val="24"/>
        </w:rPr>
        <w:t xml:space="preserve">Councillor MacArthur was happy to support the motion </w:t>
      </w:r>
      <w:r>
        <w:rPr>
          <w:szCs w:val="24"/>
        </w:rPr>
        <w:t>and was aware that many other Councils across Northern Ireland</w:t>
      </w:r>
      <w:r w:rsidR="00DF6C06" w:rsidRPr="0039769C">
        <w:rPr>
          <w:szCs w:val="24"/>
        </w:rPr>
        <w:t xml:space="preserve"> had already adopted the approach towards dual signage.</w:t>
      </w:r>
      <w:r>
        <w:rPr>
          <w:szCs w:val="24"/>
        </w:rPr>
        <w:t xml:space="preserve"> She agreed a phased approach to replacing existing signage would be sensible and it was also worth noting, on a side issue, that signage in some of </w:t>
      </w:r>
      <w:r w:rsidR="003B05DA">
        <w:rPr>
          <w:szCs w:val="24"/>
        </w:rPr>
        <w:t>Donaghadee’s</w:t>
      </w:r>
      <w:r>
        <w:rPr>
          <w:szCs w:val="24"/>
        </w:rPr>
        <w:t xml:space="preserve"> old streets was in need of replacement.</w:t>
      </w:r>
    </w:p>
    <w:p w14:paraId="6B18DF3C" w14:textId="77777777" w:rsidR="000E7C08" w:rsidRDefault="000E7C08" w:rsidP="006E215D">
      <w:pPr>
        <w:spacing w:after="0" w:line="240" w:lineRule="auto"/>
        <w:rPr>
          <w:szCs w:val="24"/>
        </w:rPr>
      </w:pPr>
    </w:p>
    <w:p w14:paraId="7E3EC6C8" w14:textId="01C499DD" w:rsidR="00DF6C06" w:rsidRDefault="000E7C08" w:rsidP="006E215D">
      <w:pPr>
        <w:spacing w:after="0" w:line="240" w:lineRule="auto"/>
        <w:rPr>
          <w:szCs w:val="24"/>
        </w:rPr>
      </w:pPr>
      <w:r>
        <w:rPr>
          <w:szCs w:val="24"/>
        </w:rPr>
        <w:t xml:space="preserve">Councillor Cummings was also supportive of the motion and felt that the link with Kirkistown was important and would give Council an opportunity to show its appreciation of the history throughout the Borough. The naming of townlands was </w:t>
      </w:r>
      <w:r>
        <w:rPr>
          <w:szCs w:val="24"/>
        </w:rPr>
        <w:lastRenderedPageBreak/>
        <w:t>also about telling a story and recognising people’s appreciation for language that had been used over the years.</w:t>
      </w:r>
    </w:p>
    <w:p w14:paraId="6E4F6077" w14:textId="7634A360" w:rsidR="000E7C08" w:rsidRDefault="000E7C08" w:rsidP="006E215D">
      <w:pPr>
        <w:spacing w:after="0" w:line="240" w:lineRule="auto"/>
        <w:rPr>
          <w:szCs w:val="24"/>
        </w:rPr>
      </w:pPr>
    </w:p>
    <w:p w14:paraId="5C6C8B3D" w14:textId="163A3D4E" w:rsidR="000E7C08" w:rsidRDefault="000E7C08" w:rsidP="006E215D">
      <w:pPr>
        <w:spacing w:after="0" w:line="240" w:lineRule="auto"/>
        <w:rPr>
          <w:szCs w:val="24"/>
        </w:rPr>
      </w:pPr>
      <w:r>
        <w:rPr>
          <w:szCs w:val="24"/>
        </w:rPr>
        <w:t>While sympathetic to the principal of the motion, Councillors Smart, Boyle and McAlpine were cautious about agreeing to something without seeing the costs first and indicated they could not support the motion as it stood but would welcome an amendment that would request</w:t>
      </w:r>
      <w:r w:rsidR="003B05DA">
        <w:rPr>
          <w:szCs w:val="24"/>
        </w:rPr>
        <w:t xml:space="preserve"> to bring forward cost proposals.</w:t>
      </w:r>
    </w:p>
    <w:p w14:paraId="534E9E32" w14:textId="21512AB5" w:rsidR="003B05DA" w:rsidRDefault="003B05DA" w:rsidP="006E215D">
      <w:pPr>
        <w:spacing w:after="0" w:line="240" w:lineRule="auto"/>
        <w:rPr>
          <w:szCs w:val="24"/>
        </w:rPr>
      </w:pPr>
    </w:p>
    <w:p w14:paraId="41E0221E" w14:textId="472C7A5A" w:rsidR="003B05DA" w:rsidRDefault="003B05DA" w:rsidP="003B05DA">
      <w:pPr>
        <w:spacing w:after="0" w:line="240" w:lineRule="auto"/>
        <w:ind w:left="0" w:firstLine="0"/>
        <w:rPr>
          <w:szCs w:val="24"/>
        </w:rPr>
      </w:pPr>
      <w:r>
        <w:rPr>
          <w:szCs w:val="24"/>
        </w:rPr>
        <w:t xml:space="preserve">Summing up, Councillor Adair pointed out that </w:t>
      </w:r>
      <w:r w:rsidR="00BA6B13">
        <w:rPr>
          <w:szCs w:val="24"/>
        </w:rPr>
        <w:t>the motion included</w:t>
      </w:r>
      <w:r>
        <w:rPr>
          <w:szCs w:val="24"/>
        </w:rPr>
        <w:t xml:space="preserve"> a request for a report to look at establishing a policy for marking of townlands going forward and his motion was only asking for a commitment to Kirkistown and Ballyblack in response to long term calls from residents. He attempted to reassure members that a townland sign would not incur significant costs as there was no planning permission required and the signs were smaller than the village signs for example that incurred a £1300 cost. The townland sign was similar to a regular street sign. </w:t>
      </w:r>
    </w:p>
    <w:p w14:paraId="6367DA92" w14:textId="223908FA" w:rsidR="003B05DA" w:rsidRDefault="003B05DA" w:rsidP="003B05DA">
      <w:pPr>
        <w:spacing w:after="0" w:line="240" w:lineRule="auto"/>
        <w:ind w:left="0" w:firstLine="0"/>
        <w:rPr>
          <w:szCs w:val="24"/>
        </w:rPr>
      </w:pPr>
    </w:p>
    <w:p w14:paraId="31E1ED33" w14:textId="4355980A" w:rsidR="003B05DA" w:rsidRPr="003B05DA" w:rsidRDefault="003B05DA" w:rsidP="003B05DA">
      <w:pPr>
        <w:spacing w:after="0" w:line="240" w:lineRule="auto"/>
        <w:ind w:left="0" w:firstLine="0"/>
        <w:rPr>
          <w:szCs w:val="24"/>
        </w:rPr>
      </w:pPr>
      <w:r>
        <w:rPr>
          <w:szCs w:val="24"/>
        </w:rPr>
        <w:t>On being put to the meeting with 6 FOR, 7 AGAINST, 1 ABSTAINING and 2 ABSENT, the motion FELL</w:t>
      </w:r>
    </w:p>
    <w:p w14:paraId="6B8705C7" w14:textId="77777777" w:rsidR="00153899" w:rsidRDefault="00153899" w:rsidP="006E215D">
      <w:pPr>
        <w:spacing w:after="0" w:line="240" w:lineRule="auto"/>
        <w:rPr>
          <w:rFonts w:eastAsia="Calibri"/>
          <w:szCs w:val="24"/>
        </w:rPr>
      </w:pPr>
    </w:p>
    <w:p w14:paraId="5C39A7C6" w14:textId="555C57D4" w:rsidR="0006329D" w:rsidRDefault="00B2071A" w:rsidP="00C264D3">
      <w:pPr>
        <w:pStyle w:val="Heading1"/>
      </w:pPr>
      <w:r w:rsidRPr="00C264D3">
        <w:rPr>
          <w:u w:val="none"/>
        </w:rPr>
        <w:t>7</w:t>
      </w:r>
      <w:r w:rsidR="0006329D" w:rsidRPr="00C264D3">
        <w:rPr>
          <w:u w:val="none"/>
        </w:rPr>
        <w:t>.</w:t>
      </w:r>
      <w:r w:rsidR="0006329D" w:rsidRPr="00C264D3">
        <w:rPr>
          <w:u w:val="none"/>
        </w:rPr>
        <w:tab/>
      </w:r>
      <w:r w:rsidR="0083131C">
        <w:t>ANY OTHER NOTIFIED BUSINESS</w:t>
      </w:r>
    </w:p>
    <w:p w14:paraId="332C53D5" w14:textId="77777777" w:rsidR="00C264D3" w:rsidRDefault="00C264D3" w:rsidP="00C264D3">
      <w:pPr>
        <w:pStyle w:val="Heading2"/>
        <w:rPr>
          <w:rFonts w:eastAsia="Times New Roman"/>
        </w:rPr>
      </w:pPr>
    </w:p>
    <w:p w14:paraId="53BC303A" w14:textId="41DAB82E" w:rsidR="00A17EBE" w:rsidRDefault="00A17EBE" w:rsidP="00C264D3">
      <w:pPr>
        <w:pStyle w:val="Heading2"/>
        <w:numPr>
          <w:ilvl w:val="0"/>
          <w:numId w:val="19"/>
        </w:numPr>
        <w:ind w:hanging="720"/>
        <w:rPr>
          <w:rFonts w:eastAsia="Times New Roman"/>
        </w:rPr>
      </w:pPr>
      <w:r>
        <w:rPr>
          <w:rFonts w:eastAsia="Times New Roman"/>
        </w:rPr>
        <w:t>An update on the Recycling Community Investment Fund for this, and next, financial yea.</w:t>
      </w:r>
    </w:p>
    <w:p w14:paraId="25F2517A" w14:textId="77777777" w:rsidR="00C264D3" w:rsidRPr="00C264D3" w:rsidRDefault="00C264D3" w:rsidP="00C264D3"/>
    <w:p w14:paraId="768DB7DE" w14:textId="2A9C4288" w:rsidR="003D29BB" w:rsidRDefault="003D29BB" w:rsidP="003D29BB">
      <w:pPr>
        <w:rPr>
          <w:szCs w:val="24"/>
        </w:rPr>
      </w:pPr>
      <w:r>
        <w:rPr>
          <w:szCs w:val="24"/>
        </w:rPr>
        <w:t>Raising the above matter, Councillor Woods was mindful of the ongoing budgetary process but asked what budgets had been allocate</w:t>
      </w:r>
      <w:r w:rsidR="00BA6B13">
        <w:rPr>
          <w:szCs w:val="24"/>
        </w:rPr>
        <w:t>d</w:t>
      </w:r>
      <w:r>
        <w:rPr>
          <w:szCs w:val="24"/>
        </w:rPr>
        <w:t xml:space="preserve"> in the current year and ringfenced for the upcoming financial year.</w:t>
      </w:r>
    </w:p>
    <w:p w14:paraId="7F796A73" w14:textId="6FF5BD61" w:rsidR="003D29BB" w:rsidRDefault="003D29BB" w:rsidP="003D29BB">
      <w:pPr>
        <w:rPr>
          <w:szCs w:val="24"/>
        </w:rPr>
      </w:pPr>
    </w:p>
    <w:p w14:paraId="416F18F7" w14:textId="07D3F5F5" w:rsidR="003D29BB" w:rsidRDefault="003D29BB" w:rsidP="003D29BB">
      <w:pPr>
        <w:rPr>
          <w:szCs w:val="24"/>
        </w:rPr>
      </w:pPr>
      <w:r>
        <w:rPr>
          <w:szCs w:val="24"/>
        </w:rPr>
        <w:t xml:space="preserve">The Director advised </w:t>
      </w:r>
      <w:r w:rsidR="00BA6B13">
        <w:rPr>
          <w:szCs w:val="24"/>
        </w:rPr>
        <w:t>that</w:t>
      </w:r>
      <w:r>
        <w:rPr>
          <w:szCs w:val="24"/>
        </w:rPr>
        <w:t xml:space="preserve"> £100,000 </w:t>
      </w:r>
      <w:r w:rsidR="00BA6B13">
        <w:rPr>
          <w:szCs w:val="24"/>
        </w:rPr>
        <w:t xml:space="preserve">was allocated in the current year for RCIF and £75000 of that was dispersed through Keep Northern Ireland Beautiful (KNIB) </w:t>
      </w:r>
      <w:r w:rsidR="000C0A21">
        <w:rPr>
          <w:szCs w:val="24"/>
        </w:rPr>
        <w:t xml:space="preserve">to the regional </w:t>
      </w:r>
      <w:r w:rsidR="00BA6B13">
        <w:rPr>
          <w:szCs w:val="24"/>
        </w:rPr>
        <w:t>Live Here Love Here</w:t>
      </w:r>
      <w:r w:rsidR="000C0A21">
        <w:rPr>
          <w:szCs w:val="24"/>
        </w:rPr>
        <w:t xml:space="preserve"> (LHLH)</w:t>
      </w:r>
      <w:r w:rsidR="00BA6B13">
        <w:rPr>
          <w:szCs w:val="24"/>
        </w:rPr>
        <w:t xml:space="preserve"> </w:t>
      </w:r>
      <w:r w:rsidR="000C0A21">
        <w:rPr>
          <w:szCs w:val="24"/>
        </w:rPr>
        <w:t xml:space="preserve">programme and the local LHLH small </w:t>
      </w:r>
      <w:r w:rsidR="00BA6B13">
        <w:rPr>
          <w:szCs w:val="24"/>
        </w:rPr>
        <w:t xml:space="preserve">grants </w:t>
      </w:r>
      <w:r w:rsidR="000C0A21">
        <w:rPr>
          <w:szCs w:val="24"/>
        </w:rPr>
        <w:t>scheme</w:t>
      </w:r>
      <w:r w:rsidR="00BA6B13">
        <w:rPr>
          <w:szCs w:val="24"/>
        </w:rPr>
        <w:t xml:space="preserve"> which a number of groups had availed of to </w:t>
      </w:r>
      <w:r w:rsidR="000C0A21">
        <w:rPr>
          <w:szCs w:val="24"/>
        </w:rPr>
        <w:t>fund</w:t>
      </w:r>
      <w:r w:rsidR="00BA6B13">
        <w:rPr>
          <w:szCs w:val="24"/>
        </w:rPr>
        <w:t xml:space="preserve"> </w:t>
      </w:r>
      <w:r w:rsidR="000C0A21">
        <w:rPr>
          <w:szCs w:val="24"/>
        </w:rPr>
        <w:t>community environmental initiatives</w:t>
      </w:r>
      <w:r w:rsidR="00BA6B13">
        <w:rPr>
          <w:szCs w:val="24"/>
        </w:rPr>
        <w:t xml:space="preserve">. The remaining 25,000 was </w:t>
      </w:r>
      <w:r w:rsidR="000C0A21">
        <w:rPr>
          <w:szCs w:val="24"/>
        </w:rPr>
        <w:t xml:space="preserve">currently earmarked </w:t>
      </w:r>
      <w:r w:rsidR="00BA6B13">
        <w:rPr>
          <w:szCs w:val="24"/>
        </w:rPr>
        <w:t xml:space="preserve">for educational programmes with schools and that had gone offline due to reasons referred to earlier in the meeting. A programme was </w:t>
      </w:r>
      <w:r w:rsidR="000C0A21">
        <w:rPr>
          <w:szCs w:val="24"/>
        </w:rPr>
        <w:t>being prepared</w:t>
      </w:r>
      <w:r w:rsidR="00BA6B13">
        <w:rPr>
          <w:szCs w:val="24"/>
        </w:rPr>
        <w:t xml:space="preserve"> to run though at the earliest </w:t>
      </w:r>
      <w:r w:rsidR="009338F1">
        <w:rPr>
          <w:szCs w:val="24"/>
        </w:rPr>
        <w:t>opportunity</w:t>
      </w:r>
      <w:r w:rsidR="00BA6B13">
        <w:rPr>
          <w:szCs w:val="24"/>
        </w:rPr>
        <w:t xml:space="preserve">. He </w:t>
      </w:r>
      <w:r w:rsidR="009338F1">
        <w:rPr>
          <w:szCs w:val="24"/>
        </w:rPr>
        <w:t>explained</w:t>
      </w:r>
      <w:r w:rsidR="00BA6B13">
        <w:rPr>
          <w:szCs w:val="24"/>
        </w:rPr>
        <w:t xml:space="preserve"> though it was a discretionary budget and there was no </w:t>
      </w:r>
      <w:r w:rsidR="00F07473">
        <w:rPr>
          <w:szCs w:val="24"/>
        </w:rPr>
        <w:t>statutory imperative</w:t>
      </w:r>
      <w:r w:rsidR="00BA6B13">
        <w:rPr>
          <w:szCs w:val="24"/>
        </w:rPr>
        <w:t xml:space="preserve"> to spend th</w:t>
      </w:r>
      <w:r w:rsidR="00F07473">
        <w:rPr>
          <w:szCs w:val="24"/>
        </w:rPr>
        <w:t>at</w:t>
      </w:r>
      <w:r w:rsidR="00BA6B13">
        <w:rPr>
          <w:szCs w:val="24"/>
        </w:rPr>
        <w:t xml:space="preserve"> money. A proposal was required each year for all </w:t>
      </w:r>
      <w:r w:rsidR="009338F1">
        <w:rPr>
          <w:szCs w:val="24"/>
        </w:rPr>
        <w:t>significant</w:t>
      </w:r>
      <w:r w:rsidR="00BA6B13">
        <w:rPr>
          <w:szCs w:val="24"/>
        </w:rPr>
        <w:t xml:space="preserve"> discretionary spend amounts and </w:t>
      </w:r>
      <w:r w:rsidR="00F07473">
        <w:rPr>
          <w:szCs w:val="24"/>
        </w:rPr>
        <w:t>the RCIF</w:t>
      </w:r>
      <w:r w:rsidR="00BA6B13">
        <w:rPr>
          <w:szCs w:val="24"/>
        </w:rPr>
        <w:t xml:space="preserve"> would be listed </w:t>
      </w:r>
      <w:r w:rsidR="00F07473">
        <w:rPr>
          <w:szCs w:val="24"/>
        </w:rPr>
        <w:t xml:space="preserve">as such during </w:t>
      </w:r>
      <w:r w:rsidR="00BA6B13">
        <w:rPr>
          <w:szCs w:val="24"/>
        </w:rPr>
        <w:t xml:space="preserve">the estimates </w:t>
      </w:r>
      <w:r w:rsidR="00F07473">
        <w:rPr>
          <w:szCs w:val="24"/>
        </w:rPr>
        <w:t>process</w:t>
      </w:r>
      <w:r w:rsidR="00BA6B13">
        <w:rPr>
          <w:szCs w:val="24"/>
        </w:rPr>
        <w:t xml:space="preserve"> for a decision</w:t>
      </w:r>
      <w:r w:rsidR="00F07473">
        <w:rPr>
          <w:szCs w:val="24"/>
        </w:rPr>
        <w:t xml:space="preserve"> on funding allocation</w:t>
      </w:r>
      <w:r w:rsidR="00BA6B13">
        <w:rPr>
          <w:szCs w:val="24"/>
        </w:rPr>
        <w:t>. He was unable to state what the future would be next year for the RCIF</w:t>
      </w:r>
      <w:r w:rsidR="00F07473">
        <w:rPr>
          <w:szCs w:val="24"/>
        </w:rPr>
        <w:t>,</w:t>
      </w:r>
      <w:r w:rsidR="00BA6B13">
        <w:rPr>
          <w:szCs w:val="24"/>
        </w:rPr>
        <w:t xml:space="preserve"> </w:t>
      </w:r>
      <w:r w:rsidR="00F07473">
        <w:rPr>
          <w:szCs w:val="24"/>
        </w:rPr>
        <w:t>as</w:t>
      </w:r>
      <w:r w:rsidR="00BA6B13">
        <w:rPr>
          <w:szCs w:val="24"/>
        </w:rPr>
        <w:t xml:space="preserve"> its fate would be determined by the </w:t>
      </w:r>
      <w:r w:rsidR="00F07473">
        <w:rPr>
          <w:szCs w:val="24"/>
        </w:rPr>
        <w:t xml:space="preserve">outcome of the </w:t>
      </w:r>
      <w:r w:rsidR="00BA6B13">
        <w:rPr>
          <w:szCs w:val="24"/>
        </w:rPr>
        <w:t xml:space="preserve">estimates </w:t>
      </w:r>
      <w:r w:rsidR="00F07473">
        <w:rPr>
          <w:szCs w:val="24"/>
        </w:rPr>
        <w:t>process</w:t>
      </w:r>
      <w:r w:rsidR="00BA6B13">
        <w:rPr>
          <w:szCs w:val="24"/>
        </w:rPr>
        <w:t>.</w:t>
      </w:r>
    </w:p>
    <w:p w14:paraId="6A76342C" w14:textId="53BC7A8A" w:rsidR="00BA6B13" w:rsidRDefault="00BA6B13" w:rsidP="003D29BB">
      <w:pPr>
        <w:rPr>
          <w:szCs w:val="24"/>
        </w:rPr>
      </w:pPr>
    </w:p>
    <w:p w14:paraId="00B5D1F5" w14:textId="3BFB99E9" w:rsidR="00BA6B13" w:rsidRDefault="00BA6B13" w:rsidP="003D29BB">
      <w:pPr>
        <w:rPr>
          <w:szCs w:val="24"/>
        </w:rPr>
      </w:pPr>
      <w:r>
        <w:rPr>
          <w:szCs w:val="24"/>
        </w:rPr>
        <w:t xml:space="preserve">Councillor Woods asked who would decide on what discretionary spend budgets would be put forward. </w:t>
      </w:r>
      <w:r w:rsidR="00F07473">
        <w:rPr>
          <w:szCs w:val="24"/>
        </w:rPr>
        <w:t>The Director advised that o</w:t>
      </w:r>
      <w:r>
        <w:rPr>
          <w:szCs w:val="24"/>
        </w:rPr>
        <w:t>fficers would</w:t>
      </w:r>
      <w:r w:rsidR="00F07473">
        <w:rPr>
          <w:szCs w:val="24"/>
        </w:rPr>
        <w:t xml:space="preserve"> </w:t>
      </w:r>
      <w:r>
        <w:rPr>
          <w:szCs w:val="24"/>
        </w:rPr>
        <w:t xml:space="preserve">put those forward, but </w:t>
      </w:r>
      <w:r w:rsidR="00F07473">
        <w:rPr>
          <w:szCs w:val="24"/>
        </w:rPr>
        <w:t>M</w:t>
      </w:r>
      <w:r>
        <w:rPr>
          <w:szCs w:val="24"/>
        </w:rPr>
        <w:t>embers would make the final decision. Ultimately the decision would go to full Council</w:t>
      </w:r>
      <w:r w:rsidR="00F07473">
        <w:rPr>
          <w:szCs w:val="24"/>
        </w:rPr>
        <w:t>,</w:t>
      </w:r>
      <w:r>
        <w:rPr>
          <w:szCs w:val="24"/>
        </w:rPr>
        <w:t xml:space="preserve"> so all Members would be involved</w:t>
      </w:r>
      <w:r w:rsidR="00F07473">
        <w:rPr>
          <w:szCs w:val="24"/>
        </w:rPr>
        <w:t xml:space="preserve"> at that stage</w:t>
      </w:r>
      <w:r>
        <w:rPr>
          <w:szCs w:val="24"/>
        </w:rPr>
        <w:t xml:space="preserve">. He </w:t>
      </w:r>
      <w:r w:rsidR="009338F1">
        <w:rPr>
          <w:szCs w:val="24"/>
        </w:rPr>
        <w:t>understood</w:t>
      </w:r>
      <w:r>
        <w:rPr>
          <w:szCs w:val="24"/>
        </w:rPr>
        <w:t xml:space="preserve"> that the list of discretionary spend items would be presented to </w:t>
      </w:r>
      <w:r w:rsidR="00F07473">
        <w:rPr>
          <w:szCs w:val="24"/>
        </w:rPr>
        <w:t>M</w:t>
      </w:r>
      <w:r>
        <w:rPr>
          <w:szCs w:val="24"/>
        </w:rPr>
        <w:t>embers at an upcoming meeting of the Special Corporate Services Committee.</w:t>
      </w:r>
    </w:p>
    <w:p w14:paraId="117C6393" w14:textId="4E957D8F" w:rsidR="003D29BB" w:rsidRPr="003D29BB" w:rsidRDefault="009338F1" w:rsidP="003D29BB">
      <w:pPr>
        <w:rPr>
          <w:szCs w:val="24"/>
        </w:rPr>
      </w:pPr>
      <w:r>
        <w:rPr>
          <w:szCs w:val="24"/>
        </w:rPr>
        <w:lastRenderedPageBreak/>
        <w:t>Councillor</w:t>
      </w:r>
      <w:r w:rsidR="00BA6B13">
        <w:rPr>
          <w:szCs w:val="24"/>
        </w:rPr>
        <w:t xml:space="preserve"> Woods asked if the RCIF would be included on </w:t>
      </w:r>
      <w:r>
        <w:rPr>
          <w:szCs w:val="24"/>
        </w:rPr>
        <w:t xml:space="preserve">the list put forward in the estimates process and the Director </w:t>
      </w:r>
      <w:r w:rsidR="00C74988">
        <w:rPr>
          <w:szCs w:val="24"/>
        </w:rPr>
        <w:t>confirmed it would be</w:t>
      </w:r>
      <w:r w:rsidR="00F07473">
        <w:rPr>
          <w:szCs w:val="24"/>
        </w:rPr>
        <w:t>,</w:t>
      </w:r>
      <w:r w:rsidR="00C74988">
        <w:rPr>
          <w:szCs w:val="24"/>
        </w:rPr>
        <w:t xml:space="preserve"> </w:t>
      </w:r>
      <w:r>
        <w:rPr>
          <w:szCs w:val="24"/>
        </w:rPr>
        <w:t>but he was unable to state</w:t>
      </w:r>
      <w:r w:rsidR="00C74988">
        <w:rPr>
          <w:szCs w:val="24"/>
        </w:rPr>
        <w:t xml:space="preserve"> at this stage</w:t>
      </w:r>
      <w:r>
        <w:rPr>
          <w:szCs w:val="24"/>
        </w:rPr>
        <w:t xml:space="preserve"> where it would rank </w:t>
      </w:r>
      <w:r w:rsidR="00C74988">
        <w:rPr>
          <w:szCs w:val="24"/>
        </w:rPr>
        <w:t>among the</w:t>
      </w:r>
      <w:r>
        <w:rPr>
          <w:szCs w:val="24"/>
        </w:rPr>
        <w:t xml:space="preserve"> </w:t>
      </w:r>
      <w:r w:rsidR="00F07473">
        <w:rPr>
          <w:szCs w:val="24"/>
        </w:rPr>
        <w:t>many</w:t>
      </w:r>
      <w:r>
        <w:rPr>
          <w:szCs w:val="24"/>
        </w:rPr>
        <w:t xml:space="preserve"> </w:t>
      </w:r>
      <w:r w:rsidR="00F07473">
        <w:rPr>
          <w:szCs w:val="24"/>
        </w:rPr>
        <w:t xml:space="preserve">potential </w:t>
      </w:r>
      <w:r>
        <w:rPr>
          <w:szCs w:val="24"/>
        </w:rPr>
        <w:t xml:space="preserve">discretionary spend </w:t>
      </w:r>
      <w:r w:rsidR="00F07473">
        <w:rPr>
          <w:szCs w:val="24"/>
        </w:rPr>
        <w:t>projects</w:t>
      </w:r>
      <w:r>
        <w:rPr>
          <w:szCs w:val="24"/>
        </w:rPr>
        <w:t>. He reminded Members that there would be difficult decisions to be made in reaching an acceptable rate rise.</w:t>
      </w:r>
    </w:p>
    <w:p w14:paraId="61D08FCE" w14:textId="1929B292" w:rsidR="00B2071A" w:rsidRDefault="00B2071A" w:rsidP="004F4039">
      <w:pPr>
        <w:spacing w:after="0" w:line="240" w:lineRule="auto"/>
        <w:ind w:left="0" w:firstLine="0"/>
        <w:rPr>
          <w:szCs w:val="24"/>
        </w:rPr>
      </w:pPr>
    </w:p>
    <w:p w14:paraId="3DF34B28" w14:textId="028DD289" w:rsidR="00B2071A" w:rsidRDefault="00B2071A" w:rsidP="00B2071A">
      <w:pPr>
        <w:pStyle w:val="Heading1"/>
      </w:pPr>
      <w:r>
        <w:tab/>
        <w:t>cir</w:t>
      </w:r>
      <w:r w:rsidR="00C264D3">
        <w:t>CU</w:t>
      </w:r>
      <w:r>
        <w:t xml:space="preserve">lated for information </w:t>
      </w:r>
    </w:p>
    <w:p w14:paraId="7251C13C" w14:textId="4C6358B2" w:rsidR="00B2071A" w:rsidRDefault="00B2071A" w:rsidP="00B2071A">
      <w:pPr>
        <w:rPr>
          <w:szCs w:val="24"/>
        </w:rPr>
      </w:pPr>
    </w:p>
    <w:p w14:paraId="6FB4519E" w14:textId="50F8B576" w:rsidR="00B2071A" w:rsidRPr="00C74988" w:rsidRDefault="00B2071A" w:rsidP="00C264D3">
      <w:pPr>
        <w:pStyle w:val="Heading2"/>
        <w:numPr>
          <w:ilvl w:val="0"/>
          <w:numId w:val="20"/>
        </w:numPr>
        <w:ind w:hanging="720"/>
        <w:rPr>
          <w:sz w:val="28"/>
          <w:szCs w:val="28"/>
        </w:rPr>
      </w:pPr>
      <w:r w:rsidRPr="00C264D3">
        <w:rPr>
          <w:rStyle w:val="Heading2Char"/>
          <w:b/>
          <w:bCs/>
        </w:rPr>
        <w:t>Northern Ireland (NI) Local Authority Collected Municipal (LACM) Waste</w:t>
      </w:r>
      <w:r w:rsidRPr="0047793F">
        <w:rPr>
          <w:rFonts w:cs="Arial"/>
          <w:szCs w:val="24"/>
        </w:rPr>
        <w:t xml:space="preserve"> Statistics Latest Publication – Recycling Rates</w:t>
      </w:r>
    </w:p>
    <w:p w14:paraId="49F185CA" w14:textId="34FF69BA" w:rsidR="00C74988" w:rsidRDefault="00C74988" w:rsidP="00C74988">
      <w:pPr>
        <w:rPr>
          <w:szCs w:val="24"/>
        </w:rPr>
      </w:pPr>
    </w:p>
    <w:p w14:paraId="4587D68B" w14:textId="776B17BF" w:rsidR="00C74988" w:rsidRDefault="00417230" w:rsidP="00C74988">
      <w:pPr>
        <w:rPr>
          <w:szCs w:val="24"/>
        </w:rPr>
      </w:pPr>
      <w:r>
        <w:rPr>
          <w:szCs w:val="24"/>
        </w:rPr>
        <w:t xml:space="preserve">Recognising that landfill waste targets were for below 10% by 2030, </w:t>
      </w:r>
      <w:r w:rsidR="00C74988">
        <w:rPr>
          <w:szCs w:val="24"/>
        </w:rPr>
        <w:t>Councillor MacArthur asked how Ards and North Down Borough Council’s statistics compared with the overall figures stated in the above correspondence.</w:t>
      </w:r>
    </w:p>
    <w:p w14:paraId="76FB60A6" w14:textId="24B7CA40" w:rsidR="00C74988" w:rsidRDefault="00C74988" w:rsidP="00C74988">
      <w:pPr>
        <w:rPr>
          <w:szCs w:val="24"/>
        </w:rPr>
      </w:pPr>
    </w:p>
    <w:p w14:paraId="315C1467" w14:textId="59F97711" w:rsidR="00FC26B5" w:rsidRDefault="00C74988" w:rsidP="00C74988">
      <w:pPr>
        <w:rPr>
          <w:szCs w:val="24"/>
        </w:rPr>
      </w:pPr>
      <w:r>
        <w:rPr>
          <w:szCs w:val="24"/>
        </w:rPr>
        <w:t xml:space="preserve">The Director advised that Council </w:t>
      </w:r>
      <w:r w:rsidR="00FC26B5">
        <w:rPr>
          <w:szCs w:val="24"/>
        </w:rPr>
        <w:t>recycling rates were</w:t>
      </w:r>
      <w:r>
        <w:rPr>
          <w:szCs w:val="24"/>
        </w:rPr>
        <w:t xml:space="preserve"> around 50%</w:t>
      </w:r>
      <w:r w:rsidR="00F07473">
        <w:rPr>
          <w:szCs w:val="24"/>
        </w:rPr>
        <w:t>, similar to the</w:t>
      </w:r>
      <w:r>
        <w:rPr>
          <w:szCs w:val="24"/>
        </w:rPr>
        <w:t xml:space="preserve"> </w:t>
      </w:r>
      <w:r w:rsidR="00FC26B5">
        <w:rPr>
          <w:szCs w:val="24"/>
        </w:rPr>
        <w:t xml:space="preserve">national average but </w:t>
      </w:r>
      <w:r w:rsidR="00F07473">
        <w:rPr>
          <w:szCs w:val="24"/>
        </w:rPr>
        <w:t>our</w:t>
      </w:r>
      <w:r w:rsidR="00FC26B5">
        <w:rPr>
          <w:szCs w:val="24"/>
        </w:rPr>
        <w:t xml:space="preserve"> </w:t>
      </w:r>
      <w:r w:rsidR="00F07473">
        <w:rPr>
          <w:szCs w:val="24"/>
        </w:rPr>
        <w:t>l</w:t>
      </w:r>
      <w:r w:rsidR="00FC26B5">
        <w:rPr>
          <w:szCs w:val="24"/>
        </w:rPr>
        <w:t xml:space="preserve">andfill rate was higher due to the fact that this Council only sent a small amount to incineration and the vast majority </w:t>
      </w:r>
      <w:r w:rsidR="00F07473">
        <w:rPr>
          <w:szCs w:val="24"/>
        </w:rPr>
        <w:t xml:space="preserve">of our residual (non-recycled) waste </w:t>
      </w:r>
      <w:r w:rsidR="00FC26B5">
        <w:rPr>
          <w:szCs w:val="24"/>
        </w:rPr>
        <w:t>went to landfill</w:t>
      </w:r>
      <w:r w:rsidR="00F07473">
        <w:rPr>
          <w:szCs w:val="24"/>
        </w:rPr>
        <w:t xml:space="preserve"> compared to other Councils which send a lot to incineration</w:t>
      </w:r>
      <w:r w:rsidR="00417230">
        <w:rPr>
          <w:szCs w:val="24"/>
        </w:rPr>
        <w:t>.</w:t>
      </w:r>
    </w:p>
    <w:p w14:paraId="3AC9FBD8" w14:textId="71CF7372" w:rsidR="00FC26B5" w:rsidRDefault="00FC26B5" w:rsidP="00C74988">
      <w:pPr>
        <w:rPr>
          <w:szCs w:val="24"/>
        </w:rPr>
      </w:pPr>
    </w:p>
    <w:p w14:paraId="3E8CBE6C" w14:textId="7F40756D" w:rsidR="00FC26B5" w:rsidRPr="00FC26B5" w:rsidRDefault="00FC26B5" w:rsidP="00C74988">
      <w:pPr>
        <w:rPr>
          <w:b/>
          <w:bCs/>
          <w:szCs w:val="24"/>
        </w:rPr>
      </w:pPr>
      <w:r w:rsidRPr="00FC26B5">
        <w:rPr>
          <w:b/>
          <w:bCs/>
          <w:szCs w:val="24"/>
        </w:rPr>
        <w:t>NOTED.</w:t>
      </w:r>
    </w:p>
    <w:p w14:paraId="600B97A5" w14:textId="2A7EBA35" w:rsidR="0006329D" w:rsidRDefault="0006329D" w:rsidP="0006329D"/>
    <w:p w14:paraId="5ABA47E3" w14:textId="179E070A" w:rsidR="00FC26B5" w:rsidRPr="00417230" w:rsidRDefault="00FC26B5" w:rsidP="0006329D">
      <w:pPr>
        <w:rPr>
          <w:b/>
          <w:bCs/>
          <w:u w:val="single"/>
        </w:rPr>
      </w:pPr>
      <w:r w:rsidRPr="00417230">
        <w:rPr>
          <w:b/>
          <w:bCs/>
          <w:u w:val="single"/>
        </w:rPr>
        <w:t>POINT OF ORDER</w:t>
      </w:r>
    </w:p>
    <w:p w14:paraId="2480C9E0" w14:textId="7BCD5589" w:rsidR="00FC26B5" w:rsidRDefault="00FC26B5" w:rsidP="0006329D"/>
    <w:p w14:paraId="0F576DB2" w14:textId="16D3F093" w:rsidR="00FC26B5" w:rsidRDefault="00FC26B5" w:rsidP="0006329D">
      <w:r>
        <w:t xml:space="preserve">Councillor Woods requested that Item 11 be </w:t>
      </w:r>
      <w:r w:rsidR="00417230">
        <w:t>brought</w:t>
      </w:r>
      <w:r>
        <w:t xml:space="preserve"> out of committee</w:t>
      </w:r>
      <w:r w:rsidR="00417230">
        <w:t xml:space="preserve"> for hearing while Councillor Cathcart </w:t>
      </w:r>
      <w:r w:rsidR="00A41953">
        <w:t>asked why it was listed as</w:t>
      </w:r>
      <w:r w:rsidR="00417230">
        <w:t xml:space="preserve"> ‘in committee’ on the agenda.</w:t>
      </w:r>
    </w:p>
    <w:p w14:paraId="7CF8AACD" w14:textId="6ABD88AF" w:rsidR="00417230" w:rsidRDefault="00417230" w:rsidP="0006329D"/>
    <w:p w14:paraId="16E4FE89" w14:textId="47AB0DAA" w:rsidR="00A41953" w:rsidRDefault="00417230" w:rsidP="0006329D">
      <w:r>
        <w:t xml:space="preserve">The Director advised that </w:t>
      </w:r>
      <w:r w:rsidR="00A41953">
        <w:t>there was now a confidential aspect resulting from an amendment at the last meeting. It related to part three of the officer’s recommendation.</w:t>
      </w:r>
    </w:p>
    <w:p w14:paraId="55424EA4" w14:textId="6BCFD4B9" w:rsidR="00FF10EE" w:rsidRDefault="00FF10EE" w:rsidP="0006329D"/>
    <w:p w14:paraId="1F20B3AC" w14:textId="5259B8D7" w:rsidR="00FF10EE" w:rsidRDefault="00FF10EE" w:rsidP="0006329D">
      <w:r>
        <w:t>Councillor Cathcart asked if it would be possible to split the item and deal with part three of the recommendation in committee. Councillor Woods felt it was appropriate for the item to be dealt with in its entirety out of committee given the particular issue had been discussed in public in the past. However</w:t>
      </w:r>
      <w:r w:rsidR="00F07473">
        <w:t>,</w:t>
      </w:r>
      <w:r>
        <w:t xml:space="preserve"> she accepted Councillor Cathcart’s suggestion and the Chair agreed to that approach.</w:t>
      </w:r>
    </w:p>
    <w:p w14:paraId="68114F5B" w14:textId="5AF9C6CD" w:rsidR="00CE375B" w:rsidRDefault="00CE375B" w:rsidP="0006329D"/>
    <w:p w14:paraId="3B4C9D03" w14:textId="4D890970" w:rsidR="00CE375B" w:rsidRDefault="00CE375B" w:rsidP="0006329D">
      <w:r>
        <w:t>(Councillor Johnson had left the meeting at this stage)</w:t>
      </w:r>
    </w:p>
    <w:p w14:paraId="53456AE5" w14:textId="2922C4DC" w:rsidR="00FF10EE" w:rsidRDefault="00FF10EE" w:rsidP="0006329D"/>
    <w:p w14:paraId="30BC091E" w14:textId="77777777" w:rsidR="00FF10EE" w:rsidRDefault="00FF10EE" w:rsidP="00FF10EE">
      <w:pPr>
        <w:pStyle w:val="Heading1"/>
        <w:ind w:left="720" w:hanging="720"/>
      </w:pPr>
      <w:r w:rsidRPr="00C264D3">
        <w:rPr>
          <w:u w:val="none"/>
        </w:rPr>
        <w:t>11.</w:t>
      </w:r>
      <w:r w:rsidRPr="00C264D3">
        <w:rPr>
          <w:u w:val="none"/>
        </w:rPr>
        <w:tab/>
      </w:r>
      <w:r w:rsidRPr="00B2071A">
        <w:t>Follow Up Report - Regulation of HRC Use</w:t>
      </w:r>
    </w:p>
    <w:p w14:paraId="6D36704E" w14:textId="77777777" w:rsidR="00F255C9" w:rsidRDefault="00F255C9" w:rsidP="00F255C9"/>
    <w:p w14:paraId="19EF317E" w14:textId="68D76E58" w:rsidR="00BE0313" w:rsidRPr="00BE0313" w:rsidRDefault="00BE0313" w:rsidP="00BE0313">
      <w:pPr>
        <w:spacing w:after="0" w:line="240" w:lineRule="auto"/>
        <w:ind w:left="0" w:right="0" w:firstLine="0"/>
        <w:rPr>
          <w:rFonts w:eastAsia="Times New Roman" w:cs="Times New Roman"/>
          <w:szCs w:val="24"/>
        </w:rPr>
      </w:pPr>
      <w:r w:rsidRPr="00BE0313">
        <w:rPr>
          <w:rFonts w:eastAsia="Times New Roman" w:cs="Times New Roman"/>
          <w:szCs w:val="24"/>
        </w:rPr>
        <w:t xml:space="preserve">PREVIOUSLY CIRCULATED:- Report from the Director of Environment detailing </w:t>
      </w:r>
      <w:r>
        <w:rPr>
          <w:rFonts w:eastAsia="Times New Roman" w:cs="Times New Roman"/>
          <w:szCs w:val="24"/>
        </w:rPr>
        <w:t>that at</w:t>
      </w:r>
      <w:r w:rsidRPr="00BE0313">
        <w:rPr>
          <w:rFonts w:eastAsia="Times New Roman" w:cs="Times New Roman"/>
          <w:szCs w:val="24"/>
        </w:rPr>
        <w:t xml:space="preserve"> the October 2022 meeting of the Environment Committee, in relation to the report at Item 5 on that agenda regarding Recycling Engagements Campaigns, the following was agreed:</w:t>
      </w:r>
    </w:p>
    <w:p w14:paraId="084A6A32" w14:textId="77777777" w:rsidR="00BE0313" w:rsidRPr="00BE0313" w:rsidRDefault="00BE0313" w:rsidP="00BE0313">
      <w:pPr>
        <w:spacing w:after="0" w:line="240" w:lineRule="auto"/>
        <w:ind w:left="0" w:right="0" w:firstLine="0"/>
        <w:rPr>
          <w:rFonts w:eastAsia="Times New Roman" w:cs="Times New Roman"/>
          <w:szCs w:val="24"/>
        </w:rPr>
      </w:pPr>
    </w:p>
    <w:p w14:paraId="29D8B537" w14:textId="77777777" w:rsidR="00BE0313" w:rsidRPr="00BE0313" w:rsidRDefault="00BE0313" w:rsidP="00BE0313">
      <w:pPr>
        <w:spacing w:after="0" w:line="240" w:lineRule="auto"/>
        <w:ind w:left="0" w:right="0" w:firstLine="0"/>
        <w:rPr>
          <w:rFonts w:eastAsia="Times New Roman" w:cs="Times New Roman"/>
          <w:szCs w:val="24"/>
        </w:rPr>
      </w:pPr>
      <w:r w:rsidRPr="00BE0313">
        <w:rPr>
          <w:rFonts w:eastAsia="Times New Roman" w:cs="Times New Roman"/>
          <w:szCs w:val="24"/>
        </w:rPr>
        <w:lastRenderedPageBreak/>
        <w:t>“The Council approves the proposals set out in the report, including the consolidated policy document Appendix 1 but excluding the policy requiring the householder to be present in a van/large trailer when using an access permit. This policy will be brought back to Committee for further detail and consideration of the exceptions to this policy and how this will operate. Appendix 2 will also be brought back to Committee for further consideration of changes to trailer sizes.</w:t>
      </w:r>
    </w:p>
    <w:p w14:paraId="79ACC988" w14:textId="77777777" w:rsidR="00BE0313" w:rsidRPr="00BE0313" w:rsidRDefault="00BE0313" w:rsidP="00BE0313">
      <w:pPr>
        <w:spacing w:after="0" w:line="240" w:lineRule="auto"/>
        <w:ind w:left="0" w:right="0" w:firstLine="0"/>
        <w:rPr>
          <w:rFonts w:eastAsia="Times New Roman" w:cs="Times New Roman"/>
          <w:szCs w:val="24"/>
        </w:rPr>
      </w:pPr>
      <w:r w:rsidRPr="00BE0313">
        <w:rPr>
          <w:rFonts w:eastAsia="Times New Roman" w:cs="Times New Roman"/>
          <w:szCs w:val="24"/>
        </w:rPr>
        <w:t xml:space="preserve"> </w:t>
      </w:r>
    </w:p>
    <w:p w14:paraId="74BC5C57" w14:textId="77777777" w:rsidR="00BE0313" w:rsidRPr="00BE0313" w:rsidRDefault="00BE0313" w:rsidP="00BE0313">
      <w:pPr>
        <w:spacing w:after="0" w:line="240" w:lineRule="auto"/>
        <w:ind w:left="0" w:right="0" w:firstLine="0"/>
        <w:rPr>
          <w:rFonts w:eastAsia="Times New Roman" w:cs="Times New Roman"/>
          <w:szCs w:val="24"/>
        </w:rPr>
      </w:pPr>
      <w:r w:rsidRPr="00BE0313">
        <w:rPr>
          <w:rFonts w:eastAsia="Times New Roman" w:cs="Times New Roman"/>
          <w:szCs w:val="24"/>
        </w:rPr>
        <w:t>Pedestrian access to Holywood HRC as previously agreed by Council should also be considered further.”</w:t>
      </w:r>
    </w:p>
    <w:p w14:paraId="792F7235" w14:textId="77777777" w:rsidR="00BE0313" w:rsidRPr="00BE0313" w:rsidRDefault="00BE0313" w:rsidP="00BE0313">
      <w:pPr>
        <w:spacing w:after="0" w:line="240" w:lineRule="auto"/>
        <w:ind w:left="0" w:right="0" w:firstLine="0"/>
        <w:rPr>
          <w:rFonts w:eastAsia="Times New Roman" w:cs="Times New Roman"/>
          <w:szCs w:val="24"/>
        </w:rPr>
      </w:pPr>
    </w:p>
    <w:p w14:paraId="2C3D5E28" w14:textId="77777777" w:rsidR="00BE0313" w:rsidRPr="00BE0313" w:rsidRDefault="00BE0313" w:rsidP="00BE0313">
      <w:pPr>
        <w:spacing w:after="0" w:line="240" w:lineRule="auto"/>
        <w:ind w:left="0" w:right="0" w:firstLine="0"/>
        <w:rPr>
          <w:rFonts w:eastAsia="Times New Roman" w:cs="Times New Roman"/>
          <w:szCs w:val="24"/>
        </w:rPr>
      </w:pPr>
      <w:r w:rsidRPr="00BE0313">
        <w:rPr>
          <w:rFonts w:eastAsia="Times New Roman" w:cs="Times New Roman"/>
          <w:szCs w:val="24"/>
        </w:rPr>
        <w:t>The following information was provided in relation to the matters raised in the proposal that was agreed at Committee in October 2022.</w:t>
      </w:r>
    </w:p>
    <w:p w14:paraId="4951E498" w14:textId="77777777" w:rsidR="00BE0313" w:rsidRPr="00BE0313" w:rsidRDefault="00BE0313" w:rsidP="00BE0313">
      <w:pPr>
        <w:spacing w:after="0" w:line="240" w:lineRule="auto"/>
        <w:ind w:left="0" w:right="0" w:firstLine="0"/>
        <w:rPr>
          <w:rFonts w:eastAsia="Times New Roman" w:cs="Times New Roman"/>
          <w:szCs w:val="24"/>
        </w:rPr>
      </w:pPr>
    </w:p>
    <w:p w14:paraId="65BB80AB" w14:textId="77777777" w:rsidR="00BE0313" w:rsidRPr="00BE0313" w:rsidRDefault="00BE0313" w:rsidP="00BE0313">
      <w:pPr>
        <w:numPr>
          <w:ilvl w:val="0"/>
          <w:numId w:val="15"/>
        </w:numPr>
        <w:spacing w:after="0" w:line="240" w:lineRule="auto"/>
        <w:ind w:right="0"/>
        <w:contextualSpacing/>
        <w:rPr>
          <w:rFonts w:eastAsia="Times New Roman" w:cs="Times New Roman"/>
          <w:b/>
          <w:bCs/>
          <w:szCs w:val="24"/>
        </w:rPr>
      </w:pPr>
      <w:r w:rsidRPr="00BE0313">
        <w:rPr>
          <w:rFonts w:eastAsia="Times New Roman" w:cs="Times New Roman"/>
          <w:b/>
          <w:bCs/>
          <w:szCs w:val="24"/>
        </w:rPr>
        <w:t>Conditions of Permit Use/Access - Exemptions</w:t>
      </w:r>
    </w:p>
    <w:p w14:paraId="65441E13" w14:textId="77777777" w:rsidR="00BE0313" w:rsidRPr="00BE0313" w:rsidRDefault="00BE0313" w:rsidP="00BE0313">
      <w:pPr>
        <w:spacing w:after="0" w:line="240" w:lineRule="auto"/>
        <w:ind w:left="0" w:right="0" w:firstLine="0"/>
        <w:rPr>
          <w:rFonts w:eastAsia="Times New Roman" w:cs="Times New Roman"/>
          <w:szCs w:val="24"/>
        </w:rPr>
      </w:pPr>
      <w:r w:rsidRPr="00BE0313">
        <w:rPr>
          <w:rFonts w:eastAsia="Times New Roman" w:cs="Times New Roman"/>
          <w:szCs w:val="24"/>
        </w:rPr>
        <w:t>The policy as brought before Committee in October 2022, specified that a person who applied for and obtained a permit must be present on site when that permit was presented for use.  This was in keeping with the principle that a householder should reasonably be expected to assume appropriate responsibility for the disposal of their own household waste (particularly the larger amounts that generally required to be transported in a van/large trailer), as this was a matter of significance.  The policy was deemed necessary as it provided the Council with a means of further ensuring that all of the waste brought into one of the Borough’s HRC under cover of a permit, was indeed all household waste emanating from the permit applicant’s residential address within the Borough.  If a person granted a permit needed to engage the services of a commercial provider to transport their household waste in a van, this was allowed under the policy as long as the permit recipient travelled with their waste to the HRC to confirm that all the waste being transported in the van was indeed their own household waste.  It should be noted that many Councils did not allow a commercial waste contractor to gain access to their HRCs at all, even if they were bringing household type waste.</w:t>
      </w:r>
    </w:p>
    <w:p w14:paraId="0142A5B5" w14:textId="77777777" w:rsidR="00BE0313" w:rsidRPr="00BE0313" w:rsidRDefault="00BE0313" w:rsidP="00BE0313">
      <w:pPr>
        <w:spacing w:after="0" w:line="240" w:lineRule="auto"/>
        <w:ind w:left="0" w:right="0" w:firstLine="0"/>
        <w:rPr>
          <w:rFonts w:eastAsia="Times New Roman" w:cs="Times New Roman"/>
          <w:szCs w:val="24"/>
        </w:rPr>
      </w:pPr>
    </w:p>
    <w:p w14:paraId="74DBCC52" w14:textId="77777777" w:rsidR="00BE0313" w:rsidRPr="00BE0313" w:rsidRDefault="00BE0313" w:rsidP="00BE0313">
      <w:pPr>
        <w:spacing w:after="0" w:line="240" w:lineRule="auto"/>
        <w:ind w:left="0" w:right="0" w:firstLine="0"/>
        <w:rPr>
          <w:rFonts w:eastAsia="Times New Roman" w:cs="Times New Roman"/>
          <w:szCs w:val="24"/>
        </w:rPr>
      </w:pPr>
      <w:r w:rsidRPr="00BE0313">
        <w:rPr>
          <w:rFonts w:eastAsia="Times New Roman" w:cs="Times New Roman"/>
          <w:szCs w:val="24"/>
        </w:rPr>
        <w:t xml:space="preserve">Members would be aware that most if not all commercial waste transport businesses provided their services well beyond the boundaries of Ards and North Down Borough and would uplift not only household waste but also other categories of waste – commercial, business, industrial etc. for commercial gain.  Without the measure specified in the policy relating to the permit holder being present when their waste was being brought by the commercial service provider to one of our HRCs, it was entirely conceivable that at least some of the waste brought into the site in the commercial van/trailer could be waste that was not household waste and/or did not originate within the Borough.  The presence of the householder who had applied for the permit, to confirm on site that all of the waste being brought in was their household waste, was an important further safeguard against infiltration of non-Borough/non-household waste into our waste disposal system (and against the additional associated cost burden to local domestic ratepayers). </w:t>
      </w:r>
    </w:p>
    <w:p w14:paraId="2F3A4F24" w14:textId="77777777" w:rsidR="00BE0313" w:rsidRPr="00BE0313" w:rsidRDefault="00BE0313" w:rsidP="00BE0313">
      <w:pPr>
        <w:spacing w:after="0" w:line="240" w:lineRule="auto"/>
        <w:ind w:left="0" w:right="0" w:firstLine="0"/>
        <w:rPr>
          <w:rFonts w:eastAsia="Times New Roman" w:cs="Times New Roman"/>
          <w:szCs w:val="24"/>
        </w:rPr>
      </w:pPr>
    </w:p>
    <w:p w14:paraId="6AFAE5ED" w14:textId="77777777" w:rsidR="00BE0313" w:rsidRPr="00BE0313" w:rsidRDefault="00BE0313" w:rsidP="00BE0313">
      <w:pPr>
        <w:spacing w:after="0" w:line="240" w:lineRule="auto"/>
        <w:ind w:left="0" w:right="0" w:firstLine="0"/>
        <w:rPr>
          <w:rFonts w:eastAsia="Times New Roman" w:cs="Times New Roman"/>
          <w:szCs w:val="24"/>
        </w:rPr>
      </w:pPr>
      <w:r w:rsidRPr="00BE0313">
        <w:rPr>
          <w:rFonts w:eastAsia="Times New Roman" w:cs="Times New Roman"/>
          <w:szCs w:val="24"/>
        </w:rPr>
        <w:t>The policy brought before the Council in October and attached at Appendix 1, provided an exception as follows:</w:t>
      </w:r>
    </w:p>
    <w:p w14:paraId="3653AABC" w14:textId="6D3D8C65" w:rsidR="00BE0313" w:rsidRDefault="00BE0313" w:rsidP="00BE0313">
      <w:pPr>
        <w:spacing w:after="0" w:line="240" w:lineRule="auto"/>
        <w:ind w:left="0" w:right="0" w:firstLine="0"/>
        <w:rPr>
          <w:rFonts w:eastAsia="Times New Roman" w:cs="Times New Roman"/>
          <w:szCs w:val="24"/>
        </w:rPr>
      </w:pPr>
    </w:p>
    <w:p w14:paraId="6D3FDE39" w14:textId="463D2153" w:rsidR="00F40974" w:rsidRDefault="00F40974" w:rsidP="00BE0313">
      <w:pPr>
        <w:spacing w:after="0" w:line="240" w:lineRule="auto"/>
        <w:ind w:left="0" w:right="0" w:firstLine="0"/>
        <w:rPr>
          <w:rFonts w:eastAsia="Times New Roman" w:cs="Times New Roman"/>
          <w:szCs w:val="24"/>
        </w:rPr>
      </w:pPr>
    </w:p>
    <w:p w14:paraId="3234474B" w14:textId="77777777" w:rsidR="00F40974" w:rsidRPr="00BE0313" w:rsidRDefault="00F40974" w:rsidP="00BE0313">
      <w:pPr>
        <w:spacing w:after="0" w:line="240" w:lineRule="auto"/>
        <w:ind w:left="0" w:right="0" w:firstLine="0"/>
        <w:rPr>
          <w:rFonts w:eastAsia="Times New Roman" w:cs="Times New Roman"/>
          <w:szCs w:val="24"/>
        </w:rPr>
      </w:pPr>
    </w:p>
    <w:p w14:paraId="42C9CF08" w14:textId="77777777" w:rsidR="00BE0313" w:rsidRPr="00BE0313" w:rsidRDefault="00BE0313" w:rsidP="00BE0313">
      <w:pPr>
        <w:spacing w:after="0" w:line="240" w:lineRule="auto"/>
        <w:ind w:left="0" w:right="0" w:firstLine="0"/>
        <w:rPr>
          <w:rFonts w:eastAsia="Times New Roman" w:cs="Times New Roman"/>
          <w:i/>
          <w:iCs/>
          <w:szCs w:val="24"/>
        </w:rPr>
      </w:pPr>
      <w:r w:rsidRPr="00BE0313">
        <w:rPr>
          <w:rFonts w:eastAsia="Times New Roman" w:cs="Times New Roman"/>
          <w:i/>
          <w:iCs/>
          <w:szCs w:val="24"/>
        </w:rPr>
        <w:lastRenderedPageBreak/>
        <w:t>Exception categories:</w:t>
      </w:r>
    </w:p>
    <w:p w14:paraId="53182C7D" w14:textId="77777777" w:rsidR="00BE0313" w:rsidRPr="00BE0313" w:rsidRDefault="00BE0313" w:rsidP="00BE0313">
      <w:pPr>
        <w:spacing w:after="0" w:line="240" w:lineRule="auto"/>
        <w:ind w:left="0" w:right="0" w:firstLine="0"/>
        <w:rPr>
          <w:rFonts w:eastAsia="Times New Roman" w:cs="Times New Roman"/>
          <w:i/>
          <w:iCs/>
          <w:szCs w:val="24"/>
        </w:rPr>
      </w:pPr>
    </w:p>
    <w:p w14:paraId="616F954B" w14:textId="2742E6EC" w:rsidR="00BE0313" w:rsidRPr="00BE0313" w:rsidRDefault="00BE0313" w:rsidP="00BE0313">
      <w:pPr>
        <w:numPr>
          <w:ilvl w:val="0"/>
          <w:numId w:val="14"/>
        </w:numPr>
        <w:spacing w:after="0" w:line="240" w:lineRule="auto"/>
        <w:ind w:right="0"/>
        <w:contextualSpacing/>
        <w:rPr>
          <w:rFonts w:eastAsia="Times New Roman" w:cs="Times New Roman"/>
          <w:i/>
          <w:iCs/>
          <w:szCs w:val="24"/>
        </w:rPr>
      </w:pPr>
      <w:r w:rsidRPr="00BE0313">
        <w:rPr>
          <w:rFonts w:eastAsia="Times New Roman" w:cs="Times New Roman"/>
          <w:i/>
          <w:iCs/>
          <w:szCs w:val="24"/>
        </w:rPr>
        <w:t xml:space="preserve">Where there was no-one in the household who </w:t>
      </w:r>
      <w:r w:rsidR="00963034">
        <w:rPr>
          <w:rFonts w:eastAsia="Times New Roman" w:cs="Times New Roman"/>
          <w:i/>
          <w:iCs/>
          <w:szCs w:val="24"/>
        </w:rPr>
        <w:t>was</w:t>
      </w:r>
      <w:r w:rsidRPr="00BE0313">
        <w:rPr>
          <w:rFonts w:eastAsia="Times New Roman" w:cs="Times New Roman"/>
          <w:i/>
          <w:iCs/>
          <w:szCs w:val="24"/>
        </w:rPr>
        <w:t xml:space="preserve"> deemed able to attend the HRC when that permit was to be used to gain access, by virtue of age, disability or ill health.</w:t>
      </w:r>
    </w:p>
    <w:p w14:paraId="10BF4EF1" w14:textId="77777777" w:rsidR="00BE0313" w:rsidRPr="00BE0313" w:rsidRDefault="00BE0313" w:rsidP="00BE0313">
      <w:pPr>
        <w:spacing w:after="0" w:line="240" w:lineRule="auto"/>
        <w:ind w:left="0" w:right="0" w:firstLine="0"/>
        <w:rPr>
          <w:rFonts w:eastAsia="Times New Roman" w:cs="Times New Roman"/>
          <w:szCs w:val="24"/>
        </w:rPr>
      </w:pPr>
    </w:p>
    <w:p w14:paraId="16442E39" w14:textId="77777777" w:rsidR="00BE0313" w:rsidRPr="00BE0313" w:rsidRDefault="00BE0313" w:rsidP="00BE0313">
      <w:pPr>
        <w:spacing w:after="0" w:line="240" w:lineRule="auto"/>
        <w:ind w:left="0" w:right="0" w:firstLine="0"/>
        <w:rPr>
          <w:rFonts w:eastAsia="Times New Roman" w:cs="Times New Roman"/>
          <w:szCs w:val="24"/>
        </w:rPr>
      </w:pPr>
      <w:r w:rsidRPr="00BE0313">
        <w:rPr>
          <w:rFonts w:eastAsia="Times New Roman" w:cs="Times New Roman"/>
          <w:szCs w:val="24"/>
        </w:rPr>
        <w:t>This was entirely in keeping with existing arrangements to support residents who were unable bring their bins to the kerbside for collection on health grounds, and an assisted lift service could be provided where the applicant fulfilled the criteria.  It was considered entirely reasonable and appropriate that the same protocol could be used for exemption from the requirement for a resident to accompany their household waste which was being transported in a van/trailer by a commercial service provider.  Where a resident was already approved for the assisted bin service, we would allow that person to also avail of the exemption from the requirement to accompany their household waste when they were using a HRC van/trailer permit.</w:t>
      </w:r>
    </w:p>
    <w:p w14:paraId="50ADFCCD" w14:textId="77777777" w:rsidR="00BE0313" w:rsidRPr="00BE0313" w:rsidRDefault="00BE0313" w:rsidP="00BE0313">
      <w:pPr>
        <w:spacing w:after="0" w:line="240" w:lineRule="auto"/>
        <w:ind w:left="0" w:right="0" w:firstLine="0"/>
        <w:rPr>
          <w:rFonts w:eastAsia="Times New Roman" w:cs="Times New Roman"/>
          <w:szCs w:val="24"/>
        </w:rPr>
      </w:pPr>
    </w:p>
    <w:p w14:paraId="3DC811E0" w14:textId="77777777" w:rsidR="00BE0313" w:rsidRPr="00BE0313" w:rsidRDefault="00BE0313" w:rsidP="00BE0313">
      <w:pPr>
        <w:numPr>
          <w:ilvl w:val="0"/>
          <w:numId w:val="15"/>
        </w:numPr>
        <w:spacing w:after="0" w:line="240" w:lineRule="auto"/>
        <w:ind w:right="0"/>
        <w:contextualSpacing/>
        <w:rPr>
          <w:rFonts w:eastAsia="Times New Roman" w:cs="Times New Roman"/>
          <w:b/>
          <w:bCs/>
          <w:szCs w:val="24"/>
        </w:rPr>
      </w:pPr>
      <w:r w:rsidRPr="00BE0313">
        <w:rPr>
          <w:rFonts w:eastAsia="Times New Roman" w:cs="Times New Roman"/>
          <w:b/>
          <w:bCs/>
          <w:szCs w:val="24"/>
        </w:rPr>
        <w:t>Change to Trailer Size</w:t>
      </w:r>
    </w:p>
    <w:p w14:paraId="3F628A34" w14:textId="77777777" w:rsidR="00BE0313" w:rsidRPr="00BE0313" w:rsidRDefault="00BE0313" w:rsidP="00BE0313">
      <w:pPr>
        <w:spacing w:after="0" w:line="240" w:lineRule="auto"/>
        <w:ind w:left="0" w:right="0" w:firstLine="0"/>
        <w:rPr>
          <w:rFonts w:eastAsia="Times New Roman" w:cs="Times New Roman"/>
          <w:szCs w:val="24"/>
        </w:rPr>
      </w:pPr>
      <w:r w:rsidRPr="00BE0313">
        <w:rPr>
          <w:rFonts w:eastAsia="Times New Roman" w:cs="Times New Roman"/>
          <w:szCs w:val="24"/>
        </w:rPr>
        <w:t xml:space="preserve">The previously agreed policy required trailers other than single axle trailers to require a permit.  However, experience since then had shown that a growing number of relatively large trailers were being used to frequently transport waste into our HRCs, in circumstances that went well beyond normal/legitimate householder requirements.  Whilst such trailers might have been single axle, some were larger than the standard/small domestic trailer envisaged when the exemption from the requirement to apply for a permit was introduced.  </w:t>
      </w:r>
    </w:p>
    <w:p w14:paraId="425CBFD6" w14:textId="77777777" w:rsidR="00BE0313" w:rsidRPr="00BE0313" w:rsidRDefault="00BE0313" w:rsidP="00BE0313">
      <w:pPr>
        <w:spacing w:after="0" w:line="240" w:lineRule="auto"/>
        <w:ind w:left="0" w:right="0" w:firstLine="0"/>
        <w:rPr>
          <w:rFonts w:eastAsia="Times New Roman" w:cs="Times New Roman"/>
          <w:szCs w:val="24"/>
        </w:rPr>
      </w:pPr>
    </w:p>
    <w:p w14:paraId="7B385180" w14:textId="77777777" w:rsidR="00BE0313" w:rsidRPr="00BE0313" w:rsidRDefault="00BE0313" w:rsidP="00BE0313">
      <w:pPr>
        <w:spacing w:after="0" w:line="240" w:lineRule="auto"/>
        <w:ind w:left="0" w:right="0" w:firstLine="0"/>
        <w:rPr>
          <w:rFonts w:eastAsia="Times New Roman" w:cs="Times New Roman"/>
          <w:szCs w:val="24"/>
        </w:rPr>
      </w:pPr>
      <w:r w:rsidRPr="00BE0313">
        <w:rPr>
          <w:rFonts w:eastAsia="Times New Roman" w:cs="Times New Roman"/>
          <w:szCs w:val="24"/>
        </w:rPr>
        <w:t>It was the opinion of officers who were routinely involved in managing the HRCs that there was a need to revise the small trailer exemption, to help further reduce the abuse of the permit system for commercial/business waste disposal purposes.  The policy of many other Councils had been reviewed, and the standard trailer restriction practice used elsewhere was by reference to the size of the trailer being used rather than the number of axles - with restriction to a maximum 6ft x 4ft trailer size, most commonly used.  It was important to note that any householder who wished to transport large sized/large amounts of household waste items in a trailer larger than 6 ft x 4 ft, would still be able to do so under the policy; they would simply have to obtain a permit.  Therefore, the change did not prevent legitimate householder use in these circumstances, it merely assisted the Council in better controlling potential means of abusing its HRCs for commercial/business waste disposal.</w:t>
      </w:r>
    </w:p>
    <w:p w14:paraId="1E356690" w14:textId="77777777" w:rsidR="00F255C9" w:rsidRPr="00F255C9" w:rsidRDefault="00F255C9" w:rsidP="00F255C9">
      <w:pPr>
        <w:spacing w:after="0" w:line="240" w:lineRule="auto"/>
        <w:ind w:left="720" w:right="0" w:firstLine="0"/>
        <w:contextualSpacing/>
        <w:rPr>
          <w:rFonts w:eastAsia="Times New Roman" w:cs="Times New Roman"/>
          <w:color w:val="auto"/>
          <w:szCs w:val="20"/>
          <w:lang w:eastAsia="en-US"/>
        </w:rPr>
      </w:pPr>
    </w:p>
    <w:p w14:paraId="236F65A5" w14:textId="7AFA88E7" w:rsidR="00AB42C7" w:rsidRPr="00AB42C7" w:rsidRDefault="00AB42C7" w:rsidP="00AB42C7">
      <w:pPr>
        <w:spacing w:after="160" w:line="276" w:lineRule="auto"/>
        <w:ind w:left="0" w:right="0" w:firstLine="0"/>
        <w:rPr>
          <w:rFonts w:eastAsia="Times New Roman"/>
          <w:bCs/>
          <w:szCs w:val="24"/>
        </w:rPr>
      </w:pPr>
      <w:r w:rsidRPr="00AB42C7">
        <w:rPr>
          <w:rFonts w:eastAsia="Times New Roman"/>
          <w:bCs/>
          <w:szCs w:val="24"/>
        </w:rPr>
        <w:t xml:space="preserve">RECOMMENDED that the permit application process be moved to an online platform (with telephone/manual option as a back up to online application process) </w:t>
      </w:r>
    </w:p>
    <w:p w14:paraId="039B3247" w14:textId="77777777" w:rsidR="00AB42C7" w:rsidRPr="00AB42C7" w:rsidRDefault="00AB42C7" w:rsidP="00C264D3">
      <w:pPr>
        <w:spacing w:after="0" w:line="240" w:lineRule="auto"/>
        <w:ind w:left="0" w:right="0" w:firstLine="0"/>
        <w:rPr>
          <w:rFonts w:eastAsia="Times New Roman"/>
          <w:bCs/>
          <w:szCs w:val="24"/>
        </w:rPr>
      </w:pPr>
      <w:r w:rsidRPr="00AB42C7">
        <w:rPr>
          <w:rFonts w:eastAsia="Times New Roman"/>
          <w:bCs/>
          <w:szCs w:val="24"/>
        </w:rPr>
        <w:t>That recommendation number 1 on report Item 11 is amended as follows:</w:t>
      </w:r>
    </w:p>
    <w:p w14:paraId="73E47E45" w14:textId="77777777" w:rsidR="00AB42C7" w:rsidRPr="00AB42C7" w:rsidRDefault="00AB42C7" w:rsidP="00C264D3">
      <w:pPr>
        <w:numPr>
          <w:ilvl w:val="0"/>
          <w:numId w:val="16"/>
        </w:numPr>
        <w:spacing w:after="0" w:line="240" w:lineRule="auto"/>
        <w:rPr>
          <w:bCs/>
          <w:szCs w:val="24"/>
        </w:rPr>
      </w:pPr>
      <w:r w:rsidRPr="00AB42C7">
        <w:rPr>
          <w:bCs/>
          <w:szCs w:val="24"/>
        </w:rPr>
        <w:t xml:space="preserve">Where a householder is applying for a permit that they want a commercial service provider to use to dispose of their household waste at a HRC, this will be permitted without the need for the householder to accompany the waste in question, subject to provision of relevant information when applying for the permit (list of their household waste items to be brought to the HRC on their behalf and details of the commercial service provider who will be using their permit).    </w:t>
      </w:r>
    </w:p>
    <w:p w14:paraId="52E2B3E8" w14:textId="77777777" w:rsidR="00AB42C7" w:rsidRPr="00AB42C7" w:rsidRDefault="00AB42C7" w:rsidP="00C264D3">
      <w:pPr>
        <w:spacing w:after="0" w:line="240" w:lineRule="auto"/>
        <w:rPr>
          <w:szCs w:val="24"/>
        </w:rPr>
      </w:pPr>
    </w:p>
    <w:p w14:paraId="5CB760D0" w14:textId="1655A12E" w:rsidR="00AB42C7" w:rsidRDefault="00AB42C7" w:rsidP="00C264D3">
      <w:pPr>
        <w:numPr>
          <w:ilvl w:val="0"/>
          <w:numId w:val="16"/>
        </w:numPr>
        <w:spacing w:after="0" w:line="240" w:lineRule="auto"/>
      </w:pPr>
      <w:r w:rsidRPr="00963034">
        <w:rPr>
          <w:rFonts w:eastAsia="Calibri"/>
          <w:bCs/>
          <w:szCs w:val="24"/>
        </w:rPr>
        <w:lastRenderedPageBreak/>
        <w:t>The provision relating to the requirement for a permit to be obtained for trailers greater than 6ft x 4 ft is confirmed, as detailed in the policy at Appendix 2.</w:t>
      </w:r>
    </w:p>
    <w:p w14:paraId="510E6DF3" w14:textId="77777777" w:rsidR="00AB42C7" w:rsidRDefault="00AB42C7" w:rsidP="00C264D3">
      <w:pPr>
        <w:spacing w:after="0" w:line="240" w:lineRule="auto"/>
      </w:pPr>
    </w:p>
    <w:p w14:paraId="5E3282A5" w14:textId="0209E7CE" w:rsidR="006829EC" w:rsidRDefault="00FF10EE" w:rsidP="00C264D3">
      <w:pPr>
        <w:spacing w:after="0"/>
      </w:pPr>
      <w:r>
        <w:t>Councillor Cathcart proposed, seconded by Alderman Armstrong-Cotter, that</w:t>
      </w:r>
      <w:r w:rsidR="006829EC">
        <w:t>:</w:t>
      </w:r>
    </w:p>
    <w:p w14:paraId="0EB9EBD1" w14:textId="77777777" w:rsidR="006829EC" w:rsidRPr="006829EC" w:rsidRDefault="006829EC" w:rsidP="00C264D3">
      <w:pPr>
        <w:spacing w:after="0" w:line="240" w:lineRule="auto"/>
        <w:ind w:left="0" w:right="0" w:firstLine="0"/>
        <w:rPr>
          <w:rFonts w:eastAsiaTheme="minorHAnsi"/>
          <w:color w:val="auto"/>
          <w:szCs w:val="24"/>
          <w:lang w:eastAsia="en-US"/>
        </w:rPr>
      </w:pPr>
      <w:r w:rsidRPr="006829EC">
        <w:rPr>
          <w:rFonts w:eastAsiaTheme="minorHAnsi"/>
          <w:color w:val="auto"/>
          <w:szCs w:val="24"/>
          <w:lang w:eastAsia="en-US"/>
        </w:rPr>
        <w:t>1. Where a householder is applying for a permit that they want a commercial service provider to use to dispose of their household waste at a HRC, this will be permitted without the need for the householder to accompany the waste in question, subject to provision of relevant information when applying for the permit (list of their household waste items to be brought to the HRC on their behalf and details of the commercial service provider who will be using their permit).</w:t>
      </w:r>
    </w:p>
    <w:p w14:paraId="0D987497" w14:textId="77777777" w:rsidR="006829EC" w:rsidRPr="006829EC" w:rsidRDefault="006829EC" w:rsidP="00C264D3">
      <w:pPr>
        <w:spacing w:after="0" w:line="240" w:lineRule="auto"/>
        <w:ind w:left="0" w:right="0" w:firstLine="0"/>
        <w:rPr>
          <w:rFonts w:eastAsiaTheme="minorHAnsi"/>
          <w:color w:val="auto"/>
          <w:szCs w:val="24"/>
          <w:lang w:eastAsia="en-US"/>
        </w:rPr>
      </w:pPr>
      <w:r w:rsidRPr="006829EC">
        <w:rPr>
          <w:rFonts w:eastAsiaTheme="minorHAnsi"/>
          <w:color w:val="auto"/>
          <w:szCs w:val="24"/>
          <w:lang w:eastAsia="en-US"/>
        </w:rPr>
        <w:t xml:space="preserve">    </w:t>
      </w:r>
    </w:p>
    <w:p w14:paraId="2CBD7928" w14:textId="77777777" w:rsidR="006829EC" w:rsidRPr="006829EC" w:rsidRDefault="006829EC" w:rsidP="00C264D3">
      <w:pPr>
        <w:spacing w:after="0" w:line="240" w:lineRule="auto"/>
        <w:ind w:left="0" w:right="0" w:firstLine="0"/>
        <w:rPr>
          <w:rFonts w:eastAsiaTheme="minorHAnsi"/>
          <w:color w:val="auto"/>
          <w:szCs w:val="24"/>
          <w:lang w:eastAsia="en-US"/>
        </w:rPr>
      </w:pPr>
      <w:r w:rsidRPr="006829EC">
        <w:rPr>
          <w:rFonts w:eastAsiaTheme="minorHAnsi"/>
          <w:color w:val="auto"/>
          <w:szCs w:val="24"/>
          <w:lang w:eastAsia="en-US"/>
        </w:rPr>
        <w:t>2. Council does not proceed with point 2 of the recommendation and maintains existing vehicle and trailer type restrictions.</w:t>
      </w:r>
    </w:p>
    <w:p w14:paraId="60FD0B1B" w14:textId="15FF8389" w:rsidR="006829EC" w:rsidRDefault="006829EC" w:rsidP="00C264D3">
      <w:pPr>
        <w:spacing w:after="0"/>
      </w:pPr>
    </w:p>
    <w:p w14:paraId="42FE3A36" w14:textId="76D97741" w:rsidR="006829EC" w:rsidRDefault="006829EC" w:rsidP="00C264D3">
      <w:pPr>
        <w:spacing w:after="0"/>
      </w:pPr>
      <w:r>
        <w:t xml:space="preserve">Councillor Cathcart </w:t>
      </w:r>
      <w:r w:rsidR="00A41953">
        <w:t xml:space="preserve">felt it would be inappropriate to change the vehicle and trailer requirements for users of the HRC which was his reasoning for the alternative proposal in relation to part 2. However, in terms of the addendum report, he </w:t>
      </w:r>
      <w:r>
        <w:t xml:space="preserve">was pleased that officers had </w:t>
      </w:r>
      <w:r w:rsidR="00A41953">
        <w:t>taken time to reflect</w:t>
      </w:r>
      <w:r>
        <w:t xml:space="preserve"> and felt that an online system would be better.</w:t>
      </w:r>
    </w:p>
    <w:p w14:paraId="4ADBF455" w14:textId="73393060" w:rsidR="006829EC" w:rsidRDefault="006829EC" w:rsidP="00C264D3">
      <w:pPr>
        <w:spacing w:after="0"/>
      </w:pPr>
    </w:p>
    <w:p w14:paraId="7401C85C" w14:textId="28135E3E" w:rsidR="006829EC" w:rsidRDefault="006829EC" w:rsidP="00C264D3">
      <w:pPr>
        <w:spacing w:after="0"/>
      </w:pPr>
      <w:r>
        <w:t xml:space="preserve">He asked for some clarification around the amended recommendation and the Director confirmed that </w:t>
      </w:r>
      <w:r w:rsidR="00872AC8">
        <w:t>it</w:t>
      </w:r>
      <w:r>
        <w:t xml:space="preserve"> would replace wording within the attached appendices.</w:t>
      </w:r>
    </w:p>
    <w:p w14:paraId="0A13317D" w14:textId="1D5E4E65" w:rsidR="00872AC8" w:rsidRDefault="00872AC8" w:rsidP="00C264D3">
      <w:pPr>
        <w:spacing w:after="0"/>
      </w:pPr>
    </w:p>
    <w:p w14:paraId="63C18956" w14:textId="7B6B004B" w:rsidR="00A41953" w:rsidRDefault="00872AC8" w:rsidP="00C264D3">
      <w:pPr>
        <w:spacing w:after="0"/>
      </w:pPr>
      <w:r>
        <w:t xml:space="preserve">Responding to a further query, the Director advised that </w:t>
      </w:r>
      <w:r w:rsidR="00F07473">
        <w:t>during the van/trailer permit application process</w:t>
      </w:r>
      <w:r>
        <w:t xml:space="preserve">, the </w:t>
      </w:r>
      <w:r w:rsidR="00F07473">
        <w:t>householder</w:t>
      </w:r>
      <w:r>
        <w:t xml:space="preserve"> </w:t>
      </w:r>
      <w:r w:rsidR="00A41953">
        <w:t xml:space="preserve">would need to </w:t>
      </w:r>
      <w:r w:rsidR="00323D9E">
        <w:t>indicate whether they were planning to bring the waste themselves or whether the permit and the waste would be brought to the HRC by someone else, either a commercial service provider or a friend/neighbour</w:t>
      </w:r>
      <w:r w:rsidR="000F5E47">
        <w:t xml:space="preserve">. </w:t>
      </w:r>
      <w:r w:rsidR="00323D9E">
        <w:t>Where the waste items were not being brought to the HRC by the permit applicant themselves, they would need to be listed when applying for the permit and the i</w:t>
      </w:r>
      <w:r w:rsidR="000F5E47">
        <w:t xml:space="preserve">nformation provided during the online application process would then be married up through an electronic system at point of disposal. Any additional items </w:t>
      </w:r>
      <w:r w:rsidR="00323D9E">
        <w:t xml:space="preserve">not listed on the permit </w:t>
      </w:r>
      <w:r w:rsidR="000F5E47">
        <w:t>would not be accepted.</w:t>
      </w:r>
    </w:p>
    <w:p w14:paraId="755626DD" w14:textId="72D4B793" w:rsidR="000F5E47" w:rsidRDefault="000F5E47" w:rsidP="000F5E47"/>
    <w:p w14:paraId="09B70F67" w14:textId="388B582E" w:rsidR="00872AC8" w:rsidRDefault="00872AC8" w:rsidP="006829EC">
      <w:r>
        <w:t xml:space="preserve">The software provider had ensured that the system was user friendly and </w:t>
      </w:r>
      <w:r w:rsidR="000F5E47">
        <w:t xml:space="preserve">specific details of the permit application </w:t>
      </w:r>
      <w:r>
        <w:t xml:space="preserve">could be processed within seconds. </w:t>
      </w:r>
      <w:r w:rsidR="00323D9E">
        <w:t>A telephone application option would be available for those not wishing to book online themselves.</w:t>
      </w:r>
    </w:p>
    <w:p w14:paraId="21E0C4B1" w14:textId="46E678B7" w:rsidR="00872AC8" w:rsidRDefault="00872AC8" w:rsidP="006829EC"/>
    <w:p w14:paraId="3376FC8D" w14:textId="77777777" w:rsidR="00F06EA6" w:rsidRDefault="00872AC8" w:rsidP="006829EC">
      <w:r>
        <w:t xml:space="preserve">Councillor Cathcart </w:t>
      </w:r>
      <w:r w:rsidR="00F06EA6">
        <w:t>appreciated that the officer had taken on board previous concerns in relation to those issues and he hoped Members would realise this was a much better policy where people were not asked for medical exemptions etc. It was a much simpler process adding the element to say that someone was disposing waste on your behalf.</w:t>
      </w:r>
    </w:p>
    <w:p w14:paraId="4501CF6B" w14:textId="77777777" w:rsidR="00F06EA6" w:rsidRDefault="00F06EA6" w:rsidP="006829EC"/>
    <w:p w14:paraId="2029B3A6" w14:textId="0A50BA49" w:rsidR="00F06EA6" w:rsidRDefault="00F06EA6" w:rsidP="006829EC">
      <w:r>
        <w:t xml:space="preserve">He had taken issue with the trailer </w:t>
      </w:r>
      <w:r w:rsidR="00323D9E">
        <w:t>aspect</w:t>
      </w:r>
      <w:r>
        <w:t xml:space="preserve"> as he felt it was simpler for staff to spot double or single axle trailers and the systems had been established and </w:t>
      </w:r>
      <w:r w:rsidR="000F5E47">
        <w:t>waste carriers</w:t>
      </w:r>
      <w:r>
        <w:t xml:space="preserve"> had adapted their vehicles and trailers around that policy.</w:t>
      </w:r>
    </w:p>
    <w:p w14:paraId="12B1EA16" w14:textId="432F3E1F" w:rsidR="00872AC8" w:rsidRDefault="00F06EA6" w:rsidP="006829EC">
      <w:r>
        <w:lastRenderedPageBreak/>
        <w:t>He welcomed much of the recommendation</w:t>
      </w:r>
      <w:r w:rsidR="000F5E47">
        <w:t xml:space="preserve"> </w:t>
      </w:r>
      <w:r>
        <w:t>that had come forward from this review and it would help to boost recycling but felt that it was important to stick to existing vehicle restrictions at this time.</w:t>
      </w:r>
    </w:p>
    <w:p w14:paraId="60860585" w14:textId="108E9FE7" w:rsidR="00F06EA6" w:rsidRDefault="00F06EA6" w:rsidP="006829EC"/>
    <w:p w14:paraId="7F613E29" w14:textId="560728BB" w:rsidR="000F5E47" w:rsidRDefault="000F5E47" w:rsidP="006829EC">
      <w:r>
        <w:t xml:space="preserve">On a side note, </w:t>
      </w:r>
      <w:r w:rsidR="00F06EA6">
        <w:t xml:space="preserve">Councillor Woods welcomed that recycling rates were up from the previous quarter. She asked for clarity around the </w:t>
      </w:r>
      <w:r>
        <w:t>review under discussion</w:t>
      </w:r>
      <w:r w:rsidR="00F06EA6">
        <w:t xml:space="preserve"> and the Director </w:t>
      </w:r>
      <w:r>
        <w:t>outlined the move to an</w:t>
      </w:r>
      <w:r w:rsidR="00F06EA6">
        <w:t xml:space="preserve"> online permit application system for </w:t>
      </w:r>
      <w:r>
        <w:t xml:space="preserve">HRC </w:t>
      </w:r>
      <w:r w:rsidR="00F06EA6">
        <w:t>access</w:t>
      </w:r>
      <w:r w:rsidR="00323D9E">
        <w:t>,</w:t>
      </w:r>
      <w:r w:rsidR="00F06EA6">
        <w:t xml:space="preserve"> </w:t>
      </w:r>
      <w:r>
        <w:t>which included the provisions for</w:t>
      </w:r>
      <w:r w:rsidR="00A76031">
        <w:t xml:space="preserve"> permit</w:t>
      </w:r>
      <w:r>
        <w:t xml:space="preserve"> applicants to allow someone else to carry</w:t>
      </w:r>
      <w:r w:rsidR="00A76031">
        <w:t xml:space="preserve"> and dispose of</w:t>
      </w:r>
      <w:r>
        <w:t xml:space="preserve"> waste on their behalf.</w:t>
      </w:r>
    </w:p>
    <w:p w14:paraId="164FC0F2" w14:textId="0CA9BE36" w:rsidR="0068443F" w:rsidRDefault="0068443F" w:rsidP="00323D9E">
      <w:pPr>
        <w:ind w:left="0" w:firstLine="0"/>
      </w:pPr>
    </w:p>
    <w:p w14:paraId="10AFD30A" w14:textId="2115D11B" w:rsidR="00A76031" w:rsidRDefault="0068443F" w:rsidP="0068443F">
      <w:r>
        <w:t xml:space="preserve">Councillor Woods felt it was adding another level of </w:t>
      </w:r>
      <w:r w:rsidR="00323D9E">
        <w:t>bureaucracy,</w:t>
      </w:r>
      <w:r>
        <w:t xml:space="preserve"> but the Director </w:t>
      </w:r>
      <w:r w:rsidR="00A76031">
        <w:t>said</w:t>
      </w:r>
      <w:r>
        <w:t xml:space="preserve"> that </w:t>
      </w:r>
      <w:r w:rsidR="00323D9E">
        <w:t xml:space="preserve">he believed </w:t>
      </w:r>
      <w:r>
        <w:t xml:space="preserve">it would make the system more efficient as site </w:t>
      </w:r>
      <w:r w:rsidR="00323D9E">
        <w:t>staff</w:t>
      </w:r>
      <w:r>
        <w:t xml:space="preserve"> would know in advance what waste would be </w:t>
      </w:r>
      <w:r w:rsidR="00A76031">
        <w:t>arriving</w:t>
      </w:r>
      <w:r>
        <w:t xml:space="preserve"> and it would allow</w:t>
      </w:r>
      <w:r w:rsidR="00A76031">
        <w:t xml:space="preserve"> for</w:t>
      </w:r>
      <w:r>
        <w:t xml:space="preserve"> better control</w:t>
      </w:r>
      <w:r w:rsidR="00323D9E">
        <w:t xml:space="preserve"> of waste disposal at our sites</w:t>
      </w:r>
      <w:r>
        <w:t xml:space="preserve">. </w:t>
      </w:r>
      <w:r w:rsidR="00A76031">
        <w:t>It was also remove</w:t>
      </w:r>
      <w:r w:rsidR="00323D9E">
        <w:t>d</w:t>
      </w:r>
      <w:r w:rsidR="00A76031">
        <w:t xml:space="preserve"> the need for a three</w:t>
      </w:r>
      <w:r w:rsidR="00323D9E">
        <w:t>-</w:t>
      </w:r>
      <w:r w:rsidR="00A76031">
        <w:t xml:space="preserve">day advance notice period as that </w:t>
      </w:r>
      <w:r w:rsidR="00323D9E">
        <w:t>had been</w:t>
      </w:r>
      <w:r w:rsidR="00A76031">
        <w:t xml:space="preserve"> </w:t>
      </w:r>
      <w:r w:rsidR="00323D9E">
        <w:t>necessitated by the</w:t>
      </w:r>
      <w:r w:rsidR="00A76031">
        <w:t xml:space="preserve"> paper</w:t>
      </w:r>
      <w:r w:rsidR="00323D9E">
        <w:t>-based</w:t>
      </w:r>
      <w:r w:rsidR="00A76031">
        <w:t xml:space="preserve"> system. </w:t>
      </w:r>
    </w:p>
    <w:p w14:paraId="0BC1FF2F" w14:textId="2C675ACF" w:rsidR="00A76031" w:rsidRDefault="00A76031" w:rsidP="00323D9E">
      <w:pPr>
        <w:ind w:left="0" w:firstLine="0"/>
      </w:pPr>
    </w:p>
    <w:p w14:paraId="14137B89" w14:textId="2BDF6933" w:rsidR="00A76031" w:rsidRDefault="00A76031" w:rsidP="0068443F">
      <w:r>
        <w:t>In a final query from the Member, the Director clarified that, in the event of a household clearance following a death, the executor or personal representative of the deceased would be responsible for the permit application</w:t>
      </w:r>
      <w:r w:rsidR="00323D9E">
        <w:t xml:space="preserve"> and should be able to provide necessary proof of residence information</w:t>
      </w:r>
      <w:r>
        <w:t>.</w:t>
      </w:r>
    </w:p>
    <w:p w14:paraId="16E791F5" w14:textId="4CD72125" w:rsidR="00FF10EE" w:rsidRDefault="00FF10EE" w:rsidP="0006329D"/>
    <w:p w14:paraId="741F6AAB" w14:textId="6C6D55A0" w:rsidR="00FF10EE" w:rsidRDefault="0068443F" w:rsidP="0006329D">
      <w:r>
        <w:t xml:space="preserve">Councillor McKee welcomed the addendum as it dealt with </w:t>
      </w:r>
      <w:r w:rsidR="00162121">
        <w:t>previous</w:t>
      </w:r>
      <w:r>
        <w:t xml:space="preserve"> concerns that the Committee had expressed. He</w:t>
      </w:r>
      <w:r w:rsidR="00A76031">
        <w:t xml:space="preserve"> shared the </w:t>
      </w:r>
      <w:r>
        <w:t>same concerns</w:t>
      </w:r>
      <w:r w:rsidR="00A76031">
        <w:t xml:space="preserve"> as the proposer</w:t>
      </w:r>
      <w:r>
        <w:t xml:space="preserve"> around the trailer changes and feared </w:t>
      </w:r>
      <w:r w:rsidR="00162121">
        <w:t xml:space="preserve">Council would </w:t>
      </w:r>
      <w:r>
        <w:t>be</w:t>
      </w:r>
      <w:r w:rsidR="00A76031">
        <w:t xml:space="preserve"> unfairly</w:t>
      </w:r>
      <w:r>
        <w:t xml:space="preserve"> changing the goal posts for </w:t>
      </w:r>
      <w:r w:rsidR="00162121">
        <w:t xml:space="preserve">those people who had purchased trailers to </w:t>
      </w:r>
      <w:r w:rsidR="00A76031">
        <w:t>comply with</w:t>
      </w:r>
      <w:r w:rsidR="00162121">
        <w:t xml:space="preserve"> existing vehicle and trailer requirements. He asked </w:t>
      </w:r>
      <w:r w:rsidR="003F7F13">
        <w:t>for clarity on why officers wanted to change the current vehicle and trailer policy.</w:t>
      </w:r>
    </w:p>
    <w:p w14:paraId="0B417B46" w14:textId="6A22EAFE" w:rsidR="00162121" w:rsidRDefault="00162121" w:rsidP="0006329D"/>
    <w:p w14:paraId="14C46C24" w14:textId="59B549F7" w:rsidR="001A6EA7" w:rsidRDefault="00162121" w:rsidP="001A6EA7">
      <w:r>
        <w:t>The Director advised that</w:t>
      </w:r>
      <w:r w:rsidR="003F7F13">
        <w:t xml:space="preserve"> the move to 6x4 trailer restrictions would eliminate a loophole and prevent </w:t>
      </w:r>
      <w:r w:rsidR="00323D9E">
        <w:t>persistent</w:t>
      </w:r>
      <w:r w:rsidR="003F7F13">
        <w:t xml:space="preserve"> abuse by carriers that were disposing of commercial waste without a permit.</w:t>
      </w:r>
      <w:r w:rsidR="001A6EA7">
        <w:t xml:space="preserve">  He clarified that a householder with a larger than 6 x 4 ft trailer would not have been denied access to a HRC with their household waste, but rather could readily get access via a permit using the new efficient online system. The benefit would mean it would limit the abuse of those people coming in with what was suspected to be commercial waste, as they would be required to apply for a permit for every visit if their trailer exceeded the proposed 6 x 4 ft size. The permit system would enable officers to much more easily identity any abuse of the system. He added that the online permit application system could go live in a matter of weeks, once agreed by the Council.</w:t>
      </w:r>
    </w:p>
    <w:p w14:paraId="6201AF74" w14:textId="77777777" w:rsidR="003F7F13" w:rsidRDefault="003F7F13" w:rsidP="001A6EA7">
      <w:pPr>
        <w:ind w:left="0" w:firstLine="0"/>
      </w:pPr>
    </w:p>
    <w:p w14:paraId="1C3B25B5" w14:textId="1234F5BF" w:rsidR="00162121" w:rsidRDefault="001A6EA7" w:rsidP="002467BB">
      <w:r>
        <w:t>The Director also clarified that a householder</w:t>
      </w:r>
      <w:r w:rsidR="00162121">
        <w:t xml:space="preserve"> coming in </w:t>
      </w:r>
      <w:r>
        <w:t xml:space="preserve">regularly </w:t>
      </w:r>
      <w:r w:rsidR="00162121">
        <w:t xml:space="preserve">with a larger trailer </w:t>
      </w:r>
      <w:r>
        <w:t>containing</w:t>
      </w:r>
      <w:r w:rsidR="00162121">
        <w:t xml:space="preserve"> </w:t>
      </w:r>
      <w:r>
        <w:t>compostable</w:t>
      </w:r>
      <w:r w:rsidR="00162121">
        <w:t xml:space="preserve"> garden waste </w:t>
      </w:r>
      <w:r>
        <w:t>only needed to</w:t>
      </w:r>
      <w:r w:rsidR="00162121">
        <w:t xml:space="preserve"> apply </w:t>
      </w:r>
      <w:r>
        <w:t>annually for a</w:t>
      </w:r>
      <w:r w:rsidR="00162121">
        <w:t xml:space="preserve"> </w:t>
      </w:r>
      <w:r>
        <w:t xml:space="preserve">multi-use garden waste </w:t>
      </w:r>
      <w:r w:rsidR="00162121">
        <w:t>permit</w:t>
      </w:r>
      <w:r w:rsidR="002467BB">
        <w:t>.</w:t>
      </w:r>
      <w:r w:rsidR="00162121">
        <w:t xml:space="preserve"> </w:t>
      </w:r>
    </w:p>
    <w:p w14:paraId="7DE5F598" w14:textId="7A0BC439" w:rsidR="00162121" w:rsidRDefault="00162121" w:rsidP="0006329D"/>
    <w:p w14:paraId="74AB60A4" w14:textId="1AE36A5D" w:rsidR="00162121" w:rsidRDefault="00162121" w:rsidP="001D71E0">
      <w:r>
        <w:t>Councillor Boyle felt it important that members did not forget that these were household and not commercial recycling centre</w:t>
      </w:r>
      <w:r w:rsidR="002467BB">
        <w:t xml:space="preserve">s and did not want to see staff put in a difficult situation in terms of rejecting waste that was not itemised </w:t>
      </w:r>
      <w:r w:rsidR="001D71E0">
        <w:t>by the applicant.</w:t>
      </w:r>
      <w:r w:rsidR="002467BB">
        <w:t xml:space="preserve"> </w:t>
      </w:r>
      <w:r w:rsidR="002467BB">
        <w:lastRenderedPageBreak/>
        <w:t xml:space="preserve">He was pleased though that it would </w:t>
      </w:r>
      <w:r>
        <w:t xml:space="preserve">eliminate the need </w:t>
      </w:r>
      <w:r w:rsidR="002467BB">
        <w:t xml:space="preserve">for situations where the householder had to accompany a stranger in a van to dispose of their waste. </w:t>
      </w:r>
    </w:p>
    <w:p w14:paraId="341A7963" w14:textId="76AFA267" w:rsidR="00D81782" w:rsidRDefault="00D81782" w:rsidP="0006329D"/>
    <w:p w14:paraId="4AF648A5" w14:textId="27A098CF" w:rsidR="00D81782" w:rsidRDefault="00D81782" w:rsidP="0006329D">
      <w:r>
        <w:t xml:space="preserve">Councillor Boyle appreciated the importance of householders making sure neighbours or friends taking rubbish to the HRC on their behalf were </w:t>
      </w:r>
      <w:r w:rsidR="00A329D8">
        <w:t>following the guidance and pointed to a fly tipping incident where a bathroom suite was disposed of on the roadside because the HRC was closed.</w:t>
      </w:r>
      <w:r w:rsidR="001D71E0">
        <w:t xml:space="preserve"> The waste contained information that was easily traced back.</w:t>
      </w:r>
    </w:p>
    <w:p w14:paraId="37E63CE9" w14:textId="16BB94FB" w:rsidR="00A329D8" w:rsidRDefault="00A329D8" w:rsidP="0006329D"/>
    <w:p w14:paraId="354F2EF6" w14:textId="0BC90F23" w:rsidR="00A329D8" w:rsidRDefault="00A329D8" w:rsidP="0006329D">
      <w:r>
        <w:t>The Director reaffirmed that the onus was on the householder to ensure they trusted the person taking the waste. There were examples</w:t>
      </w:r>
      <w:r w:rsidR="001D71E0">
        <w:t xml:space="preserve">, such as this, where </w:t>
      </w:r>
      <w:r>
        <w:t xml:space="preserve">householders </w:t>
      </w:r>
      <w:r w:rsidR="001D71E0">
        <w:t>had fallen foul</w:t>
      </w:r>
      <w:r w:rsidR="001A6EA7">
        <w:t xml:space="preserve"> of the consequences of their waste ending up somewhere it shouldn’t have</w:t>
      </w:r>
      <w:r w:rsidR="001D71E0">
        <w:t>.</w:t>
      </w:r>
    </w:p>
    <w:p w14:paraId="025AD89E" w14:textId="7234DDF7" w:rsidR="00A329D8" w:rsidRDefault="00A329D8" w:rsidP="0006329D"/>
    <w:p w14:paraId="71345241" w14:textId="179EFBC9" w:rsidR="00A329D8" w:rsidRDefault="00A329D8" w:rsidP="0006329D">
      <w:r>
        <w:t>Councillor Irwin proposed an amendment, seconded by Councillor McAlpine, that Council accepts the officer’s recommendations in respect of Items 1 and 2.</w:t>
      </w:r>
    </w:p>
    <w:p w14:paraId="492E0D09" w14:textId="06B6E2E5" w:rsidR="00434BC2" w:rsidRDefault="00434BC2" w:rsidP="0006329D"/>
    <w:p w14:paraId="312B2FC1" w14:textId="6D72F240" w:rsidR="00434BC2" w:rsidRDefault="00434BC2" w:rsidP="0006329D">
      <w:r>
        <w:t>Councillor Woods and Alderman Armstrong-Cotter challenged the proposed amendment and felt that it was a direct negative of the proposal, however Councillor Irwin later clarified that she was proposing the officer’s amended recommendation from the addendum report and the chair was content for the amendment to proceed.</w:t>
      </w:r>
    </w:p>
    <w:p w14:paraId="2DF34DA9" w14:textId="69F723AF" w:rsidR="00FC26B5" w:rsidRDefault="00FC26B5" w:rsidP="0006329D"/>
    <w:p w14:paraId="656EC468" w14:textId="7BD42238" w:rsidR="00405EEF" w:rsidRDefault="00434BC2" w:rsidP="0006329D">
      <w:r>
        <w:t xml:space="preserve">Outlining </w:t>
      </w:r>
      <w:r w:rsidR="00525179">
        <w:t>her</w:t>
      </w:r>
      <w:r>
        <w:t xml:space="preserve"> amendment, </w:t>
      </w:r>
      <w:r w:rsidR="00A329D8">
        <w:t xml:space="preserve">Councillor Irwin </w:t>
      </w:r>
      <w:r w:rsidR="00525179">
        <w:t xml:space="preserve">noted that the vehicle and trailer amendments in relation to point two of the recommendation were in response to a loophole that had been identified by officers and it was right to support them in closing it given the consequences. In respect of the point one of the recommendations, as </w:t>
      </w:r>
      <w:r w:rsidR="00405EEF">
        <w:t>long as Officers were satisfied that part one of the proposal met legal obligations then she was satisfied with that.</w:t>
      </w:r>
    </w:p>
    <w:p w14:paraId="5861A599" w14:textId="77777777" w:rsidR="00405EEF" w:rsidRDefault="00405EEF" w:rsidP="0006329D"/>
    <w:p w14:paraId="613133E0" w14:textId="1F00B969" w:rsidR="00FC26B5" w:rsidRDefault="00525179" w:rsidP="0006329D">
      <w:r>
        <w:t xml:space="preserve">The seconder, </w:t>
      </w:r>
      <w:r w:rsidR="00405EEF">
        <w:t>Councillor McAlpine recognised</w:t>
      </w:r>
      <w:r w:rsidR="00420005">
        <w:t xml:space="preserve"> that as</w:t>
      </w:r>
      <w:r w:rsidR="00405EEF">
        <w:t xml:space="preserve"> there was so much money at stake</w:t>
      </w:r>
      <w:r w:rsidR="00420005">
        <w:t>,</w:t>
      </w:r>
      <w:r w:rsidR="00405EEF">
        <w:t xml:space="preserve"> it was important to identify and close loopholes. She felt that the policies in the recommendations were very well thought out and Members should support them.</w:t>
      </w:r>
    </w:p>
    <w:p w14:paraId="2281A5EC" w14:textId="62C711B8" w:rsidR="00525179" w:rsidRDefault="00525179" w:rsidP="0006329D"/>
    <w:p w14:paraId="09FFA886" w14:textId="13EFEADF" w:rsidR="00525179" w:rsidRDefault="00FD210A" w:rsidP="0006329D">
      <w:r>
        <w:t xml:space="preserve">Unable to support the proposed new trailer and vehicle restrictions, </w:t>
      </w:r>
      <w:r w:rsidR="00525179">
        <w:t xml:space="preserve">Alderman Armstrong-Cotter </w:t>
      </w:r>
      <w:r w:rsidR="006A7940">
        <w:t xml:space="preserve">was aware of HRC users who had purchased new trailers or made changes in order to comply with the existing policy and </w:t>
      </w:r>
      <w:r w:rsidR="00D23FBF">
        <w:t xml:space="preserve">she </w:t>
      </w:r>
      <w:r w:rsidR="006A7940">
        <w:t xml:space="preserve">was not comfortable in changing that policy. She welcomed the </w:t>
      </w:r>
      <w:r w:rsidR="00D23FBF">
        <w:t>Director’s</w:t>
      </w:r>
      <w:r w:rsidR="006A7940">
        <w:t xml:space="preserve"> clarification that waste transportation on behalf of a householder was not illegal and that the new system had provisions for people to instruct others to carry their waste rather than have to put themselves in vulnerable situations and accompany </w:t>
      </w:r>
      <w:r w:rsidR="00D23FBF">
        <w:t>a stranger to the HRC. In addition, she welcomed that the three day wait would no longer be in operation and assumed that users could book a time that suited and that there would be assistance for those not comfortable with the online system.</w:t>
      </w:r>
    </w:p>
    <w:p w14:paraId="327A1A4B" w14:textId="114F87F7" w:rsidR="00405EEF" w:rsidRDefault="00405EEF" w:rsidP="0006329D"/>
    <w:p w14:paraId="66748A79" w14:textId="12900AC4" w:rsidR="00BC1ACF" w:rsidRDefault="00525179" w:rsidP="0006329D">
      <w:r>
        <w:t xml:space="preserve">Councillor Smart welcomed the recommendation from the </w:t>
      </w:r>
      <w:r w:rsidR="00D23FBF">
        <w:t>addendum</w:t>
      </w:r>
      <w:r>
        <w:t xml:space="preserve"> report, feeling that it was an effective system however he </w:t>
      </w:r>
      <w:r w:rsidR="00D23FBF">
        <w:t xml:space="preserve">took the same view as the initial proposer and seconder that changing vehicle and trailer restrictions would lead to potential </w:t>
      </w:r>
      <w:r w:rsidR="00D23FBF">
        <w:lastRenderedPageBreak/>
        <w:t>confusion when many, at significant expense, had already adapted to the existing requirements.</w:t>
      </w:r>
    </w:p>
    <w:p w14:paraId="540E8B1B" w14:textId="77777777" w:rsidR="00525179" w:rsidRDefault="00525179" w:rsidP="0006329D"/>
    <w:p w14:paraId="127187BC" w14:textId="7CA6B1F2" w:rsidR="00FC26B5" w:rsidRDefault="00D23FBF" w:rsidP="00FD210A">
      <w:r>
        <w:t>Summing up, Councillor Cathcart</w:t>
      </w:r>
      <w:r w:rsidR="00FD210A">
        <w:t xml:space="preserve">, on clarification from the Director, </w:t>
      </w:r>
      <w:r>
        <w:t>recognised that garden waste would be treated separately and a multi-use permit could be purchased on an annual basis to provide compostable waste carriers with unlimited access regardless of their trailer size. He did not believe though that altering the size of the trailer would make much difference, the key element was the separation of waste</w:t>
      </w:r>
      <w:r w:rsidR="00FD210A">
        <w:t xml:space="preserve"> and it would be easy for staff to identify the single and double axle trailers.</w:t>
      </w:r>
    </w:p>
    <w:p w14:paraId="22059311" w14:textId="4AE7BA48" w:rsidR="00FD210A" w:rsidRDefault="00FD210A" w:rsidP="00FD210A"/>
    <w:p w14:paraId="36E24475" w14:textId="68581567" w:rsidR="00FD210A" w:rsidRDefault="00FD210A" w:rsidP="00FD210A">
      <w:r>
        <w:t>The amendment, on being put to the meeting, with 4 voting FOR, 9 voting AGAINST, 0 ABSTAINING and 3 ABSENT, the amendment FELL.</w:t>
      </w:r>
    </w:p>
    <w:p w14:paraId="24FBAABA" w14:textId="65D1663D" w:rsidR="00FD210A" w:rsidRDefault="00FD210A" w:rsidP="00FD210A"/>
    <w:p w14:paraId="2D4C315A" w14:textId="442A549F" w:rsidR="00FD210A" w:rsidRDefault="00FD210A" w:rsidP="00FD210A">
      <w:r>
        <w:t>A vote was taken on the original proposal. On being put to the meeting, with 12 voting FOR, 0 voting AGAINST, 1 ABSTAINING and 3 ABSENT the proposal was declared CARRIED.</w:t>
      </w:r>
    </w:p>
    <w:p w14:paraId="26FD3A38" w14:textId="5BAF43BE" w:rsidR="00FD210A" w:rsidRDefault="00FD210A" w:rsidP="00FD210A"/>
    <w:p w14:paraId="6DC6C236" w14:textId="1B8314CF" w:rsidR="00FD210A" w:rsidRDefault="00FD210A" w:rsidP="00FD210A">
      <w:pPr>
        <w:rPr>
          <w:rFonts w:eastAsiaTheme="minorHAnsi"/>
          <w:b/>
          <w:bCs/>
          <w:szCs w:val="24"/>
        </w:rPr>
      </w:pPr>
      <w:r w:rsidRPr="00106149">
        <w:rPr>
          <w:rFonts w:eastAsiaTheme="minorHAnsi"/>
          <w:b/>
          <w:bCs/>
          <w:szCs w:val="24"/>
        </w:rPr>
        <w:t xml:space="preserve">AGREED, on the proposal of </w:t>
      </w:r>
      <w:r>
        <w:rPr>
          <w:rFonts w:eastAsiaTheme="minorHAnsi"/>
          <w:b/>
          <w:bCs/>
          <w:szCs w:val="24"/>
        </w:rPr>
        <w:t>Councillor Cathcart,</w:t>
      </w:r>
      <w:r w:rsidRPr="00106149">
        <w:rPr>
          <w:rFonts w:eastAsiaTheme="minorHAnsi"/>
          <w:b/>
          <w:bCs/>
          <w:szCs w:val="24"/>
        </w:rPr>
        <w:t xml:space="preserve"> seconded by </w:t>
      </w:r>
      <w:r>
        <w:rPr>
          <w:rFonts w:eastAsiaTheme="minorHAnsi"/>
          <w:b/>
          <w:bCs/>
          <w:szCs w:val="24"/>
        </w:rPr>
        <w:t>Alderman Armstrong-Cotter</w:t>
      </w:r>
      <w:r w:rsidRPr="00106149">
        <w:rPr>
          <w:rFonts w:eastAsiaTheme="minorHAnsi"/>
          <w:b/>
          <w:bCs/>
          <w:szCs w:val="24"/>
        </w:rPr>
        <w:t>, that</w:t>
      </w:r>
      <w:r>
        <w:rPr>
          <w:rFonts w:eastAsiaTheme="minorHAnsi"/>
          <w:b/>
          <w:bCs/>
          <w:szCs w:val="24"/>
        </w:rPr>
        <w:t>:</w:t>
      </w:r>
    </w:p>
    <w:p w14:paraId="0EC2152E" w14:textId="46B3403B" w:rsidR="00FD210A" w:rsidRDefault="00FD210A" w:rsidP="00FD210A">
      <w:pPr>
        <w:rPr>
          <w:rFonts w:eastAsiaTheme="minorHAnsi"/>
          <w:b/>
          <w:bCs/>
          <w:szCs w:val="24"/>
        </w:rPr>
      </w:pPr>
    </w:p>
    <w:p w14:paraId="3873A4EA" w14:textId="77777777" w:rsidR="00FD210A" w:rsidRPr="00FD210A" w:rsidRDefault="00FD210A" w:rsidP="00FD210A">
      <w:pPr>
        <w:rPr>
          <w:b/>
          <w:bCs/>
        </w:rPr>
      </w:pPr>
      <w:r w:rsidRPr="00FD210A">
        <w:rPr>
          <w:b/>
          <w:bCs/>
        </w:rPr>
        <w:t>1. Where a householder is applying for a permit that they want a commercial service provider to use to dispose of their household waste at a HRC, this will be permitted without the need for the householder to accompany the waste in question, subject to provision of relevant information when applying for the permit (list of their household waste items to be brought to the HRC on their behalf and details of the commercial service provider who will be using their permit).</w:t>
      </w:r>
    </w:p>
    <w:p w14:paraId="478A81EB" w14:textId="77777777" w:rsidR="00FD210A" w:rsidRPr="00FD210A" w:rsidRDefault="00FD210A" w:rsidP="00FD210A">
      <w:pPr>
        <w:rPr>
          <w:b/>
          <w:bCs/>
        </w:rPr>
      </w:pPr>
      <w:r w:rsidRPr="00FD210A">
        <w:rPr>
          <w:b/>
          <w:bCs/>
        </w:rPr>
        <w:t xml:space="preserve">    </w:t>
      </w:r>
    </w:p>
    <w:p w14:paraId="498821CB" w14:textId="2A5895CA" w:rsidR="00D23FBF" w:rsidRDefault="00FD210A" w:rsidP="0006329D">
      <w:r w:rsidRPr="00FD210A">
        <w:rPr>
          <w:b/>
          <w:bCs/>
        </w:rPr>
        <w:t>2. Council does not proceed with point 2 of the recommendation and maintains existing vehicle and trailer type restrictions.</w:t>
      </w:r>
    </w:p>
    <w:p w14:paraId="3FDCD73C" w14:textId="77777777" w:rsidR="00D23FBF" w:rsidRPr="00730D1B" w:rsidRDefault="00D23FBF" w:rsidP="0006329D"/>
    <w:p w14:paraId="75E5D944" w14:textId="61034508" w:rsidR="00A96D3A" w:rsidRPr="00C264D3" w:rsidRDefault="00A96D3A" w:rsidP="00C264D3">
      <w:pPr>
        <w:rPr>
          <w:rFonts w:ascii="Arial Bold" w:hAnsi="Arial Bold"/>
          <w:b/>
          <w:bCs/>
          <w:caps/>
          <w:sz w:val="28"/>
          <w:szCs w:val="28"/>
          <w:u w:val="single"/>
        </w:rPr>
      </w:pPr>
      <w:r w:rsidRPr="00C264D3">
        <w:rPr>
          <w:rFonts w:ascii="Arial Bold" w:hAnsi="Arial Bold"/>
          <w:b/>
          <w:bCs/>
          <w:caps/>
          <w:sz w:val="28"/>
          <w:szCs w:val="28"/>
          <w:u w:val="single"/>
        </w:rPr>
        <w:t xml:space="preserve">Exclusion of Public/Press </w:t>
      </w:r>
    </w:p>
    <w:p w14:paraId="0DCD0589" w14:textId="77777777" w:rsidR="00A96D3A" w:rsidRDefault="00A96D3A" w:rsidP="00A96D3A">
      <w:pPr>
        <w:spacing w:after="0" w:line="240" w:lineRule="auto"/>
        <w:rPr>
          <w:rFonts w:eastAsiaTheme="minorHAnsi"/>
          <w:szCs w:val="24"/>
        </w:rPr>
      </w:pPr>
    </w:p>
    <w:p w14:paraId="0D5A07C1" w14:textId="23773F40" w:rsidR="00A96D3A" w:rsidRDefault="00A96D3A" w:rsidP="00A96D3A">
      <w:pPr>
        <w:spacing w:after="0" w:line="240" w:lineRule="auto"/>
        <w:rPr>
          <w:rFonts w:eastAsiaTheme="minorHAnsi"/>
          <w:b/>
          <w:bCs/>
          <w:szCs w:val="24"/>
        </w:rPr>
      </w:pPr>
      <w:bookmarkStart w:id="7" w:name="_Hlk118712271"/>
      <w:r w:rsidRPr="00106149">
        <w:rPr>
          <w:rFonts w:eastAsiaTheme="minorHAnsi"/>
          <w:b/>
          <w:bCs/>
          <w:szCs w:val="24"/>
        </w:rPr>
        <w:t xml:space="preserve">AGREED, on the proposal of </w:t>
      </w:r>
      <w:r>
        <w:rPr>
          <w:rFonts w:eastAsiaTheme="minorHAnsi"/>
          <w:b/>
          <w:bCs/>
          <w:szCs w:val="24"/>
        </w:rPr>
        <w:t xml:space="preserve">Councillor </w:t>
      </w:r>
      <w:r w:rsidR="00730D1B">
        <w:rPr>
          <w:rFonts w:eastAsiaTheme="minorHAnsi"/>
          <w:b/>
          <w:bCs/>
          <w:szCs w:val="24"/>
        </w:rPr>
        <w:t>Cathcart</w:t>
      </w:r>
      <w:r>
        <w:rPr>
          <w:rFonts w:eastAsiaTheme="minorHAnsi"/>
          <w:b/>
          <w:bCs/>
          <w:szCs w:val="24"/>
        </w:rPr>
        <w:t>,</w:t>
      </w:r>
      <w:r w:rsidRPr="00106149">
        <w:rPr>
          <w:rFonts w:eastAsiaTheme="minorHAnsi"/>
          <w:b/>
          <w:bCs/>
          <w:szCs w:val="24"/>
        </w:rPr>
        <w:t xml:space="preserve"> seconded by </w:t>
      </w:r>
      <w:r>
        <w:rPr>
          <w:rFonts w:eastAsiaTheme="minorHAnsi"/>
          <w:b/>
          <w:bCs/>
          <w:szCs w:val="24"/>
        </w:rPr>
        <w:t>Councillor</w:t>
      </w:r>
      <w:r w:rsidR="00730D1B">
        <w:rPr>
          <w:rFonts w:eastAsiaTheme="minorHAnsi"/>
          <w:b/>
          <w:bCs/>
          <w:szCs w:val="24"/>
        </w:rPr>
        <w:t xml:space="preserve"> </w:t>
      </w:r>
      <w:r w:rsidR="00FD210A">
        <w:rPr>
          <w:rFonts w:eastAsiaTheme="minorHAnsi"/>
          <w:b/>
          <w:bCs/>
          <w:szCs w:val="24"/>
        </w:rPr>
        <w:t>Boyle</w:t>
      </w:r>
      <w:r w:rsidRPr="00106149">
        <w:rPr>
          <w:rFonts w:eastAsiaTheme="minorHAnsi"/>
          <w:b/>
          <w:bCs/>
          <w:szCs w:val="24"/>
        </w:rPr>
        <w:t xml:space="preserve">, that </w:t>
      </w:r>
      <w:bookmarkEnd w:id="7"/>
      <w:r w:rsidRPr="00106149">
        <w:rPr>
          <w:rFonts w:eastAsiaTheme="minorHAnsi"/>
          <w:b/>
          <w:bCs/>
          <w:szCs w:val="24"/>
        </w:rPr>
        <w:t>the public/press be excluded during the discussion of the undernoted items of confidential business.</w:t>
      </w:r>
    </w:p>
    <w:p w14:paraId="30C23E10" w14:textId="26D3AE0D" w:rsidR="00FD210A" w:rsidRDefault="00FD210A" w:rsidP="00A96D3A">
      <w:pPr>
        <w:spacing w:after="0" w:line="240" w:lineRule="auto"/>
        <w:rPr>
          <w:rFonts w:eastAsiaTheme="minorHAnsi"/>
          <w:b/>
          <w:bCs/>
          <w:szCs w:val="24"/>
        </w:rPr>
      </w:pPr>
    </w:p>
    <w:p w14:paraId="21C8F214" w14:textId="701A539F" w:rsidR="00FD210A" w:rsidRPr="00FD210A" w:rsidRDefault="00FD210A" w:rsidP="00A96D3A">
      <w:pPr>
        <w:spacing w:after="0" w:line="240" w:lineRule="auto"/>
        <w:rPr>
          <w:rFonts w:eastAsiaTheme="minorHAnsi"/>
          <w:szCs w:val="24"/>
        </w:rPr>
      </w:pPr>
      <w:r w:rsidRPr="00FD210A">
        <w:rPr>
          <w:rFonts w:eastAsiaTheme="minorHAnsi"/>
          <w:szCs w:val="24"/>
        </w:rPr>
        <w:t>(The meeting went into recess at 9.07pm and resumed at 9.17pm)</w:t>
      </w:r>
    </w:p>
    <w:p w14:paraId="4F10507A" w14:textId="77777777" w:rsidR="00FD210A" w:rsidRDefault="00FD210A" w:rsidP="00A96D3A">
      <w:pPr>
        <w:spacing w:after="0" w:line="240" w:lineRule="auto"/>
        <w:rPr>
          <w:rFonts w:eastAsiaTheme="minorHAnsi"/>
          <w:b/>
          <w:bCs/>
          <w:szCs w:val="24"/>
        </w:rPr>
      </w:pPr>
    </w:p>
    <w:p w14:paraId="3BD29B4D" w14:textId="3D427F79" w:rsidR="00F14864" w:rsidRDefault="00F14864" w:rsidP="00F14864">
      <w:pPr>
        <w:pStyle w:val="Heading1"/>
        <w:ind w:left="720" w:hanging="720"/>
      </w:pPr>
      <w:r w:rsidRPr="00C264D3">
        <w:rPr>
          <w:u w:val="none"/>
        </w:rPr>
        <w:t>3.</w:t>
      </w:r>
      <w:r w:rsidRPr="00C264D3">
        <w:rPr>
          <w:u w:val="none"/>
        </w:rPr>
        <w:tab/>
      </w:r>
      <w:r w:rsidRPr="00153899">
        <w:t>Environment Directorate Budgetary Control Report – month 6 to 30 September 2022</w:t>
      </w:r>
      <w:r>
        <w:t xml:space="preserve"> (FILE FIN45 / 40012) (CONTINUED)</w:t>
      </w:r>
    </w:p>
    <w:p w14:paraId="3B211F65" w14:textId="77777777" w:rsidR="00F14864" w:rsidRPr="00F14864" w:rsidRDefault="00F14864" w:rsidP="00F14864"/>
    <w:p w14:paraId="5885C1D2" w14:textId="77777777" w:rsidR="00835DC9" w:rsidRPr="00835DC9" w:rsidRDefault="00835DC9" w:rsidP="00835DC9">
      <w:pPr>
        <w:spacing w:after="0" w:line="240" w:lineRule="auto"/>
        <w:ind w:left="720" w:hanging="720"/>
        <w:rPr>
          <w:b/>
          <w:bCs/>
          <w:sz w:val="28"/>
          <w:szCs w:val="28"/>
        </w:rPr>
      </w:pPr>
      <w:r w:rsidRPr="00835DC9">
        <w:rPr>
          <w:b/>
          <w:bCs/>
          <w:sz w:val="28"/>
          <w:szCs w:val="28"/>
        </w:rPr>
        <w:t>***IN CONFIDENCE***</w:t>
      </w:r>
    </w:p>
    <w:p w14:paraId="1E6971C1" w14:textId="77777777" w:rsidR="00835DC9" w:rsidRPr="00835DC9" w:rsidRDefault="00835DC9" w:rsidP="00835DC9">
      <w:pPr>
        <w:spacing w:after="0" w:line="240" w:lineRule="auto"/>
        <w:ind w:left="720" w:hanging="720"/>
        <w:rPr>
          <w:b/>
          <w:bCs/>
          <w:sz w:val="28"/>
          <w:szCs w:val="28"/>
        </w:rPr>
      </w:pPr>
    </w:p>
    <w:p w14:paraId="4E3DB222" w14:textId="77777777" w:rsidR="00835DC9" w:rsidRPr="00835DC9" w:rsidRDefault="00835DC9" w:rsidP="00835DC9">
      <w:pPr>
        <w:spacing w:after="0" w:line="240" w:lineRule="auto"/>
        <w:ind w:left="0" w:right="0" w:firstLine="0"/>
        <w:rPr>
          <w:rFonts w:eastAsia="Times New Roman"/>
          <w:b/>
          <w:bCs/>
          <w:color w:val="auto"/>
          <w:szCs w:val="24"/>
          <w:lang w:eastAsia="en-US"/>
        </w:rPr>
      </w:pPr>
      <w:r w:rsidRPr="00835DC9">
        <w:rPr>
          <w:rFonts w:eastAsia="Times New Roman"/>
          <w:b/>
          <w:bCs/>
          <w:color w:val="auto"/>
          <w:szCs w:val="24"/>
          <w:lang w:eastAsia="en-US"/>
        </w:rPr>
        <w:t xml:space="preserve">NOT FOR PUBLICATION </w:t>
      </w:r>
    </w:p>
    <w:p w14:paraId="0CD0E808" w14:textId="12B07022" w:rsidR="00F14864" w:rsidRDefault="00835DC9" w:rsidP="00835DC9">
      <w:pPr>
        <w:spacing w:after="0" w:line="240" w:lineRule="auto"/>
        <w:ind w:left="0" w:right="0" w:firstLine="0"/>
      </w:pPr>
      <w:r w:rsidRPr="00835DC9">
        <w:rPr>
          <w:rFonts w:eastAsia="Times New Roman"/>
          <w:b/>
          <w:color w:val="auto"/>
          <w:szCs w:val="24"/>
          <w:lang w:eastAsia="en-US"/>
        </w:rPr>
        <w:lastRenderedPageBreak/>
        <w:t>SCHEDULE 6 – INFORMATION RELATING TO THE FINANCIAL OR BUSINESS AFFAIRS OF ANY PARTICULAR PERSON (INCLUDING THE COUNCIL HOLDNG THAT INFORMATION)</w:t>
      </w:r>
    </w:p>
    <w:p w14:paraId="3C5DB6C5" w14:textId="77777777" w:rsidR="00C264D3" w:rsidRDefault="00C264D3" w:rsidP="00A96D3A">
      <w:pPr>
        <w:spacing w:line="240" w:lineRule="auto"/>
      </w:pPr>
    </w:p>
    <w:p w14:paraId="698B6B42" w14:textId="18C1BF02" w:rsidR="00B2071A" w:rsidRPr="00365F80" w:rsidRDefault="00B2071A" w:rsidP="00B2071A">
      <w:pPr>
        <w:pStyle w:val="Heading1"/>
        <w:ind w:left="720" w:hanging="720"/>
        <w:rPr>
          <w:sz w:val="24"/>
          <w:szCs w:val="24"/>
        </w:rPr>
      </w:pPr>
      <w:r w:rsidRPr="00C264D3">
        <w:rPr>
          <w:u w:val="none"/>
        </w:rPr>
        <w:t>8.</w:t>
      </w:r>
      <w:r w:rsidRPr="00C264D3">
        <w:rPr>
          <w:u w:val="none"/>
        </w:rPr>
        <w:tab/>
      </w:r>
      <w:r w:rsidRPr="00A17EBE">
        <w:rPr>
          <w:szCs w:val="28"/>
        </w:rPr>
        <w:t>Trial of Vehicle Mounted Solar Panels</w:t>
      </w:r>
      <w:r w:rsidR="00A17EBE" w:rsidRPr="00A17EBE">
        <w:rPr>
          <w:szCs w:val="28"/>
        </w:rPr>
        <w:t xml:space="preserve"> (FILE 79001)</w:t>
      </w:r>
    </w:p>
    <w:p w14:paraId="249EC547" w14:textId="77777777" w:rsidR="00B2071A" w:rsidRDefault="00B2071A" w:rsidP="00B2071A">
      <w:pPr>
        <w:rPr>
          <w:szCs w:val="24"/>
        </w:rPr>
      </w:pPr>
    </w:p>
    <w:p w14:paraId="6DCCDBC0" w14:textId="77777777" w:rsidR="00835DC9" w:rsidRPr="00835DC9" w:rsidRDefault="00835DC9" w:rsidP="00835DC9">
      <w:pPr>
        <w:spacing w:after="0" w:line="240" w:lineRule="auto"/>
        <w:ind w:left="720" w:hanging="720"/>
        <w:rPr>
          <w:b/>
          <w:bCs/>
          <w:sz w:val="28"/>
          <w:szCs w:val="28"/>
        </w:rPr>
      </w:pPr>
      <w:r w:rsidRPr="00835DC9">
        <w:rPr>
          <w:b/>
          <w:bCs/>
          <w:sz w:val="28"/>
          <w:szCs w:val="28"/>
        </w:rPr>
        <w:t>***IN CONFIDENCE***</w:t>
      </w:r>
    </w:p>
    <w:p w14:paraId="67174BBC" w14:textId="77777777" w:rsidR="00835DC9" w:rsidRPr="00835DC9" w:rsidRDefault="00835DC9" w:rsidP="00835DC9">
      <w:pPr>
        <w:spacing w:after="0" w:line="240" w:lineRule="auto"/>
        <w:ind w:left="720" w:hanging="720"/>
        <w:rPr>
          <w:b/>
          <w:bCs/>
          <w:sz w:val="28"/>
          <w:szCs w:val="28"/>
        </w:rPr>
      </w:pPr>
    </w:p>
    <w:p w14:paraId="03C15639" w14:textId="77777777" w:rsidR="00835DC9" w:rsidRPr="00835DC9" w:rsidRDefault="00835DC9" w:rsidP="00835DC9">
      <w:pPr>
        <w:spacing w:after="0" w:line="240" w:lineRule="auto"/>
        <w:ind w:left="0" w:right="0" w:firstLine="0"/>
        <w:rPr>
          <w:rFonts w:eastAsia="Times New Roman"/>
          <w:b/>
          <w:bCs/>
          <w:color w:val="auto"/>
          <w:szCs w:val="24"/>
          <w:lang w:eastAsia="en-US"/>
        </w:rPr>
      </w:pPr>
      <w:r w:rsidRPr="00835DC9">
        <w:rPr>
          <w:rFonts w:eastAsia="Times New Roman"/>
          <w:b/>
          <w:bCs/>
          <w:color w:val="auto"/>
          <w:szCs w:val="24"/>
          <w:lang w:eastAsia="en-US"/>
        </w:rPr>
        <w:t xml:space="preserve">NOT FOR PUBLICATION </w:t>
      </w:r>
    </w:p>
    <w:p w14:paraId="2B1583E7" w14:textId="77777777" w:rsidR="00835DC9" w:rsidRPr="00835DC9" w:rsidRDefault="00835DC9" w:rsidP="00835DC9">
      <w:pPr>
        <w:spacing w:after="0" w:line="240" w:lineRule="auto"/>
        <w:ind w:left="0" w:right="0" w:firstLine="0"/>
        <w:rPr>
          <w:rFonts w:eastAsia="Calibri"/>
          <w:color w:val="auto"/>
          <w:szCs w:val="24"/>
          <w:lang w:eastAsia="en-US"/>
        </w:rPr>
      </w:pPr>
      <w:r w:rsidRPr="00835DC9">
        <w:rPr>
          <w:rFonts w:eastAsia="Times New Roman"/>
          <w:b/>
          <w:color w:val="auto"/>
          <w:szCs w:val="24"/>
          <w:lang w:eastAsia="en-US"/>
        </w:rPr>
        <w:t>SCHEDULE 6 – INFORMATION RELATING TO THE FINANCIAL OR BUSINESS AFFAIRS OF ANY PARTICULAR PERSON (INCLUDING THE COUNCIL HOLDNG THAT INFORMATION)</w:t>
      </w:r>
    </w:p>
    <w:p w14:paraId="3129290A" w14:textId="35F58E97" w:rsidR="00361F65" w:rsidRDefault="00361F65" w:rsidP="00863D15">
      <w:pPr>
        <w:rPr>
          <w:b/>
          <w:bCs/>
          <w:sz w:val="28"/>
          <w:szCs w:val="28"/>
        </w:rPr>
      </w:pPr>
    </w:p>
    <w:p w14:paraId="5C708D25" w14:textId="3B476077" w:rsidR="00B2071A" w:rsidRDefault="00B2071A" w:rsidP="00B2071A">
      <w:pPr>
        <w:pStyle w:val="Heading1"/>
        <w:ind w:left="720" w:hanging="720"/>
      </w:pPr>
      <w:r w:rsidRPr="00C264D3">
        <w:rPr>
          <w:u w:val="none"/>
        </w:rPr>
        <w:t>9.</w:t>
      </w:r>
      <w:r w:rsidRPr="00C264D3">
        <w:rPr>
          <w:u w:val="none"/>
        </w:rPr>
        <w:tab/>
      </w:r>
      <w:r w:rsidRPr="00B2071A">
        <w:t>Council Strategic Waste Management Arrangements</w:t>
      </w:r>
      <w:r w:rsidR="0004238D">
        <w:t xml:space="preserve"> (FILE 72010)</w:t>
      </w:r>
    </w:p>
    <w:p w14:paraId="64E3B3DC" w14:textId="7366D5AC" w:rsidR="00B2071A" w:rsidRPr="00365F80" w:rsidRDefault="00B2071A" w:rsidP="00B2071A">
      <w:pPr>
        <w:rPr>
          <w:szCs w:val="24"/>
        </w:rPr>
      </w:pPr>
      <w:r>
        <w:rPr>
          <w:b/>
          <w:bCs/>
          <w:sz w:val="28"/>
          <w:szCs w:val="32"/>
        </w:rPr>
        <w:tab/>
      </w:r>
      <w:r w:rsidR="00F40974">
        <w:rPr>
          <w:b/>
          <w:bCs/>
          <w:sz w:val="28"/>
          <w:szCs w:val="32"/>
        </w:rPr>
        <w:tab/>
      </w:r>
      <w:r w:rsidRPr="00365F80">
        <w:rPr>
          <w:szCs w:val="24"/>
        </w:rPr>
        <w:t>(Appendi</w:t>
      </w:r>
      <w:r>
        <w:rPr>
          <w:szCs w:val="24"/>
        </w:rPr>
        <w:t xml:space="preserve">x </w:t>
      </w:r>
      <w:r w:rsidR="000F6412">
        <w:rPr>
          <w:szCs w:val="24"/>
        </w:rPr>
        <w:t>III</w:t>
      </w:r>
      <w:r w:rsidRPr="00365F80">
        <w:rPr>
          <w:szCs w:val="24"/>
        </w:rPr>
        <w:t>)</w:t>
      </w:r>
      <w:r w:rsidRPr="00365F80">
        <w:rPr>
          <w:szCs w:val="24"/>
        </w:rPr>
        <w:tab/>
      </w:r>
    </w:p>
    <w:p w14:paraId="0E77DC96" w14:textId="77777777" w:rsidR="00B2071A" w:rsidRDefault="00B2071A" w:rsidP="00B2071A">
      <w:pPr>
        <w:rPr>
          <w:szCs w:val="24"/>
        </w:rPr>
      </w:pPr>
    </w:p>
    <w:p w14:paraId="51ECAA57" w14:textId="77777777" w:rsidR="00835DC9" w:rsidRPr="00835DC9" w:rsidRDefault="00835DC9" w:rsidP="00835DC9">
      <w:pPr>
        <w:spacing w:after="0" w:line="240" w:lineRule="auto"/>
        <w:ind w:left="720" w:hanging="720"/>
        <w:rPr>
          <w:b/>
          <w:bCs/>
          <w:sz w:val="28"/>
          <w:szCs w:val="28"/>
        </w:rPr>
      </w:pPr>
      <w:r w:rsidRPr="00835DC9">
        <w:rPr>
          <w:b/>
          <w:bCs/>
          <w:sz w:val="28"/>
          <w:szCs w:val="28"/>
        </w:rPr>
        <w:t>***IN CONFIDENCE***</w:t>
      </w:r>
    </w:p>
    <w:p w14:paraId="7F4FB879" w14:textId="77777777" w:rsidR="00835DC9" w:rsidRPr="00835DC9" w:rsidRDefault="00835DC9" w:rsidP="00835DC9">
      <w:pPr>
        <w:spacing w:after="0" w:line="240" w:lineRule="auto"/>
        <w:ind w:left="720" w:hanging="720"/>
        <w:rPr>
          <w:b/>
          <w:bCs/>
          <w:sz w:val="28"/>
          <w:szCs w:val="28"/>
        </w:rPr>
      </w:pPr>
    </w:p>
    <w:p w14:paraId="3064F73D" w14:textId="77777777" w:rsidR="00835DC9" w:rsidRPr="00835DC9" w:rsidRDefault="00835DC9" w:rsidP="00835DC9">
      <w:pPr>
        <w:spacing w:after="0" w:line="240" w:lineRule="auto"/>
        <w:ind w:left="0" w:right="0" w:firstLine="0"/>
        <w:rPr>
          <w:rFonts w:eastAsia="Times New Roman"/>
          <w:b/>
          <w:bCs/>
          <w:color w:val="auto"/>
          <w:szCs w:val="24"/>
          <w:lang w:eastAsia="en-US"/>
        </w:rPr>
      </w:pPr>
      <w:r w:rsidRPr="00835DC9">
        <w:rPr>
          <w:rFonts w:eastAsia="Times New Roman"/>
          <w:b/>
          <w:bCs/>
          <w:color w:val="auto"/>
          <w:szCs w:val="24"/>
          <w:lang w:eastAsia="en-US"/>
        </w:rPr>
        <w:t xml:space="preserve">NOT FOR PUBLICATION </w:t>
      </w:r>
    </w:p>
    <w:p w14:paraId="2C6DAD9D" w14:textId="77777777" w:rsidR="00835DC9" w:rsidRPr="00835DC9" w:rsidRDefault="00835DC9" w:rsidP="00835DC9">
      <w:pPr>
        <w:spacing w:after="0" w:line="240" w:lineRule="auto"/>
        <w:ind w:left="0" w:right="0" w:firstLine="0"/>
        <w:rPr>
          <w:rFonts w:eastAsia="Calibri"/>
          <w:color w:val="auto"/>
          <w:szCs w:val="24"/>
          <w:lang w:eastAsia="en-US"/>
        </w:rPr>
      </w:pPr>
      <w:r w:rsidRPr="00835DC9">
        <w:rPr>
          <w:rFonts w:eastAsia="Times New Roman"/>
          <w:b/>
          <w:color w:val="auto"/>
          <w:szCs w:val="24"/>
          <w:lang w:eastAsia="en-US"/>
        </w:rPr>
        <w:t>SCHEDULE 6 – INFORMATION RELATING TO THE FINANCIAL OR BUSINESS AFFAIRS OF ANY PARTICULAR PERSON (INCLUDING THE COUNCIL HOLDNG THAT INFORMATION)</w:t>
      </w:r>
    </w:p>
    <w:p w14:paraId="2A71EABC" w14:textId="77777777" w:rsidR="00963034" w:rsidRDefault="00963034" w:rsidP="00B2071A">
      <w:pPr>
        <w:spacing w:after="0" w:line="240" w:lineRule="auto"/>
        <w:rPr>
          <w:rFonts w:eastAsia="Calibri"/>
          <w:szCs w:val="24"/>
        </w:rPr>
      </w:pPr>
    </w:p>
    <w:p w14:paraId="096829C4" w14:textId="13B9F6CA" w:rsidR="00B2071A" w:rsidRPr="00C75B31" w:rsidRDefault="00B2071A" w:rsidP="00C75B31">
      <w:pPr>
        <w:pStyle w:val="Heading1"/>
        <w:ind w:left="720" w:hanging="720"/>
      </w:pPr>
      <w:bookmarkStart w:id="8" w:name="_Hlk117860815"/>
      <w:r w:rsidRPr="00C264D3">
        <w:rPr>
          <w:u w:val="none"/>
        </w:rPr>
        <w:t>10.</w:t>
      </w:r>
      <w:r w:rsidRPr="00C264D3">
        <w:rPr>
          <w:u w:val="none"/>
        </w:rPr>
        <w:tab/>
      </w:r>
      <w:r w:rsidRPr="00B2071A">
        <w:t>Renewal of Tender for Glass Processing</w:t>
      </w:r>
      <w:r w:rsidR="00C75B31">
        <w:t xml:space="preserve"> (FILE 77072)</w:t>
      </w:r>
    </w:p>
    <w:p w14:paraId="7C16EB2A" w14:textId="77777777" w:rsidR="00B2071A" w:rsidRDefault="00B2071A" w:rsidP="00B2071A">
      <w:pPr>
        <w:rPr>
          <w:szCs w:val="24"/>
        </w:rPr>
      </w:pPr>
    </w:p>
    <w:bookmarkEnd w:id="8"/>
    <w:p w14:paraId="2E3170A3" w14:textId="77777777" w:rsidR="00835DC9" w:rsidRPr="00835DC9" w:rsidRDefault="00835DC9" w:rsidP="00835DC9">
      <w:pPr>
        <w:spacing w:after="0" w:line="240" w:lineRule="auto"/>
        <w:ind w:left="720" w:hanging="720"/>
        <w:rPr>
          <w:b/>
          <w:bCs/>
          <w:sz w:val="28"/>
          <w:szCs w:val="28"/>
        </w:rPr>
      </w:pPr>
      <w:r w:rsidRPr="00835DC9">
        <w:rPr>
          <w:b/>
          <w:bCs/>
          <w:sz w:val="28"/>
          <w:szCs w:val="28"/>
        </w:rPr>
        <w:t>***IN CONFIDENCE***</w:t>
      </w:r>
    </w:p>
    <w:p w14:paraId="39BADD21" w14:textId="77777777" w:rsidR="00835DC9" w:rsidRPr="00835DC9" w:rsidRDefault="00835DC9" w:rsidP="00835DC9">
      <w:pPr>
        <w:spacing w:after="0" w:line="240" w:lineRule="auto"/>
        <w:ind w:left="720" w:hanging="720"/>
        <w:rPr>
          <w:b/>
          <w:bCs/>
          <w:sz w:val="28"/>
          <w:szCs w:val="28"/>
        </w:rPr>
      </w:pPr>
    </w:p>
    <w:p w14:paraId="50C21281" w14:textId="77777777" w:rsidR="00835DC9" w:rsidRPr="00835DC9" w:rsidRDefault="00835DC9" w:rsidP="00835DC9">
      <w:pPr>
        <w:spacing w:after="0" w:line="240" w:lineRule="auto"/>
        <w:ind w:left="0" w:right="0" w:firstLine="0"/>
        <w:rPr>
          <w:rFonts w:eastAsia="Times New Roman"/>
          <w:b/>
          <w:bCs/>
          <w:color w:val="auto"/>
          <w:szCs w:val="24"/>
          <w:lang w:eastAsia="en-US"/>
        </w:rPr>
      </w:pPr>
      <w:r w:rsidRPr="00835DC9">
        <w:rPr>
          <w:rFonts w:eastAsia="Times New Roman"/>
          <w:b/>
          <w:bCs/>
          <w:color w:val="auto"/>
          <w:szCs w:val="24"/>
          <w:lang w:eastAsia="en-US"/>
        </w:rPr>
        <w:t xml:space="preserve">NOT FOR PUBLICATION </w:t>
      </w:r>
    </w:p>
    <w:p w14:paraId="404CBEB2" w14:textId="77777777" w:rsidR="00835DC9" w:rsidRPr="00835DC9" w:rsidRDefault="00835DC9" w:rsidP="00835DC9">
      <w:pPr>
        <w:spacing w:after="0" w:line="240" w:lineRule="auto"/>
        <w:ind w:left="0" w:right="0" w:firstLine="0"/>
        <w:rPr>
          <w:rFonts w:eastAsia="Calibri"/>
          <w:color w:val="auto"/>
          <w:szCs w:val="24"/>
          <w:lang w:eastAsia="en-US"/>
        </w:rPr>
      </w:pPr>
      <w:r w:rsidRPr="00835DC9">
        <w:rPr>
          <w:rFonts w:eastAsia="Times New Roman"/>
          <w:b/>
          <w:color w:val="auto"/>
          <w:szCs w:val="24"/>
          <w:lang w:eastAsia="en-US"/>
        </w:rPr>
        <w:t>SCHEDULE 6 – INFORMATION RELATING TO THE FINANCIAL OR BUSINESS AFFAIRS OF ANY PARTICULAR PERSON (INCLUDING THE COUNCIL HOLDNG THAT INFORMATION)</w:t>
      </w:r>
    </w:p>
    <w:p w14:paraId="3670C0FA" w14:textId="1EA80FC3" w:rsidR="00B2071A" w:rsidRDefault="00B2071A" w:rsidP="00863D15">
      <w:pPr>
        <w:rPr>
          <w:b/>
          <w:bCs/>
          <w:sz w:val="28"/>
          <w:szCs w:val="28"/>
        </w:rPr>
      </w:pPr>
    </w:p>
    <w:p w14:paraId="3B0FD60C" w14:textId="014534EB" w:rsidR="00B2071A" w:rsidRDefault="00B2071A" w:rsidP="00B2071A">
      <w:pPr>
        <w:pStyle w:val="Heading1"/>
        <w:ind w:left="720" w:hanging="720"/>
      </w:pPr>
      <w:bookmarkStart w:id="9" w:name="_Hlk118456288"/>
      <w:r w:rsidRPr="00C264D3">
        <w:rPr>
          <w:u w:val="none"/>
        </w:rPr>
        <w:t>11.</w:t>
      </w:r>
      <w:r w:rsidRPr="00C264D3">
        <w:rPr>
          <w:u w:val="none"/>
        </w:rPr>
        <w:tab/>
      </w:r>
      <w:r w:rsidRPr="00B2071A">
        <w:t>Follow Up Report - Regulation of HRC Use</w:t>
      </w:r>
    </w:p>
    <w:p w14:paraId="69936ACA" w14:textId="72397B88" w:rsidR="00B2071A" w:rsidRPr="00365F80" w:rsidRDefault="00B2071A" w:rsidP="00B2071A">
      <w:pPr>
        <w:rPr>
          <w:szCs w:val="24"/>
        </w:rPr>
      </w:pPr>
      <w:r>
        <w:rPr>
          <w:b/>
          <w:bCs/>
          <w:sz w:val="28"/>
          <w:szCs w:val="32"/>
        </w:rPr>
        <w:tab/>
      </w:r>
      <w:r w:rsidR="00C264D3">
        <w:rPr>
          <w:b/>
          <w:bCs/>
          <w:sz w:val="28"/>
          <w:szCs w:val="32"/>
        </w:rPr>
        <w:tab/>
      </w:r>
      <w:r w:rsidRPr="00365F80">
        <w:rPr>
          <w:szCs w:val="24"/>
        </w:rPr>
        <w:t>(Appendi</w:t>
      </w:r>
      <w:r>
        <w:rPr>
          <w:szCs w:val="24"/>
        </w:rPr>
        <w:t xml:space="preserve">x </w:t>
      </w:r>
      <w:r w:rsidR="00352554">
        <w:rPr>
          <w:szCs w:val="24"/>
        </w:rPr>
        <w:t>IV - V</w:t>
      </w:r>
      <w:r w:rsidRPr="00365F80">
        <w:rPr>
          <w:szCs w:val="24"/>
        </w:rPr>
        <w:t>)</w:t>
      </w:r>
      <w:r w:rsidRPr="00365F80">
        <w:rPr>
          <w:szCs w:val="24"/>
        </w:rPr>
        <w:tab/>
      </w:r>
    </w:p>
    <w:bookmarkEnd w:id="9"/>
    <w:p w14:paraId="5774BED1" w14:textId="77777777" w:rsidR="00B2071A" w:rsidRDefault="00B2071A" w:rsidP="00B2071A">
      <w:pPr>
        <w:rPr>
          <w:szCs w:val="24"/>
        </w:rPr>
      </w:pPr>
    </w:p>
    <w:p w14:paraId="4DEC980D" w14:textId="77777777" w:rsidR="00835DC9" w:rsidRPr="00835DC9" w:rsidRDefault="00835DC9" w:rsidP="00835DC9">
      <w:pPr>
        <w:spacing w:after="0" w:line="240" w:lineRule="auto"/>
        <w:ind w:left="720" w:hanging="720"/>
        <w:rPr>
          <w:b/>
          <w:bCs/>
          <w:sz w:val="28"/>
          <w:szCs w:val="28"/>
        </w:rPr>
      </w:pPr>
      <w:r w:rsidRPr="00835DC9">
        <w:rPr>
          <w:b/>
          <w:bCs/>
          <w:sz w:val="28"/>
          <w:szCs w:val="28"/>
        </w:rPr>
        <w:t>***IN CONFIDENCE***</w:t>
      </w:r>
    </w:p>
    <w:p w14:paraId="089215CD" w14:textId="77777777" w:rsidR="00835DC9" w:rsidRPr="00835DC9" w:rsidRDefault="00835DC9" w:rsidP="00835DC9">
      <w:pPr>
        <w:spacing w:after="0" w:line="240" w:lineRule="auto"/>
        <w:ind w:left="720" w:hanging="720"/>
        <w:rPr>
          <w:b/>
          <w:bCs/>
          <w:sz w:val="28"/>
          <w:szCs w:val="28"/>
        </w:rPr>
      </w:pPr>
    </w:p>
    <w:p w14:paraId="675AFC3D" w14:textId="77777777" w:rsidR="00835DC9" w:rsidRPr="00835DC9" w:rsidRDefault="00835DC9" w:rsidP="00835DC9">
      <w:pPr>
        <w:spacing w:after="0" w:line="240" w:lineRule="auto"/>
        <w:ind w:left="0" w:right="0" w:firstLine="0"/>
        <w:rPr>
          <w:rFonts w:eastAsia="Times New Roman"/>
          <w:b/>
          <w:bCs/>
          <w:color w:val="auto"/>
          <w:szCs w:val="24"/>
          <w:lang w:eastAsia="en-US"/>
        </w:rPr>
      </w:pPr>
      <w:r w:rsidRPr="00835DC9">
        <w:rPr>
          <w:rFonts w:eastAsia="Times New Roman"/>
          <w:b/>
          <w:bCs/>
          <w:color w:val="auto"/>
          <w:szCs w:val="24"/>
          <w:lang w:eastAsia="en-US"/>
        </w:rPr>
        <w:t xml:space="preserve">NOT FOR PUBLICATION </w:t>
      </w:r>
    </w:p>
    <w:p w14:paraId="288B94CA" w14:textId="77777777" w:rsidR="00835DC9" w:rsidRPr="00835DC9" w:rsidRDefault="00835DC9" w:rsidP="00835DC9">
      <w:pPr>
        <w:spacing w:after="0" w:line="240" w:lineRule="auto"/>
        <w:ind w:left="0" w:right="0" w:firstLine="0"/>
        <w:rPr>
          <w:rFonts w:eastAsia="Calibri"/>
          <w:color w:val="auto"/>
          <w:szCs w:val="24"/>
          <w:lang w:eastAsia="en-US"/>
        </w:rPr>
      </w:pPr>
      <w:r w:rsidRPr="00835DC9">
        <w:rPr>
          <w:rFonts w:eastAsia="Times New Roman"/>
          <w:b/>
          <w:color w:val="auto"/>
          <w:szCs w:val="24"/>
          <w:lang w:eastAsia="en-US"/>
        </w:rPr>
        <w:t>SCHEDULE 6 – INFORMATION RELATING TO THE FINANCIAL OR BUSINESS AFFAIRS OF ANY PARTICULAR PERSON (INCLUDING THE COUNCIL HOLDNG THAT INFORMATION)</w:t>
      </w:r>
    </w:p>
    <w:p w14:paraId="2DB4AAAF" w14:textId="1A9FCF6E" w:rsidR="00153899" w:rsidRDefault="00153899" w:rsidP="00863D15">
      <w:pPr>
        <w:rPr>
          <w:b/>
          <w:bCs/>
          <w:szCs w:val="24"/>
          <w:u w:val="single"/>
        </w:rPr>
      </w:pPr>
    </w:p>
    <w:p w14:paraId="7FE577DD" w14:textId="21344F60" w:rsidR="00F40974" w:rsidRDefault="00F40974" w:rsidP="00863D15">
      <w:pPr>
        <w:rPr>
          <w:b/>
          <w:bCs/>
          <w:szCs w:val="24"/>
          <w:u w:val="single"/>
        </w:rPr>
      </w:pPr>
    </w:p>
    <w:p w14:paraId="6ED5D38A" w14:textId="1C2141C8" w:rsidR="00F40974" w:rsidRDefault="00F40974" w:rsidP="00863D15">
      <w:pPr>
        <w:rPr>
          <w:b/>
          <w:bCs/>
          <w:szCs w:val="24"/>
          <w:u w:val="single"/>
        </w:rPr>
      </w:pPr>
    </w:p>
    <w:p w14:paraId="42E557D1" w14:textId="77777777" w:rsidR="00F40974" w:rsidRPr="00C264D3" w:rsidRDefault="00F40974" w:rsidP="00863D15">
      <w:pPr>
        <w:rPr>
          <w:b/>
          <w:bCs/>
          <w:szCs w:val="24"/>
          <w:u w:val="single"/>
        </w:rPr>
      </w:pPr>
    </w:p>
    <w:p w14:paraId="4F54DF86" w14:textId="5470C0FE" w:rsidR="000546CB" w:rsidRPr="00C264D3" w:rsidRDefault="000546CB" w:rsidP="00C264D3">
      <w:pPr>
        <w:rPr>
          <w:rFonts w:ascii="Arial Bold" w:hAnsi="Arial Bold"/>
          <w:b/>
          <w:bCs/>
          <w:caps/>
          <w:sz w:val="28"/>
          <w:szCs w:val="28"/>
          <w:u w:val="single"/>
        </w:rPr>
      </w:pPr>
      <w:r w:rsidRPr="00C264D3">
        <w:rPr>
          <w:rFonts w:ascii="Arial Bold" w:hAnsi="Arial Bold"/>
          <w:b/>
          <w:bCs/>
          <w:caps/>
          <w:sz w:val="28"/>
          <w:szCs w:val="28"/>
          <w:u w:val="single"/>
        </w:rPr>
        <w:lastRenderedPageBreak/>
        <w:t xml:space="preserve">Re-admittance of public/press </w:t>
      </w:r>
    </w:p>
    <w:p w14:paraId="04A8AA6B" w14:textId="559E6BB0" w:rsidR="000546CB" w:rsidRDefault="000546CB" w:rsidP="00294FAE">
      <w:pPr>
        <w:spacing w:after="0" w:line="240" w:lineRule="auto"/>
      </w:pPr>
    </w:p>
    <w:p w14:paraId="39962E35" w14:textId="2AF46ABD" w:rsidR="000546CB" w:rsidRDefault="000546CB" w:rsidP="00294FAE">
      <w:pPr>
        <w:spacing w:after="0" w:line="240" w:lineRule="auto"/>
        <w:rPr>
          <w:b/>
          <w:bCs/>
        </w:rPr>
      </w:pPr>
      <w:r w:rsidRPr="000546CB">
        <w:rPr>
          <w:b/>
          <w:bCs/>
        </w:rPr>
        <w:t>AGREED, on the proposal of</w:t>
      </w:r>
      <w:r w:rsidR="00D97BF7">
        <w:rPr>
          <w:b/>
          <w:bCs/>
        </w:rPr>
        <w:t xml:space="preserve"> </w:t>
      </w:r>
      <w:r w:rsidR="00164218">
        <w:rPr>
          <w:b/>
          <w:bCs/>
        </w:rPr>
        <w:t>Councillor</w:t>
      </w:r>
      <w:r w:rsidR="00802124">
        <w:rPr>
          <w:b/>
          <w:bCs/>
        </w:rPr>
        <w:t xml:space="preserve"> </w:t>
      </w:r>
      <w:r w:rsidR="00730D1B">
        <w:rPr>
          <w:b/>
          <w:bCs/>
        </w:rPr>
        <w:t>Cathcart</w:t>
      </w:r>
      <w:r w:rsidR="004C2243">
        <w:rPr>
          <w:b/>
          <w:bCs/>
        </w:rPr>
        <w:t xml:space="preserve">, </w:t>
      </w:r>
      <w:r w:rsidRPr="000546CB">
        <w:rPr>
          <w:b/>
          <w:bCs/>
        </w:rPr>
        <w:t>seconded by</w:t>
      </w:r>
      <w:r w:rsidR="00164218">
        <w:rPr>
          <w:b/>
          <w:bCs/>
        </w:rPr>
        <w:t xml:space="preserve"> </w:t>
      </w:r>
      <w:r w:rsidR="005E1922">
        <w:rPr>
          <w:b/>
          <w:bCs/>
        </w:rPr>
        <w:t>Councillor Cummings</w:t>
      </w:r>
      <w:r w:rsidRPr="000546CB">
        <w:rPr>
          <w:b/>
          <w:bCs/>
        </w:rPr>
        <w:t xml:space="preserve">, that the public/press be re-admitted to the meeting. </w:t>
      </w:r>
    </w:p>
    <w:p w14:paraId="3D2D3038" w14:textId="77777777" w:rsidR="00C264D3" w:rsidRPr="00C264D3" w:rsidRDefault="00C264D3" w:rsidP="00294FAE">
      <w:pPr>
        <w:spacing w:after="0" w:line="240" w:lineRule="auto"/>
        <w:rPr>
          <w:rFonts w:ascii="Arial Bold" w:hAnsi="Arial Bold"/>
          <w:b/>
          <w:bCs/>
          <w:caps/>
          <w:sz w:val="28"/>
          <w:szCs w:val="28"/>
          <w:u w:val="single"/>
        </w:rPr>
      </w:pPr>
    </w:p>
    <w:p w14:paraId="24674410" w14:textId="4CD899E6" w:rsidR="009F1AA3" w:rsidRPr="00C264D3" w:rsidRDefault="009F1AA3" w:rsidP="00C264D3">
      <w:pPr>
        <w:rPr>
          <w:rFonts w:ascii="Arial Bold" w:hAnsi="Arial Bold"/>
          <w:b/>
          <w:bCs/>
          <w:caps/>
          <w:sz w:val="28"/>
          <w:szCs w:val="28"/>
          <w:u w:val="single"/>
        </w:rPr>
      </w:pPr>
      <w:r w:rsidRPr="00C264D3">
        <w:rPr>
          <w:rFonts w:ascii="Arial Bold" w:hAnsi="Arial Bold"/>
          <w:b/>
          <w:bCs/>
          <w:caps/>
          <w:sz w:val="28"/>
          <w:szCs w:val="28"/>
          <w:u w:val="single"/>
        </w:rPr>
        <w:t xml:space="preserve">Termination of meeting </w:t>
      </w:r>
    </w:p>
    <w:p w14:paraId="2C94F66E" w14:textId="69BEA6AF" w:rsidR="009F1AA3" w:rsidRDefault="009F1AA3" w:rsidP="00294FAE">
      <w:pPr>
        <w:spacing w:after="0" w:line="240" w:lineRule="auto"/>
      </w:pPr>
    </w:p>
    <w:p w14:paraId="520D87C7" w14:textId="6BEE79D3" w:rsidR="009F1AA3" w:rsidRDefault="009F1AA3" w:rsidP="00294FAE">
      <w:pPr>
        <w:spacing w:after="0" w:line="240" w:lineRule="auto"/>
      </w:pPr>
      <w:r>
        <w:t>The meeting terminated at</w:t>
      </w:r>
      <w:r w:rsidR="00D97BF7">
        <w:t xml:space="preserve"> </w:t>
      </w:r>
      <w:r w:rsidR="005E1922">
        <w:t>10.14pm.</w:t>
      </w:r>
    </w:p>
    <w:p w14:paraId="24C95933" w14:textId="5B6FC3B4" w:rsidR="003D7BAD" w:rsidRDefault="003D7BAD" w:rsidP="00294FAE">
      <w:pPr>
        <w:spacing w:after="0" w:line="240" w:lineRule="auto"/>
      </w:pPr>
    </w:p>
    <w:p w14:paraId="5C514776" w14:textId="352F69A9" w:rsidR="00114021" w:rsidRDefault="00114021" w:rsidP="00294FAE">
      <w:pPr>
        <w:spacing w:after="0" w:line="240" w:lineRule="auto"/>
      </w:pPr>
    </w:p>
    <w:sectPr w:rsidR="00114021" w:rsidSect="00780142">
      <w:headerReference w:type="even" r:id="rId15"/>
      <w:headerReference w:type="default" r:id="rId16"/>
      <w:footerReference w:type="even" r:id="rId17"/>
      <w:footerReference w:type="default" r:id="rId18"/>
      <w:headerReference w:type="first" r:id="rId19"/>
      <w:footerReference w:type="first" r:id="rId20"/>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AFE058" w14:textId="77777777" w:rsidR="00190853" w:rsidRDefault="00190853" w:rsidP="009F1AA3">
      <w:pPr>
        <w:spacing w:after="0" w:line="240" w:lineRule="auto"/>
      </w:pPr>
      <w:r>
        <w:separator/>
      </w:r>
    </w:p>
  </w:endnote>
  <w:endnote w:type="continuationSeparator" w:id="0">
    <w:p w14:paraId="4D186DCA" w14:textId="77777777" w:rsidR="00190853" w:rsidRDefault="00190853" w:rsidP="009F1AA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Segoe UI">
    <w:panose1 w:val="020B0502040204020203"/>
    <w:charset w:val="00"/>
    <w:family w:val="swiss"/>
    <w:pitch w:val="variable"/>
    <w:sig w:usb0="E4002EFF" w:usb1="C000E47F" w:usb2="00000009" w:usb3="00000000" w:csb0="000001FF" w:csb1="00000000"/>
  </w:font>
  <w:font w:name="Arial Bold">
    <w:panose1 w:val="020B0704020202020204"/>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13D134" w14:textId="77777777" w:rsidR="00907E1D" w:rsidRDefault="00907E1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DB7F9E" w14:textId="77777777" w:rsidR="00907E1D" w:rsidRDefault="00907E1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21E26C" w14:textId="77777777" w:rsidR="00907E1D" w:rsidRDefault="00907E1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42A36C" w14:textId="77777777" w:rsidR="00190853" w:rsidRDefault="00190853" w:rsidP="009F1AA3">
      <w:pPr>
        <w:spacing w:after="0" w:line="240" w:lineRule="auto"/>
      </w:pPr>
      <w:r>
        <w:separator/>
      </w:r>
    </w:p>
  </w:footnote>
  <w:footnote w:type="continuationSeparator" w:id="0">
    <w:p w14:paraId="50F86E07" w14:textId="77777777" w:rsidR="00190853" w:rsidRDefault="00190853" w:rsidP="009F1AA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84363B" w14:textId="77777777" w:rsidR="00907E1D" w:rsidRDefault="00907E1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E64FFD" w14:textId="3265B32D" w:rsidR="009F1AA3" w:rsidRDefault="009F1AA3">
    <w:pPr>
      <w:pStyle w:val="Header"/>
    </w:pPr>
    <w:r>
      <w:tab/>
    </w:r>
    <w:r>
      <w:tab/>
    </w:r>
    <w:r>
      <w:tab/>
      <w:t>EC.</w:t>
    </w:r>
    <w:r w:rsidR="00A87E07">
      <w:t>0</w:t>
    </w:r>
    <w:r w:rsidR="00153899">
      <w:t>2</w:t>
    </w:r>
    <w:r>
      <w:t>.</w:t>
    </w:r>
    <w:r w:rsidR="00A87E07">
      <w:t>1</w:t>
    </w:r>
    <w:r w:rsidR="00153899">
      <w:t>1</w:t>
    </w:r>
    <w:r>
      <w:t>.22</w:t>
    </w:r>
    <w:r w:rsidR="00835DC9">
      <w:t xml:space="preserve"> PM</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7E0EEC" w14:textId="4BBF240E" w:rsidR="002F024D" w:rsidRPr="002F024D" w:rsidRDefault="002F024D" w:rsidP="002F024D">
    <w:pPr>
      <w:pStyle w:val="Header"/>
      <w:jc w:val="right"/>
      <w:rPr>
        <w:b/>
        <w:bCs/>
        <w:sz w:val="32"/>
        <w:szCs w:val="32"/>
      </w:rPr>
    </w:pPr>
    <w:r w:rsidRPr="002F024D">
      <w:rPr>
        <w:b/>
        <w:bCs/>
        <w:sz w:val="32"/>
        <w:szCs w:val="32"/>
      </w:rPr>
      <w:t xml:space="preserve">ITEM </w:t>
    </w:r>
    <w:r w:rsidR="003D0768">
      <w:rPr>
        <w:b/>
        <w:bCs/>
        <w:sz w:val="32"/>
        <w:szCs w:val="32"/>
      </w:rPr>
      <w:t>7.2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hybridMultilevel"/>
    <w:tmpl w:val="4AEC9698"/>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00000002"/>
    <w:multiLevelType w:val="hybridMultilevel"/>
    <w:tmpl w:val="EE3CF4B8"/>
    <w:lvl w:ilvl="0" w:tplc="FFFFFFFF">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000D31B0"/>
    <w:multiLevelType w:val="hybridMultilevel"/>
    <w:tmpl w:val="B17EDE18"/>
    <w:lvl w:ilvl="0" w:tplc="C062E0CA">
      <w:start w:val="1"/>
      <w:numFmt w:val="bullet"/>
      <w:pStyle w:val="BulletText2"/>
      <w:lvlText w:val="-"/>
      <w:lvlJc w:val="left"/>
      <w:pPr>
        <w:tabs>
          <w:tab w:val="num" w:pos="360"/>
        </w:tabs>
        <w:ind w:left="360" w:hanging="187"/>
      </w:pPr>
      <w:rPr>
        <w:rFonts w:ascii="Symbol" w:hAnsi="Symbol" w:cs="Times New Roman" w:hint="default"/>
      </w:rPr>
    </w:lvl>
    <w:lvl w:ilvl="1" w:tplc="D1EE484C">
      <w:start w:val="1"/>
      <w:numFmt w:val="bullet"/>
      <w:lvlText w:val="·"/>
      <w:lvlJc w:val="left"/>
      <w:pPr>
        <w:tabs>
          <w:tab w:val="num" w:pos="346"/>
        </w:tabs>
        <w:ind w:left="346" w:hanging="1080"/>
      </w:pPr>
      <w:rPr>
        <w:rFonts w:ascii="Symbol" w:hAnsi="Symbol"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7F336B5"/>
    <w:multiLevelType w:val="hybridMultilevel"/>
    <w:tmpl w:val="E2B2878E"/>
    <w:lvl w:ilvl="0" w:tplc="3A683378">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A550233"/>
    <w:multiLevelType w:val="hybridMultilevel"/>
    <w:tmpl w:val="0916F23C"/>
    <w:lvl w:ilvl="0" w:tplc="0809000B">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A5E6721"/>
    <w:multiLevelType w:val="hybridMultilevel"/>
    <w:tmpl w:val="BE962E8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7EF503F"/>
    <w:multiLevelType w:val="hybridMultilevel"/>
    <w:tmpl w:val="B3B48FD2"/>
    <w:lvl w:ilvl="0" w:tplc="FDA41320">
      <w:start w:val="1"/>
      <w:numFmt w:val="bullet"/>
      <w:lvlText w:val=""/>
      <w:lvlJc w:val="left"/>
      <w:pPr>
        <w:tabs>
          <w:tab w:val="num" w:pos="720"/>
        </w:tabs>
        <w:ind w:left="720" w:hanging="360"/>
      </w:pPr>
      <w:rPr>
        <w:rFonts w:ascii="Wingdings" w:hAnsi="Wingdings" w:hint="default"/>
      </w:rPr>
    </w:lvl>
    <w:lvl w:ilvl="1" w:tplc="FD181728" w:tentative="1">
      <w:start w:val="1"/>
      <w:numFmt w:val="bullet"/>
      <w:lvlText w:val=""/>
      <w:lvlJc w:val="left"/>
      <w:pPr>
        <w:tabs>
          <w:tab w:val="num" w:pos="1440"/>
        </w:tabs>
        <w:ind w:left="1440" w:hanging="360"/>
      </w:pPr>
      <w:rPr>
        <w:rFonts w:ascii="Wingdings" w:hAnsi="Wingdings" w:hint="default"/>
      </w:rPr>
    </w:lvl>
    <w:lvl w:ilvl="2" w:tplc="CCE0599C" w:tentative="1">
      <w:start w:val="1"/>
      <w:numFmt w:val="bullet"/>
      <w:lvlText w:val=""/>
      <w:lvlJc w:val="left"/>
      <w:pPr>
        <w:tabs>
          <w:tab w:val="num" w:pos="2160"/>
        </w:tabs>
        <w:ind w:left="2160" w:hanging="360"/>
      </w:pPr>
      <w:rPr>
        <w:rFonts w:ascii="Wingdings" w:hAnsi="Wingdings" w:hint="default"/>
      </w:rPr>
    </w:lvl>
    <w:lvl w:ilvl="3" w:tplc="08C82E8C" w:tentative="1">
      <w:start w:val="1"/>
      <w:numFmt w:val="bullet"/>
      <w:lvlText w:val=""/>
      <w:lvlJc w:val="left"/>
      <w:pPr>
        <w:tabs>
          <w:tab w:val="num" w:pos="2880"/>
        </w:tabs>
        <w:ind w:left="2880" w:hanging="360"/>
      </w:pPr>
      <w:rPr>
        <w:rFonts w:ascii="Wingdings" w:hAnsi="Wingdings" w:hint="default"/>
      </w:rPr>
    </w:lvl>
    <w:lvl w:ilvl="4" w:tplc="1D34B8EE" w:tentative="1">
      <w:start w:val="1"/>
      <w:numFmt w:val="bullet"/>
      <w:lvlText w:val=""/>
      <w:lvlJc w:val="left"/>
      <w:pPr>
        <w:tabs>
          <w:tab w:val="num" w:pos="3600"/>
        </w:tabs>
        <w:ind w:left="3600" w:hanging="360"/>
      </w:pPr>
      <w:rPr>
        <w:rFonts w:ascii="Wingdings" w:hAnsi="Wingdings" w:hint="default"/>
      </w:rPr>
    </w:lvl>
    <w:lvl w:ilvl="5" w:tplc="0316D50A" w:tentative="1">
      <w:start w:val="1"/>
      <w:numFmt w:val="bullet"/>
      <w:lvlText w:val=""/>
      <w:lvlJc w:val="left"/>
      <w:pPr>
        <w:tabs>
          <w:tab w:val="num" w:pos="4320"/>
        </w:tabs>
        <w:ind w:left="4320" w:hanging="360"/>
      </w:pPr>
      <w:rPr>
        <w:rFonts w:ascii="Wingdings" w:hAnsi="Wingdings" w:hint="default"/>
      </w:rPr>
    </w:lvl>
    <w:lvl w:ilvl="6" w:tplc="9C9815D6" w:tentative="1">
      <w:start w:val="1"/>
      <w:numFmt w:val="bullet"/>
      <w:lvlText w:val=""/>
      <w:lvlJc w:val="left"/>
      <w:pPr>
        <w:tabs>
          <w:tab w:val="num" w:pos="5040"/>
        </w:tabs>
        <w:ind w:left="5040" w:hanging="360"/>
      </w:pPr>
      <w:rPr>
        <w:rFonts w:ascii="Wingdings" w:hAnsi="Wingdings" w:hint="default"/>
      </w:rPr>
    </w:lvl>
    <w:lvl w:ilvl="7" w:tplc="102E1CE8" w:tentative="1">
      <w:start w:val="1"/>
      <w:numFmt w:val="bullet"/>
      <w:lvlText w:val=""/>
      <w:lvlJc w:val="left"/>
      <w:pPr>
        <w:tabs>
          <w:tab w:val="num" w:pos="5760"/>
        </w:tabs>
        <w:ind w:left="5760" w:hanging="360"/>
      </w:pPr>
      <w:rPr>
        <w:rFonts w:ascii="Wingdings" w:hAnsi="Wingdings" w:hint="default"/>
      </w:rPr>
    </w:lvl>
    <w:lvl w:ilvl="8" w:tplc="5DF62B88"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F536BA7"/>
    <w:multiLevelType w:val="hybridMultilevel"/>
    <w:tmpl w:val="FDA8AF40"/>
    <w:lvl w:ilvl="0" w:tplc="990AAA76">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31923DD"/>
    <w:multiLevelType w:val="hybridMultilevel"/>
    <w:tmpl w:val="91422A8C"/>
    <w:lvl w:ilvl="0" w:tplc="A8380F2E">
      <w:start w:val="1"/>
      <w:numFmt w:val="lowerLetter"/>
      <w:lvlText w:val="(%1)"/>
      <w:lvlJc w:val="left"/>
      <w:pPr>
        <w:ind w:left="720" w:hanging="360"/>
      </w:pPr>
      <w:rPr>
        <w:rFonts w:hint="default"/>
        <w:b/>
        <w:bCs/>
        <w:sz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29A30F58"/>
    <w:multiLevelType w:val="hybridMultilevel"/>
    <w:tmpl w:val="8BF0E96E"/>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C6D1DE5"/>
    <w:multiLevelType w:val="hybridMultilevel"/>
    <w:tmpl w:val="30AEFF2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350B1CDF"/>
    <w:multiLevelType w:val="hybridMultilevel"/>
    <w:tmpl w:val="28EA242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369A7B1D"/>
    <w:multiLevelType w:val="hybridMultilevel"/>
    <w:tmpl w:val="03D6972E"/>
    <w:lvl w:ilvl="0" w:tplc="1EBA36CE">
      <w:start w:val="1"/>
      <w:numFmt w:val="lowerLetter"/>
      <w:lvlText w:val="(%1)"/>
      <w:lvlJc w:val="left"/>
      <w:pPr>
        <w:ind w:left="720" w:hanging="360"/>
      </w:pPr>
      <w:rPr>
        <w:rFonts w:cs="Arial" w:hint="default"/>
        <w:sz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399D6C4D"/>
    <w:multiLevelType w:val="hybridMultilevel"/>
    <w:tmpl w:val="6608DAD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49D06EF2"/>
    <w:multiLevelType w:val="hybridMultilevel"/>
    <w:tmpl w:val="C7743C9A"/>
    <w:lvl w:ilvl="0" w:tplc="E8B2BBA8">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55350B29"/>
    <w:multiLevelType w:val="hybridMultilevel"/>
    <w:tmpl w:val="9F02B950"/>
    <w:lvl w:ilvl="0" w:tplc="0809000F">
      <w:start w:val="1"/>
      <w:numFmt w:val="decimal"/>
      <w:lvlText w:val="%1."/>
      <w:lvlJc w:val="left"/>
      <w:pPr>
        <w:ind w:left="792" w:hanging="360"/>
      </w:pPr>
    </w:lvl>
    <w:lvl w:ilvl="1" w:tplc="08090019" w:tentative="1">
      <w:start w:val="1"/>
      <w:numFmt w:val="lowerLetter"/>
      <w:lvlText w:val="%2."/>
      <w:lvlJc w:val="left"/>
      <w:pPr>
        <w:ind w:left="1512" w:hanging="360"/>
      </w:pPr>
    </w:lvl>
    <w:lvl w:ilvl="2" w:tplc="0809001B" w:tentative="1">
      <w:start w:val="1"/>
      <w:numFmt w:val="lowerRoman"/>
      <w:lvlText w:val="%3."/>
      <w:lvlJc w:val="right"/>
      <w:pPr>
        <w:ind w:left="2232" w:hanging="180"/>
      </w:pPr>
    </w:lvl>
    <w:lvl w:ilvl="3" w:tplc="0809000F" w:tentative="1">
      <w:start w:val="1"/>
      <w:numFmt w:val="decimal"/>
      <w:lvlText w:val="%4."/>
      <w:lvlJc w:val="left"/>
      <w:pPr>
        <w:ind w:left="2952" w:hanging="360"/>
      </w:pPr>
    </w:lvl>
    <w:lvl w:ilvl="4" w:tplc="08090019" w:tentative="1">
      <w:start w:val="1"/>
      <w:numFmt w:val="lowerLetter"/>
      <w:lvlText w:val="%5."/>
      <w:lvlJc w:val="left"/>
      <w:pPr>
        <w:ind w:left="3672" w:hanging="360"/>
      </w:pPr>
    </w:lvl>
    <w:lvl w:ilvl="5" w:tplc="0809001B" w:tentative="1">
      <w:start w:val="1"/>
      <w:numFmt w:val="lowerRoman"/>
      <w:lvlText w:val="%6."/>
      <w:lvlJc w:val="right"/>
      <w:pPr>
        <w:ind w:left="4392" w:hanging="180"/>
      </w:pPr>
    </w:lvl>
    <w:lvl w:ilvl="6" w:tplc="0809000F" w:tentative="1">
      <w:start w:val="1"/>
      <w:numFmt w:val="decimal"/>
      <w:lvlText w:val="%7."/>
      <w:lvlJc w:val="left"/>
      <w:pPr>
        <w:ind w:left="5112" w:hanging="360"/>
      </w:pPr>
    </w:lvl>
    <w:lvl w:ilvl="7" w:tplc="08090019" w:tentative="1">
      <w:start w:val="1"/>
      <w:numFmt w:val="lowerLetter"/>
      <w:lvlText w:val="%8."/>
      <w:lvlJc w:val="left"/>
      <w:pPr>
        <w:ind w:left="5832" w:hanging="360"/>
      </w:pPr>
    </w:lvl>
    <w:lvl w:ilvl="8" w:tplc="0809001B" w:tentative="1">
      <w:start w:val="1"/>
      <w:numFmt w:val="lowerRoman"/>
      <w:lvlText w:val="%9."/>
      <w:lvlJc w:val="right"/>
      <w:pPr>
        <w:ind w:left="6552" w:hanging="180"/>
      </w:pPr>
    </w:lvl>
  </w:abstractNum>
  <w:abstractNum w:abstractNumId="16" w15:restartNumberingAfterBreak="0">
    <w:nsid w:val="55D6496E"/>
    <w:multiLevelType w:val="hybridMultilevel"/>
    <w:tmpl w:val="92A2D7CE"/>
    <w:lvl w:ilvl="0" w:tplc="A8C8AF1C">
      <w:start w:val="1"/>
      <w:numFmt w:val="bullet"/>
      <w:lvlText w:val=""/>
      <w:lvlJc w:val="left"/>
      <w:pPr>
        <w:tabs>
          <w:tab w:val="num" w:pos="720"/>
        </w:tabs>
        <w:ind w:left="720" w:hanging="360"/>
      </w:pPr>
      <w:rPr>
        <w:rFonts w:ascii="Wingdings" w:hAnsi="Wingdings" w:hint="default"/>
      </w:rPr>
    </w:lvl>
    <w:lvl w:ilvl="1" w:tplc="3B5EF1F4" w:tentative="1">
      <w:start w:val="1"/>
      <w:numFmt w:val="bullet"/>
      <w:lvlText w:val=""/>
      <w:lvlJc w:val="left"/>
      <w:pPr>
        <w:tabs>
          <w:tab w:val="num" w:pos="1440"/>
        </w:tabs>
        <w:ind w:left="1440" w:hanging="360"/>
      </w:pPr>
      <w:rPr>
        <w:rFonts w:ascii="Wingdings" w:hAnsi="Wingdings" w:hint="default"/>
      </w:rPr>
    </w:lvl>
    <w:lvl w:ilvl="2" w:tplc="C256DCA8" w:tentative="1">
      <w:start w:val="1"/>
      <w:numFmt w:val="bullet"/>
      <w:lvlText w:val=""/>
      <w:lvlJc w:val="left"/>
      <w:pPr>
        <w:tabs>
          <w:tab w:val="num" w:pos="2160"/>
        </w:tabs>
        <w:ind w:left="2160" w:hanging="360"/>
      </w:pPr>
      <w:rPr>
        <w:rFonts w:ascii="Wingdings" w:hAnsi="Wingdings" w:hint="default"/>
      </w:rPr>
    </w:lvl>
    <w:lvl w:ilvl="3" w:tplc="CDA0F806" w:tentative="1">
      <w:start w:val="1"/>
      <w:numFmt w:val="bullet"/>
      <w:lvlText w:val=""/>
      <w:lvlJc w:val="left"/>
      <w:pPr>
        <w:tabs>
          <w:tab w:val="num" w:pos="2880"/>
        </w:tabs>
        <w:ind w:left="2880" w:hanging="360"/>
      </w:pPr>
      <w:rPr>
        <w:rFonts w:ascii="Wingdings" w:hAnsi="Wingdings" w:hint="default"/>
      </w:rPr>
    </w:lvl>
    <w:lvl w:ilvl="4" w:tplc="C42A2776" w:tentative="1">
      <w:start w:val="1"/>
      <w:numFmt w:val="bullet"/>
      <w:lvlText w:val=""/>
      <w:lvlJc w:val="left"/>
      <w:pPr>
        <w:tabs>
          <w:tab w:val="num" w:pos="3600"/>
        </w:tabs>
        <w:ind w:left="3600" w:hanging="360"/>
      </w:pPr>
      <w:rPr>
        <w:rFonts w:ascii="Wingdings" w:hAnsi="Wingdings" w:hint="default"/>
      </w:rPr>
    </w:lvl>
    <w:lvl w:ilvl="5" w:tplc="378C56FE" w:tentative="1">
      <w:start w:val="1"/>
      <w:numFmt w:val="bullet"/>
      <w:lvlText w:val=""/>
      <w:lvlJc w:val="left"/>
      <w:pPr>
        <w:tabs>
          <w:tab w:val="num" w:pos="4320"/>
        </w:tabs>
        <w:ind w:left="4320" w:hanging="360"/>
      </w:pPr>
      <w:rPr>
        <w:rFonts w:ascii="Wingdings" w:hAnsi="Wingdings" w:hint="default"/>
      </w:rPr>
    </w:lvl>
    <w:lvl w:ilvl="6" w:tplc="A156DD9E" w:tentative="1">
      <w:start w:val="1"/>
      <w:numFmt w:val="bullet"/>
      <w:lvlText w:val=""/>
      <w:lvlJc w:val="left"/>
      <w:pPr>
        <w:tabs>
          <w:tab w:val="num" w:pos="5040"/>
        </w:tabs>
        <w:ind w:left="5040" w:hanging="360"/>
      </w:pPr>
      <w:rPr>
        <w:rFonts w:ascii="Wingdings" w:hAnsi="Wingdings" w:hint="default"/>
      </w:rPr>
    </w:lvl>
    <w:lvl w:ilvl="7" w:tplc="82684CD8" w:tentative="1">
      <w:start w:val="1"/>
      <w:numFmt w:val="bullet"/>
      <w:lvlText w:val=""/>
      <w:lvlJc w:val="left"/>
      <w:pPr>
        <w:tabs>
          <w:tab w:val="num" w:pos="5760"/>
        </w:tabs>
        <w:ind w:left="5760" w:hanging="360"/>
      </w:pPr>
      <w:rPr>
        <w:rFonts w:ascii="Wingdings" w:hAnsi="Wingdings" w:hint="default"/>
      </w:rPr>
    </w:lvl>
    <w:lvl w:ilvl="8" w:tplc="84C4FCA0"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5B37145C"/>
    <w:multiLevelType w:val="hybridMultilevel"/>
    <w:tmpl w:val="6548029E"/>
    <w:lvl w:ilvl="0" w:tplc="900A5A56">
      <w:start w:val="3"/>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66906DD7"/>
    <w:multiLevelType w:val="hybridMultilevel"/>
    <w:tmpl w:val="1A686F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73C38A3"/>
    <w:multiLevelType w:val="hybridMultilevel"/>
    <w:tmpl w:val="8498393A"/>
    <w:lvl w:ilvl="0" w:tplc="A35C8902">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212036751">
    <w:abstractNumId w:val="13"/>
  </w:num>
  <w:num w:numId="2" w16cid:durableId="694697850">
    <w:abstractNumId w:val="2"/>
  </w:num>
  <w:num w:numId="3" w16cid:durableId="1598634234">
    <w:abstractNumId w:val="12"/>
  </w:num>
  <w:num w:numId="4" w16cid:durableId="514030691">
    <w:abstractNumId w:val="0"/>
  </w:num>
  <w:num w:numId="5" w16cid:durableId="639042398">
    <w:abstractNumId w:val="1"/>
  </w:num>
  <w:num w:numId="6" w16cid:durableId="1227766786">
    <w:abstractNumId w:val="7"/>
  </w:num>
  <w:num w:numId="7" w16cid:durableId="125129632">
    <w:abstractNumId w:val="15"/>
  </w:num>
  <w:num w:numId="8" w16cid:durableId="1639022022">
    <w:abstractNumId w:val="4"/>
  </w:num>
  <w:num w:numId="9" w16cid:durableId="1532500112">
    <w:abstractNumId w:val="9"/>
  </w:num>
  <w:num w:numId="10" w16cid:durableId="2072147703">
    <w:abstractNumId w:val="5"/>
  </w:num>
  <w:num w:numId="11" w16cid:durableId="939945431">
    <w:abstractNumId w:val="6"/>
  </w:num>
  <w:num w:numId="12" w16cid:durableId="304746254">
    <w:abstractNumId w:val="16"/>
  </w:num>
  <w:num w:numId="13" w16cid:durableId="766078513">
    <w:abstractNumId w:val="11"/>
  </w:num>
  <w:num w:numId="14" w16cid:durableId="1458448663">
    <w:abstractNumId w:val="18"/>
  </w:num>
  <w:num w:numId="15" w16cid:durableId="103379882">
    <w:abstractNumId w:val="3"/>
  </w:num>
  <w:num w:numId="16" w16cid:durableId="841354851">
    <w:abstractNumId w:val="10"/>
  </w:num>
  <w:num w:numId="17" w16cid:durableId="65304506">
    <w:abstractNumId w:val="17"/>
  </w:num>
  <w:num w:numId="18" w16cid:durableId="1464620539">
    <w:abstractNumId w:val="14"/>
  </w:num>
  <w:num w:numId="19" w16cid:durableId="1522745079">
    <w:abstractNumId w:val="19"/>
  </w:num>
  <w:num w:numId="20" w16cid:durableId="455879837">
    <w:abstractNumId w:val="8"/>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cumentProtection w:edit="readOnly" w:enforcement="1" w:cryptProviderType="rsaAES" w:cryptAlgorithmClass="hash" w:cryptAlgorithmType="typeAny" w:cryptAlgorithmSid="14" w:cryptSpinCount="100000" w:hash="Ajqb87wP55zKiyYuuu7ZbTctXYbSLtM1Fc6mTWeEUvpukxWsrHy5BnMAK1EbeEPgvwQFf7UIGZ61HAmnUMvI7g==" w:salt="8m8J0kCZyW09qxt1djYzww=="/>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Trove_E_1_AutoWithdraw" w:val="0"/>
    <w:docVar w:name="Trove_E_1_AWTitle" w:val=" "/>
    <w:docVar w:name="Trove_E_1_AWVersion" w:val=" "/>
    <w:docVar w:name="Trove_E_1_LibFold_0" w:val="PublicMI||2022 Environment Committee"/>
    <w:docVar w:name="Trove_E_1_LoadAnnotations" w:val="-1"/>
    <w:docVar w:name="Trove_E_1_NotifyReaders" w:val="0"/>
    <w:docVar w:name="Trove_E_1_Numbering" w:val="1"/>
    <w:docVar w:name="Trove_E_1_Parent" w:val="0"/>
    <w:docVar w:name="Trove_E_1_PDTitle" w:val=" "/>
    <w:docVar w:name="Trove_E_1_PDVersion" w:val=" "/>
    <w:docVar w:name="Trove_E_1_PrivAnn" w:val="0"/>
    <w:docVar w:name="Trove_E_1_PrivBmk" w:val="0"/>
    <w:docVar w:name="Trove_E_1_PubAnn" w:val="0"/>
    <w:docVar w:name="Trove_E_1_PubBmk" w:val="0"/>
    <w:docVar w:name="Trove_E_1_Release" w:val="(Now)"/>
    <w:docVar w:name="Trove_E_1_RequireManAcc" w:val="0"/>
    <w:docVar w:name="Trove_E_1_Title" w:val=" "/>
    <w:docVar w:name="Trove_E_1_TitleFrom" w:val="1"/>
    <w:docVar w:name="Trove_E_1_ToLibAnn" w:val="0"/>
    <w:docVar w:name="Trove_E_1_Topic_0" w:val="1||Heading 1"/>
    <w:docVar w:name="Trove_E_1_Topic_1" w:val="2||Heading 2"/>
    <w:docVar w:name="Trove_E_1_Version" w:val=" "/>
    <w:docVar w:name="Trove_E_1_Withdraw" w:val="(None)"/>
    <w:docVar w:name="Trove_E_AutoLoad" w:val="0"/>
    <w:docVar w:name="Trove_E_CurrentSet" w:val="1"/>
    <w:docVar w:name="Trove_E_SecurityAnybody" w:val="-1"/>
    <w:docVar w:name="Trove_E_Sets" w:val="1"/>
    <w:docVar w:name="Trove_G_1_Release" w:val="0"/>
    <w:docVar w:name="Trove_G_1_Title" w:val="221102 EC 2 November 2022"/>
    <w:docVar w:name="Trove_G_1_Withdraw" w:val="-1"/>
    <w:docVar w:name="Trove_H_Title_1" w:val="221102 EC 2 November 2022"/>
    <w:docVar w:name="Trove_H_Version_1" w:val=" "/>
  </w:docVars>
  <w:rsids>
    <w:rsidRoot w:val="00C42F87"/>
    <w:rsid w:val="000014C2"/>
    <w:rsid w:val="000026C9"/>
    <w:rsid w:val="00003A36"/>
    <w:rsid w:val="000113EA"/>
    <w:rsid w:val="00016BEE"/>
    <w:rsid w:val="00017DD9"/>
    <w:rsid w:val="000205C0"/>
    <w:rsid w:val="00020647"/>
    <w:rsid w:val="00020F4D"/>
    <w:rsid w:val="0002258F"/>
    <w:rsid w:val="0002680B"/>
    <w:rsid w:val="00030433"/>
    <w:rsid w:val="00032659"/>
    <w:rsid w:val="000340E9"/>
    <w:rsid w:val="0003432A"/>
    <w:rsid w:val="00034499"/>
    <w:rsid w:val="000347E0"/>
    <w:rsid w:val="00035378"/>
    <w:rsid w:val="00041C72"/>
    <w:rsid w:val="0004238D"/>
    <w:rsid w:val="00047379"/>
    <w:rsid w:val="00050F01"/>
    <w:rsid w:val="000546CB"/>
    <w:rsid w:val="00055076"/>
    <w:rsid w:val="000559BA"/>
    <w:rsid w:val="00056364"/>
    <w:rsid w:val="000574CF"/>
    <w:rsid w:val="0006186B"/>
    <w:rsid w:val="0006329D"/>
    <w:rsid w:val="0007418B"/>
    <w:rsid w:val="00074E02"/>
    <w:rsid w:val="00074EA4"/>
    <w:rsid w:val="00076D66"/>
    <w:rsid w:val="0007734B"/>
    <w:rsid w:val="00077D75"/>
    <w:rsid w:val="00082007"/>
    <w:rsid w:val="00083555"/>
    <w:rsid w:val="00083698"/>
    <w:rsid w:val="000836CE"/>
    <w:rsid w:val="00084395"/>
    <w:rsid w:val="000920D5"/>
    <w:rsid w:val="00092579"/>
    <w:rsid w:val="00092C2F"/>
    <w:rsid w:val="000937CD"/>
    <w:rsid w:val="00095D86"/>
    <w:rsid w:val="00097744"/>
    <w:rsid w:val="000A21B1"/>
    <w:rsid w:val="000A3541"/>
    <w:rsid w:val="000A4C62"/>
    <w:rsid w:val="000A7319"/>
    <w:rsid w:val="000A7DF1"/>
    <w:rsid w:val="000B4C62"/>
    <w:rsid w:val="000B5458"/>
    <w:rsid w:val="000B7252"/>
    <w:rsid w:val="000C0853"/>
    <w:rsid w:val="000C0A21"/>
    <w:rsid w:val="000C0B74"/>
    <w:rsid w:val="000C0EDA"/>
    <w:rsid w:val="000C4AA7"/>
    <w:rsid w:val="000C4CDA"/>
    <w:rsid w:val="000E04DD"/>
    <w:rsid w:val="000E0A8D"/>
    <w:rsid w:val="000E2884"/>
    <w:rsid w:val="000E5B05"/>
    <w:rsid w:val="000E7C08"/>
    <w:rsid w:val="000F0E9A"/>
    <w:rsid w:val="000F1488"/>
    <w:rsid w:val="000F5E47"/>
    <w:rsid w:val="000F6412"/>
    <w:rsid w:val="000F7463"/>
    <w:rsid w:val="00101099"/>
    <w:rsid w:val="0010175E"/>
    <w:rsid w:val="00101C09"/>
    <w:rsid w:val="001031F4"/>
    <w:rsid w:val="00104792"/>
    <w:rsid w:val="001047DA"/>
    <w:rsid w:val="00105716"/>
    <w:rsid w:val="00106149"/>
    <w:rsid w:val="00106D82"/>
    <w:rsid w:val="001128A9"/>
    <w:rsid w:val="00114021"/>
    <w:rsid w:val="00124951"/>
    <w:rsid w:val="00124E76"/>
    <w:rsid w:val="00124FEC"/>
    <w:rsid w:val="00125028"/>
    <w:rsid w:val="00126083"/>
    <w:rsid w:val="00127828"/>
    <w:rsid w:val="001309BF"/>
    <w:rsid w:val="00131C64"/>
    <w:rsid w:val="001360C9"/>
    <w:rsid w:val="001363EF"/>
    <w:rsid w:val="00136800"/>
    <w:rsid w:val="00137289"/>
    <w:rsid w:val="00137FE2"/>
    <w:rsid w:val="00142A48"/>
    <w:rsid w:val="001446E4"/>
    <w:rsid w:val="00146D0D"/>
    <w:rsid w:val="00147AAE"/>
    <w:rsid w:val="00150611"/>
    <w:rsid w:val="00150AAA"/>
    <w:rsid w:val="00152855"/>
    <w:rsid w:val="00153899"/>
    <w:rsid w:val="00154F36"/>
    <w:rsid w:val="0015536A"/>
    <w:rsid w:val="00157829"/>
    <w:rsid w:val="00162121"/>
    <w:rsid w:val="00164218"/>
    <w:rsid w:val="001659EA"/>
    <w:rsid w:val="00165ECD"/>
    <w:rsid w:val="001679B8"/>
    <w:rsid w:val="00173A2B"/>
    <w:rsid w:val="00175268"/>
    <w:rsid w:val="0018004B"/>
    <w:rsid w:val="00180853"/>
    <w:rsid w:val="00180A00"/>
    <w:rsid w:val="00181190"/>
    <w:rsid w:val="00181B40"/>
    <w:rsid w:val="001866EC"/>
    <w:rsid w:val="00190853"/>
    <w:rsid w:val="0019175F"/>
    <w:rsid w:val="001924FD"/>
    <w:rsid w:val="001937BE"/>
    <w:rsid w:val="00193FC8"/>
    <w:rsid w:val="00195E0A"/>
    <w:rsid w:val="00197059"/>
    <w:rsid w:val="001A4A1F"/>
    <w:rsid w:val="001A5B38"/>
    <w:rsid w:val="001A6284"/>
    <w:rsid w:val="001A6EA7"/>
    <w:rsid w:val="001A7191"/>
    <w:rsid w:val="001B07E8"/>
    <w:rsid w:val="001B1024"/>
    <w:rsid w:val="001B4D48"/>
    <w:rsid w:val="001B535F"/>
    <w:rsid w:val="001B79B0"/>
    <w:rsid w:val="001C1277"/>
    <w:rsid w:val="001C177D"/>
    <w:rsid w:val="001C2368"/>
    <w:rsid w:val="001C387E"/>
    <w:rsid w:val="001C476B"/>
    <w:rsid w:val="001C5D3F"/>
    <w:rsid w:val="001C6677"/>
    <w:rsid w:val="001C7A5A"/>
    <w:rsid w:val="001D179F"/>
    <w:rsid w:val="001D23DC"/>
    <w:rsid w:val="001D3DCD"/>
    <w:rsid w:val="001D708F"/>
    <w:rsid w:val="001D71E0"/>
    <w:rsid w:val="001E2BC0"/>
    <w:rsid w:val="001E3ECA"/>
    <w:rsid w:val="001E4E3F"/>
    <w:rsid w:val="001E6060"/>
    <w:rsid w:val="001F0C63"/>
    <w:rsid w:val="001F1FB7"/>
    <w:rsid w:val="001F4000"/>
    <w:rsid w:val="001F690D"/>
    <w:rsid w:val="001F7728"/>
    <w:rsid w:val="0020124B"/>
    <w:rsid w:val="002014E3"/>
    <w:rsid w:val="00204573"/>
    <w:rsid w:val="002045D2"/>
    <w:rsid w:val="002051C4"/>
    <w:rsid w:val="00206757"/>
    <w:rsid w:val="0021291C"/>
    <w:rsid w:val="002132AE"/>
    <w:rsid w:val="00214A45"/>
    <w:rsid w:val="002151A7"/>
    <w:rsid w:val="00221C17"/>
    <w:rsid w:val="00222206"/>
    <w:rsid w:val="00223942"/>
    <w:rsid w:val="00224CFA"/>
    <w:rsid w:val="00224D6B"/>
    <w:rsid w:val="00230041"/>
    <w:rsid w:val="002334B8"/>
    <w:rsid w:val="0023369A"/>
    <w:rsid w:val="00234528"/>
    <w:rsid w:val="00236981"/>
    <w:rsid w:val="00236E85"/>
    <w:rsid w:val="00240DD6"/>
    <w:rsid w:val="00243F6A"/>
    <w:rsid w:val="002447A9"/>
    <w:rsid w:val="0024511A"/>
    <w:rsid w:val="00245643"/>
    <w:rsid w:val="002467BB"/>
    <w:rsid w:val="002467EE"/>
    <w:rsid w:val="002474DF"/>
    <w:rsid w:val="00250210"/>
    <w:rsid w:val="00251B00"/>
    <w:rsid w:val="00251F7D"/>
    <w:rsid w:val="00253939"/>
    <w:rsid w:val="00253B6B"/>
    <w:rsid w:val="002542DD"/>
    <w:rsid w:val="0025787D"/>
    <w:rsid w:val="0026264A"/>
    <w:rsid w:val="002640FA"/>
    <w:rsid w:val="002653BA"/>
    <w:rsid w:val="00271DF3"/>
    <w:rsid w:val="00277A14"/>
    <w:rsid w:val="002840F2"/>
    <w:rsid w:val="00286367"/>
    <w:rsid w:val="00290AEA"/>
    <w:rsid w:val="00292C80"/>
    <w:rsid w:val="00292DD8"/>
    <w:rsid w:val="00292F36"/>
    <w:rsid w:val="002937C1"/>
    <w:rsid w:val="00294FAE"/>
    <w:rsid w:val="002966A6"/>
    <w:rsid w:val="002967FA"/>
    <w:rsid w:val="002A076B"/>
    <w:rsid w:val="002A27F6"/>
    <w:rsid w:val="002A2905"/>
    <w:rsid w:val="002A2CFD"/>
    <w:rsid w:val="002A63B0"/>
    <w:rsid w:val="002A6ECD"/>
    <w:rsid w:val="002B31DF"/>
    <w:rsid w:val="002B32F0"/>
    <w:rsid w:val="002B4F42"/>
    <w:rsid w:val="002B5481"/>
    <w:rsid w:val="002B63EB"/>
    <w:rsid w:val="002B7C01"/>
    <w:rsid w:val="002C0139"/>
    <w:rsid w:val="002C4E23"/>
    <w:rsid w:val="002C5234"/>
    <w:rsid w:val="002C5F13"/>
    <w:rsid w:val="002C6D73"/>
    <w:rsid w:val="002D0158"/>
    <w:rsid w:val="002D03DD"/>
    <w:rsid w:val="002D7216"/>
    <w:rsid w:val="002E230F"/>
    <w:rsid w:val="002E3393"/>
    <w:rsid w:val="002E61C2"/>
    <w:rsid w:val="002F022B"/>
    <w:rsid w:val="002F024D"/>
    <w:rsid w:val="002F2DA4"/>
    <w:rsid w:val="002F4487"/>
    <w:rsid w:val="002F4E78"/>
    <w:rsid w:val="002F5A3E"/>
    <w:rsid w:val="002F5DF4"/>
    <w:rsid w:val="002F6F1B"/>
    <w:rsid w:val="002F7CA7"/>
    <w:rsid w:val="003007B3"/>
    <w:rsid w:val="0030146A"/>
    <w:rsid w:val="00306F78"/>
    <w:rsid w:val="0030771D"/>
    <w:rsid w:val="00307A99"/>
    <w:rsid w:val="0031055C"/>
    <w:rsid w:val="00315382"/>
    <w:rsid w:val="00315FF8"/>
    <w:rsid w:val="003209F2"/>
    <w:rsid w:val="00320D77"/>
    <w:rsid w:val="0032136D"/>
    <w:rsid w:val="00322CB1"/>
    <w:rsid w:val="00323D9E"/>
    <w:rsid w:val="003313D9"/>
    <w:rsid w:val="00336744"/>
    <w:rsid w:val="00336C2B"/>
    <w:rsid w:val="00340A90"/>
    <w:rsid w:val="0034149C"/>
    <w:rsid w:val="00343C02"/>
    <w:rsid w:val="00343EA7"/>
    <w:rsid w:val="00346F1F"/>
    <w:rsid w:val="00352554"/>
    <w:rsid w:val="00352A35"/>
    <w:rsid w:val="00353127"/>
    <w:rsid w:val="00354D92"/>
    <w:rsid w:val="00360DDD"/>
    <w:rsid w:val="00360F0E"/>
    <w:rsid w:val="00361F65"/>
    <w:rsid w:val="00365F80"/>
    <w:rsid w:val="003708F8"/>
    <w:rsid w:val="0037441F"/>
    <w:rsid w:val="003768BE"/>
    <w:rsid w:val="00376E44"/>
    <w:rsid w:val="003804C7"/>
    <w:rsid w:val="003818FB"/>
    <w:rsid w:val="003836F7"/>
    <w:rsid w:val="003846FC"/>
    <w:rsid w:val="003853C2"/>
    <w:rsid w:val="00385CC9"/>
    <w:rsid w:val="0039439E"/>
    <w:rsid w:val="00395EA1"/>
    <w:rsid w:val="0039769C"/>
    <w:rsid w:val="003A3A20"/>
    <w:rsid w:val="003A4CD5"/>
    <w:rsid w:val="003B00CF"/>
    <w:rsid w:val="003B05DA"/>
    <w:rsid w:val="003B16C0"/>
    <w:rsid w:val="003B1773"/>
    <w:rsid w:val="003B3C21"/>
    <w:rsid w:val="003B615F"/>
    <w:rsid w:val="003C0538"/>
    <w:rsid w:val="003C1196"/>
    <w:rsid w:val="003C4D23"/>
    <w:rsid w:val="003D0768"/>
    <w:rsid w:val="003D0F04"/>
    <w:rsid w:val="003D192D"/>
    <w:rsid w:val="003D29BB"/>
    <w:rsid w:val="003D4982"/>
    <w:rsid w:val="003D4C4A"/>
    <w:rsid w:val="003D5E49"/>
    <w:rsid w:val="003D7BAD"/>
    <w:rsid w:val="003E0E51"/>
    <w:rsid w:val="003E19EB"/>
    <w:rsid w:val="003F0517"/>
    <w:rsid w:val="003F508A"/>
    <w:rsid w:val="003F7F13"/>
    <w:rsid w:val="00401480"/>
    <w:rsid w:val="004043D0"/>
    <w:rsid w:val="00405EEF"/>
    <w:rsid w:val="00412D57"/>
    <w:rsid w:val="00414751"/>
    <w:rsid w:val="0041529F"/>
    <w:rsid w:val="00417230"/>
    <w:rsid w:val="00420005"/>
    <w:rsid w:val="00420144"/>
    <w:rsid w:val="00421364"/>
    <w:rsid w:val="00425862"/>
    <w:rsid w:val="00425C66"/>
    <w:rsid w:val="004313D7"/>
    <w:rsid w:val="00434BC2"/>
    <w:rsid w:val="004351A7"/>
    <w:rsid w:val="0044129D"/>
    <w:rsid w:val="00441A8B"/>
    <w:rsid w:val="00443487"/>
    <w:rsid w:val="0044407F"/>
    <w:rsid w:val="0045073E"/>
    <w:rsid w:val="00450966"/>
    <w:rsid w:val="00450A30"/>
    <w:rsid w:val="00450BD7"/>
    <w:rsid w:val="00450CE4"/>
    <w:rsid w:val="00451AE5"/>
    <w:rsid w:val="00451E32"/>
    <w:rsid w:val="00452929"/>
    <w:rsid w:val="004614CE"/>
    <w:rsid w:val="0046331C"/>
    <w:rsid w:val="004636AD"/>
    <w:rsid w:val="00463812"/>
    <w:rsid w:val="00464E17"/>
    <w:rsid w:val="004657C4"/>
    <w:rsid w:val="0046671D"/>
    <w:rsid w:val="00466BE1"/>
    <w:rsid w:val="00467943"/>
    <w:rsid w:val="00467EB3"/>
    <w:rsid w:val="004759AA"/>
    <w:rsid w:val="00475B87"/>
    <w:rsid w:val="0047793F"/>
    <w:rsid w:val="00480D53"/>
    <w:rsid w:val="00482889"/>
    <w:rsid w:val="00483CF3"/>
    <w:rsid w:val="0048548C"/>
    <w:rsid w:val="0048553B"/>
    <w:rsid w:val="00487506"/>
    <w:rsid w:val="004921C3"/>
    <w:rsid w:val="00492BCC"/>
    <w:rsid w:val="004959EF"/>
    <w:rsid w:val="00496559"/>
    <w:rsid w:val="004968E3"/>
    <w:rsid w:val="004A096F"/>
    <w:rsid w:val="004A186A"/>
    <w:rsid w:val="004A2B6C"/>
    <w:rsid w:val="004B556D"/>
    <w:rsid w:val="004B69E3"/>
    <w:rsid w:val="004B717F"/>
    <w:rsid w:val="004C08DA"/>
    <w:rsid w:val="004C0A3A"/>
    <w:rsid w:val="004C0C8C"/>
    <w:rsid w:val="004C2243"/>
    <w:rsid w:val="004D052B"/>
    <w:rsid w:val="004D1504"/>
    <w:rsid w:val="004D40B0"/>
    <w:rsid w:val="004D45A3"/>
    <w:rsid w:val="004D569A"/>
    <w:rsid w:val="004D6A99"/>
    <w:rsid w:val="004E0A76"/>
    <w:rsid w:val="004E4DA1"/>
    <w:rsid w:val="004E5B72"/>
    <w:rsid w:val="004F18B1"/>
    <w:rsid w:val="004F1C43"/>
    <w:rsid w:val="004F3BCA"/>
    <w:rsid w:val="004F4039"/>
    <w:rsid w:val="004F4605"/>
    <w:rsid w:val="004F599B"/>
    <w:rsid w:val="00502EA8"/>
    <w:rsid w:val="005056A2"/>
    <w:rsid w:val="00506A97"/>
    <w:rsid w:val="00507B6B"/>
    <w:rsid w:val="00507FE7"/>
    <w:rsid w:val="00510E7E"/>
    <w:rsid w:val="00512057"/>
    <w:rsid w:val="0051523F"/>
    <w:rsid w:val="00515286"/>
    <w:rsid w:val="005177BE"/>
    <w:rsid w:val="00520CAA"/>
    <w:rsid w:val="00525179"/>
    <w:rsid w:val="0052637C"/>
    <w:rsid w:val="00531A9E"/>
    <w:rsid w:val="005338A7"/>
    <w:rsid w:val="00533F56"/>
    <w:rsid w:val="00534EE2"/>
    <w:rsid w:val="005360A2"/>
    <w:rsid w:val="0053763A"/>
    <w:rsid w:val="0054027B"/>
    <w:rsid w:val="0054038D"/>
    <w:rsid w:val="005429A5"/>
    <w:rsid w:val="00544012"/>
    <w:rsid w:val="00547563"/>
    <w:rsid w:val="00547B96"/>
    <w:rsid w:val="00551D50"/>
    <w:rsid w:val="0055405C"/>
    <w:rsid w:val="00554897"/>
    <w:rsid w:val="005557B1"/>
    <w:rsid w:val="00556BC0"/>
    <w:rsid w:val="00557D90"/>
    <w:rsid w:val="0056067C"/>
    <w:rsid w:val="005643A1"/>
    <w:rsid w:val="005672EE"/>
    <w:rsid w:val="00567E6F"/>
    <w:rsid w:val="0057115E"/>
    <w:rsid w:val="00571A08"/>
    <w:rsid w:val="00571B80"/>
    <w:rsid w:val="00572326"/>
    <w:rsid w:val="00575F9F"/>
    <w:rsid w:val="00576AE3"/>
    <w:rsid w:val="00581C5E"/>
    <w:rsid w:val="00582EF1"/>
    <w:rsid w:val="00583F7C"/>
    <w:rsid w:val="0058606E"/>
    <w:rsid w:val="00591D87"/>
    <w:rsid w:val="00595D9C"/>
    <w:rsid w:val="00596463"/>
    <w:rsid w:val="00597C66"/>
    <w:rsid w:val="005A44BA"/>
    <w:rsid w:val="005B0211"/>
    <w:rsid w:val="005B2A86"/>
    <w:rsid w:val="005B4275"/>
    <w:rsid w:val="005B58EC"/>
    <w:rsid w:val="005B67F2"/>
    <w:rsid w:val="005B69CE"/>
    <w:rsid w:val="005B7E9F"/>
    <w:rsid w:val="005C0860"/>
    <w:rsid w:val="005C0EA5"/>
    <w:rsid w:val="005C2D38"/>
    <w:rsid w:val="005C53B3"/>
    <w:rsid w:val="005C54E9"/>
    <w:rsid w:val="005C5E54"/>
    <w:rsid w:val="005C78F9"/>
    <w:rsid w:val="005D0952"/>
    <w:rsid w:val="005D3D42"/>
    <w:rsid w:val="005D4BDD"/>
    <w:rsid w:val="005D627E"/>
    <w:rsid w:val="005D659A"/>
    <w:rsid w:val="005D719E"/>
    <w:rsid w:val="005E1922"/>
    <w:rsid w:val="005E1FAC"/>
    <w:rsid w:val="005E2F84"/>
    <w:rsid w:val="005E4447"/>
    <w:rsid w:val="005E47E6"/>
    <w:rsid w:val="005E5180"/>
    <w:rsid w:val="005E794F"/>
    <w:rsid w:val="005F03FE"/>
    <w:rsid w:val="005F0717"/>
    <w:rsid w:val="005F0950"/>
    <w:rsid w:val="005F1673"/>
    <w:rsid w:val="005F36B5"/>
    <w:rsid w:val="005F42AC"/>
    <w:rsid w:val="005F4D8E"/>
    <w:rsid w:val="005F5480"/>
    <w:rsid w:val="005F5549"/>
    <w:rsid w:val="00601C1B"/>
    <w:rsid w:val="006056E8"/>
    <w:rsid w:val="006068B6"/>
    <w:rsid w:val="00607C75"/>
    <w:rsid w:val="00614A1D"/>
    <w:rsid w:val="0061674F"/>
    <w:rsid w:val="00616D36"/>
    <w:rsid w:val="00620697"/>
    <w:rsid w:val="0062103E"/>
    <w:rsid w:val="006215D7"/>
    <w:rsid w:val="00622E68"/>
    <w:rsid w:val="006230C3"/>
    <w:rsid w:val="00626545"/>
    <w:rsid w:val="00626C18"/>
    <w:rsid w:val="006340D7"/>
    <w:rsid w:val="0064032F"/>
    <w:rsid w:val="00641261"/>
    <w:rsid w:val="00641BCB"/>
    <w:rsid w:val="00642E12"/>
    <w:rsid w:val="00642E70"/>
    <w:rsid w:val="00644727"/>
    <w:rsid w:val="00656709"/>
    <w:rsid w:val="00656F83"/>
    <w:rsid w:val="006603A3"/>
    <w:rsid w:val="00665219"/>
    <w:rsid w:val="00667A5D"/>
    <w:rsid w:val="00667BD2"/>
    <w:rsid w:val="00670F75"/>
    <w:rsid w:val="00671C7C"/>
    <w:rsid w:val="00672EFF"/>
    <w:rsid w:val="006754F1"/>
    <w:rsid w:val="006813A8"/>
    <w:rsid w:val="006829EC"/>
    <w:rsid w:val="0068443F"/>
    <w:rsid w:val="00686BE3"/>
    <w:rsid w:val="0069391E"/>
    <w:rsid w:val="00695F4D"/>
    <w:rsid w:val="006966F6"/>
    <w:rsid w:val="00697054"/>
    <w:rsid w:val="006A0CBE"/>
    <w:rsid w:val="006A1F93"/>
    <w:rsid w:val="006A27B3"/>
    <w:rsid w:val="006A288E"/>
    <w:rsid w:val="006A388A"/>
    <w:rsid w:val="006A5D7D"/>
    <w:rsid w:val="006A7912"/>
    <w:rsid w:val="006A7940"/>
    <w:rsid w:val="006B14B0"/>
    <w:rsid w:val="006B3414"/>
    <w:rsid w:val="006B4B49"/>
    <w:rsid w:val="006B78F1"/>
    <w:rsid w:val="006C1494"/>
    <w:rsid w:val="006C1D27"/>
    <w:rsid w:val="006C4C14"/>
    <w:rsid w:val="006C547C"/>
    <w:rsid w:val="006C6255"/>
    <w:rsid w:val="006C6E8A"/>
    <w:rsid w:val="006C7B8C"/>
    <w:rsid w:val="006D0614"/>
    <w:rsid w:val="006D0E7A"/>
    <w:rsid w:val="006D1A40"/>
    <w:rsid w:val="006D31CC"/>
    <w:rsid w:val="006D521C"/>
    <w:rsid w:val="006D5380"/>
    <w:rsid w:val="006D5BA8"/>
    <w:rsid w:val="006D5DD3"/>
    <w:rsid w:val="006D7C6A"/>
    <w:rsid w:val="006E215D"/>
    <w:rsid w:val="006E7A50"/>
    <w:rsid w:val="006F126F"/>
    <w:rsid w:val="006F4793"/>
    <w:rsid w:val="006F4AD2"/>
    <w:rsid w:val="006F53ED"/>
    <w:rsid w:val="006F54FE"/>
    <w:rsid w:val="006F7A73"/>
    <w:rsid w:val="007002FA"/>
    <w:rsid w:val="00703350"/>
    <w:rsid w:val="00703958"/>
    <w:rsid w:val="0070498C"/>
    <w:rsid w:val="00707164"/>
    <w:rsid w:val="00707C4B"/>
    <w:rsid w:val="007102C0"/>
    <w:rsid w:val="00710310"/>
    <w:rsid w:val="00712E3E"/>
    <w:rsid w:val="0071480B"/>
    <w:rsid w:val="00720747"/>
    <w:rsid w:val="00721A87"/>
    <w:rsid w:val="00723A2B"/>
    <w:rsid w:val="00726228"/>
    <w:rsid w:val="00730BAC"/>
    <w:rsid w:val="00730D1B"/>
    <w:rsid w:val="00730E8D"/>
    <w:rsid w:val="00733E60"/>
    <w:rsid w:val="00734145"/>
    <w:rsid w:val="00740055"/>
    <w:rsid w:val="00745252"/>
    <w:rsid w:val="00747FC6"/>
    <w:rsid w:val="00753E78"/>
    <w:rsid w:val="00754D62"/>
    <w:rsid w:val="007578F0"/>
    <w:rsid w:val="007603C9"/>
    <w:rsid w:val="00761665"/>
    <w:rsid w:val="0076190D"/>
    <w:rsid w:val="007622D4"/>
    <w:rsid w:val="00762ADA"/>
    <w:rsid w:val="00764498"/>
    <w:rsid w:val="007648EA"/>
    <w:rsid w:val="0077007A"/>
    <w:rsid w:val="007728BB"/>
    <w:rsid w:val="00776789"/>
    <w:rsid w:val="00780142"/>
    <w:rsid w:val="007811EB"/>
    <w:rsid w:val="007835FC"/>
    <w:rsid w:val="00783CC4"/>
    <w:rsid w:val="00786E89"/>
    <w:rsid w:val="00792138"/>
    <w:rsid w:val="00796887"/>
    <w:rsid w:val="007A35CD"/>
    <w:rsid w:val="007A3BB7"/>
    <w:rsid w:val="007A41CB"/>
    <w:rsid w:val="007A47D6"/>
    <w:rsid w:val="007A7069"/>
    <w:rsid w:val="007A7CC9"/>
    <w:rsid w:val="007B1484"/>
    <w:rsid w:val="007B37C6"/>
    <w:rsid w:val="007B38CE"/>
    <w:rsid w:val="007B4B63"/>
    <w:rsid w:val="007B5D20"/>
    <w:rsid w:val="007B6E98"/>
    <w:rsid w:val="007C7171"/>
    <w:rsid w:val="007C79F8"/>
    <w:rsid w:val="007D03C8"/>
    <w:rsid w:val="007D4D28"/>
    <w:rsid w:val="007D66C7"/>
    <w:rsid w:val="007D730A"/>
    <w:rsid w:val="007E115F"/>
    <w:rsid w:val="007E191B"/>
    <w:rsid w:val="007E6614"/>
    <w:rsid w:val="007E678E"/>
    <w:rsid w:val="007E7DDF"/>
    <w:rsid w:val="007F7076"/>
    <w:rsid w:val="007F7578"/>
    <w:rsid w:val="008013C1"/>
    <w:rsid w:val="00801830"/>
    <w:rsid w:val="00802124"/>
    <w:rsid w:val="00802A31"/>
    <w:rsid w:val="00807427"/>
    <w:rsid w:val="00807799"/>
    <w:rsid w:val="00811105"/>
    <w:rsid w:val="00811525"/>
    <w:rsid w:val="00812375"/>
    <w:rsid w:val="00812FFC"/>
    <w:rsid w:val="008140F0"/>
    <w:rsid w:val="008149C7"/>
    <w:rsid w:val="008156F0"/>
    <w:rsid w:val="00815EA2"/>
    <w:rsid w:val="00817E0B"/>
    <w:rsid w:val="00817EF8"/>
    <w:rsid w:val="008201D4"/>
    <w:rsid w:val="008230A6"/>
    <w:rsid w:val="00823E9B"/>
    <w:rsid w:val="008243E6"/>
    <w:rsid w:val="008250C3"/>
    <w:rsid w:val="00825125"/>
    <w:rsid w:val="008276BB"/>
    <w:rsid w:val="00827A01"/>
    <w:rsid w:val="00827E0C"/>
    <w:rsid w:val="00827F3E"/>
    <w:rsid w:val="00830BB6"/>
    <w:rsid w:val="008310AF"/>
    <w:rsid w:val="0083131C"/>
    <w:rsid w:val="00835DC9"/>
    <w:rsid w:val="00841D98"/>
    <w:rsid w:val="008424AB"/>
    <w:rsid w:val="0084683F"/>
    <w:rsid w:val="00846E87"/>
    <w:rsid w:val="008539FB"/>
    <w:rsid w:val="00855721"/>
    <w:rsid w:val="0085762A"/>
    <w:rsid w:val="008605E6"/>
    <w:rsid w:val="00860E85"/>
    <w:rsid w:val="0086175D"/>
    <w:rsid w:val="008619B2"/>
    <w:rsid w:val="00861A24"/>
    <w:rsid w:val="00861D0B"/>
    <w:rsid w:val="00863D15"/>
    <w:rsid w:val="00863D6C"/>
    <w:rsid w:val="00863DF9"/>
    <w:rsid w:val="00866CD9"/>
    <w:rsid w:val="00867B8C"/>
    <w:rsid w:val="008718A5"/>
    <w:rsid w:val="00872AC8"/>
    <w:rsid w:val="00873B3B"/>
    <w:rsid w:val="00883933"/>
    <w:rsid w:val="00884D89"/>
    <w:rsid w:val="00884F0A"/>
    <w:rsid w:val="00886A7B"/>
    <w:rsid w:val="00894F22"/>
    <w:rsid w:val="00897E6E"/>
    <w:rsid w:val="008A2F49"/>
    <w:rsid w:val="008A430C"/>
    <w:rsid w:val="008B0126"/>
    <w:rsid w:val="008B0B89"/>
    <w:rsid w:val="008B3126"/>
    <w:rsid w:val="008B339E"/>
    <w:rsid w:val="008C1E60"/>
    <w:rsid w:val="008C2E34"/>
    <w:rsid w:val="008C32E9"/>
    <w:rsid w:val="008C42DB"/>
    <w:rsid w:val="008C44FC"/>
    <w:rsid w:val="008C5861"/>
    <w:rsid w:val="008C6CE7"/>
    <w:rsid w:val="008D1156"/>
    <w:rsid w:val="008D1508"/>
    <w:rsid w:val="008D42E1"/>
    <w:rsid w:val="008D6B05"/>
    <w:rsid w:val="008E00F8"/>
    <w:rsid w:val="008E1A3B"/>
    <w:rsid w:val="008E1DAC"/>
    <w:rsid w:val="008E45C8"/>
    <w:rsid w:val="008E6486"/>
    <w:rsid w:val="008E741E"/>
    <w:rsid w:val="008F04FA"/>
    <w:rsid w:val="008F2851"/>
    <w:rsid w:val="008F3013"/>
    <w:rsid w:val="008F671F"/>
    <w:rsid w:val="00904EA6"/>
    <w:rsid w:val="009053EB"/>
    <w:rsid w:val="009060BC"/>
    <w:rsid w:val="00907E1D"/>
    <w:rsid w:val="00911B6C"/>
    <w:rsid w:val="00912004"/>
    <w:rsid w:val="00913B13"/>
    <w:rsid w:val="00913D0F"/>
    <w:rsid w:val="00914460"/>
    <w:rsid w:val="00915165"/>
    <w:rsid w:val="00915E31"/>
    <w:rsid w:val="009160FA"/>
    <w:rsid w:val="00923C3A"/>
    <w:rsid w:val="009247FF"/>
    <w:rsid w:val="00927892"/>
    <w:rsid w:val="00931A90"/>
    <w:rsid w:val="0093240C"/>
    <w:rsid w:val="009338F1"/>
    <w:rsid w:val="009351B0"/>
    <w:rsid w:val="009358F2"/>
    <w:rsid w:val="00941E15"/>
    <w:rsid w:val="00943770"/>
    <w:rsid w:val="00944E4C"/>
    <w:rsid w:val="00945AEE"/>
    <w:rsid w:val="00945AF8"/>
    <w:rsid w:val="00951D82"/>
    <w:rsid w:val="00953C79"/>
    <w:rsid w:val="009575F1"/>
    <w:rsid w:val="00962765"/>
    <w:rsid w:val="00962F19"/>
    <w:rsid w:val="00963034"/>
    <w:rsid w:val="009668CB"/>
    <w:rsid w:val="00970F06"/>
    <w:rsid w:val="009741B1"/>
    <w:rsid w:val="00981149"/>
    <w:rsid w:val="009811B1"/>
    <w:rsid w:val="0098190A"/>
    <w:rsid w:val="009834AA"/>
    <w:rsid w:val="009834C5"/>
    <w:rsid w:val="009876BA"/>
    <w:rsid w:val="009876FE"/>
    <w:rsid w:val="00987AFC"/>
    <w:rsid w:val="00987AFF"/>
    <w:rsid w:val="00990B3B"/>
    <w:rsid w:val="009919FF"/>
    <w:rsid w:val="00994602"/>
    <w:rsid w:val="0099644E"/>
    <w:rsid w:val="009A3E26"/>
    <w:rsid w:val="009A3F6B"/>
    <w:rsid w:val="009A75A0"/>
    <w:rsid w:val="009A7F55"/>
    <w:rsid w:val="009B28A1"/>
    <w:rsid w:val="009B2A7E"/>
    <w:rsid w:val="009B3377"/>
    <w:rsid w:val="009B6D74"/>
    <w:rsid w:val="009B78BC"/>
    <w:rsid w:val="009B7AEE"/>
    <w:rsid w:val="009C20C8"/>
    <w:rsid w:val="009C3CF7"/>
    <w:rsid w:val="009C466E"/>
    <w:rsid w:val="009C4BE5"/>
    <w:rsid w:val="009C6C97"/>
    <w:rsid w:val="009D0FF0"/>
    <w:rsid w:val="009D1F14"/>
    <w:rsid w:val="009D39A6"/>
    <w:rsid w:val="009D3E7B"/>
    <w:rsid w:val="009D5E41"/>
    <w:rsid w:val="009D6A1F"/>
    <w:rsid w:val="009D7D56"/>
    <w:rsid w:val="009E7EF1"/>
    <w:rsid w:val="009F1AA3"/>
    <w:rsid w:val="009F24EC"/>
    <w:rsid w:val="009F4260"/>
    <w:rsid w:val="009F4C28"/>
    <w:rsid w:val="009F57A6"/>
    <w:rsid w:val="00A03CA1"/>
    <w:rsid w:val="00A074BA"/>
    <w:rsid w:val="00A07DD1"/>
    <w:rsid w:val="00A133D8"/>
    <w:rsid w:val="00A14DB2"/>
    <w:rsid w:val="00A16F6B"/>
    <w:rsid w:val="00A17817"/>
    <w:rsid w:val="00A17EBE"/>
    <w:rsid w:val="00A21584"/>
    <w:rsid w:val="00A25499"/>
    <w:rsid w:val="00A26BD7"/>
    <w:rsid w:val="00A329D8"/>
    <w:rsid w:val="00A32BF4"/>
    <w:rsid w:val="00A333D7"/>
    <w:rsid w:val="00A33959"/>
    <w:rsid w:val="00A34754"/>
    <w:rsid w:val="00A372AD"/>
    <w:rsid w:val="00A41953"/>
    <w:rsid w:val="00A41F2F"/>
    <w:rsid w:val="00A43476"/>
    <w:rsid w:val="00A50D40"/>
    <w:rsid w:val="00A517E2"/>
    <w:rsid w:val="00A51C68"/>
    <w:rsid w:val="00A524CF"/>
    <w:rsid w:val="00A536CE"/>
    <w:rsid w:val="00A55047"/>
    <w:rsid w:val="00A6173C"/>
    <w:rsid w:val="00A6199F"/>
    <w:rsid w:val="00A61F82"/>
    <w:rsid w:val="00A63497"/>
    <w:rsid w:val="00A67572"/>
    <w:rsid w:val="00A72603"/>
    <w:rsid w:val="00A75CB0"/>
    <w:rsid w:val="00A75F68"/>
    <w:rsid w:val="00A76031"/>
    <w:rsid w:val="00A7618C"/>
    <w:rsid w:val="00A77E93"/>
    <w:rsid w:val="00A77F4B"/>
    <w:rsid w:val="00A81551"/>
    <w:rsid w:val="00A82C69"/>
    <w:rsid w:val="00A84473"/>
    <w:rsid w:val="00A844DA"/>
    <w:rsid w:val="00A84D15"/>
    <w:rsid w:val="00A84F91"/>
    <w:rsid w:val="00A85682"/>
    <w:rsid w:val="00A85867"/>
    <w:rsid w:val="00A87E07"/>
    <w:rsid w:val="00A92222"/>
    <w:rsid w:val="00A92EA1"/>
    <w:rsid w:val="00A96D3A"/>
    <w:rsid w:val="00AA5EA3"/>
    <w:rsid w:val="00AA7790"/>
    <w:rsid w:val="00AA7A52"/>
    <w:rsid w:val="00AB08A1"/>
    <w:rsid w:val="00AB42C7"/>
    <w:rsid w:val="00AB5956"/>
    <w:rsid w:val="00AC3904"/>
    <w:rsid w:val="00AC4B21"/>
    <w:rsid w:val="00AD0AF9"/>
    <w:rsid w:val="00AD1E78"/>
    <w:rsid w:val="00AD21D3"/>
    <w:rsid w:val="00AD2941"/>
    <w:rsid w:val="00AD4181"/>
    <w:rsid w:val="00AD650A"/>
    <w:rsid w:val="00AD6DBF"/>
    <w:rsid w:val="00AE1083"/>
    <w:rsid w:val="00AE2FD6"/>
    <w:rsid w:val="00AE66D7"/>
    <w:rsid w:val="00AE702E"/>
    <w:rsid w:val="00AF12C9"/>
    <w:rsid w:val="00AF2B0C"/>
    <w:rsid w:val="00AF3BE7"/>
    <w:rsid w:val="00AF445F"/>
    <w:rsid w:val="00AF5658"/>
    <w:rsid w:val="00AF6F6C"/>
    <w:rsid w:val="00B001A8"/>
    <w:rsid w:val="00B03114"/>
    <w:rsid w:val="00B046C9"/>
    <w:rsid w:val="00B107E0"/>
    <w:rsid w:val="00B1323B"/>
    <w:rsid w:val="00B13398"/>
    <w:rsid w:val="00B17AE2"/>
    <w:rsid w:val="00B20038"/>
    <w:rsid w:val="00B2071A"/>
    <w:rsid w:val="00B21881"/>
    <w:rsid w:val="00B21DB5"/>
    <w:rsid w:val="00B25AD2"/>
    <w:rsid w:val="00B3048F"/>
    <w:rsid w:val="00B305F3"/>
    <w:rsid w:val="00B30DE9"/>
    <w:rsid w:val="00B32D64"/>
    <w:rsid w:val="00B36AC1"/>
    <w:rsid w:val="00B45ECF"/>
    <w:rsid w:val="00B55568"/>
    <w:rsid w:val="00B56FFA"/>
    <w:rsid w:val="00B5764D"/>
    <w:rsid w:val="00B57BAF"/>
    <w:rsid w:val="00B63267"/>
    <w:rsid w:val="00B66589"/>
    <w:rsid w:val="00B66991"/>
    <w:rsid w:val="00B67C4F"/>
    <w:rsid w:val="00B83460"/>
    <w:rsid w:val="00B8375B"/>
    <w:rsid w:val="00B8537B"/>
    <w:rsid w:val="00B85562"/>
    <w:rsid w:val="00B8698D"/>
    <w:rsid w:val="00B904AB"/>
    <w:rsid w:val="00B9171B"/>
    <w:rsid w:val="00B91740"/>
    <w:rsid w:val="00B92F4A"/>
    <w:rsid w:val="00B960A4"/>
    <w:rsid w:val="00B96213"/>
    <w:rsid w:val="00BA4025"/>
    <w:rsid w:val="00BA4B00"/>
    <w:rsid w:val="00BA6B13"/>
    <w:rsid w:val="00BA6B79"/>
    <w:rsid w:val="00BB11B9"/>
    <w:rsid w:val="00BB1F6D"/>
    <w:rsid w:val="00BB2591"/>
    <w:rsid w:val="00BB2F56"/>
    <w:rsid w:val="00BB51FC"/>
    <w:rsid w:val="00BB7A66"/>
    <w:rsid w:val="00BC0E41"/>
    <w:rsid w:val="00BC1ACF"/>
    <w:rsid w:val="00BC3311"/>
    <w:rsid w:val="00BC3613"/>
    <w:rsid w:val="00BD2FCE"/>
    <w:rsid w:val="00BD65E6"/>
    <w:rsid w:val="00BE0313"/>
    <w:rsid w:val="00BE08C4"/>
    <w:rsid w:val="00BE2DEA"/>
    <w:rsid w:val="00BE2FD1"/>
    <w:rsid w:val="00BE3C1C"/>
    <w:rsid w:val="00BF12B7"/>
    <w:rsid w:val="00BF18ED"/>
    <w:rsid w:val="00BF32FB"/>
    <w:rsid w:val="00BF3A7C"/>
    <w:rsid w:val="00BF5125"/>
    <w:rsid w:val="00BF5A92"/>
    <w:rsid w:val="00C023C7"/>
    <w:rsid w:val="00C02F53"/>
    <w:rsid w:val="00C0718A"/>
    <w:rsid w:val="00C07B7F"/>
    <w:rsid w:val="00C10665"/>
    <w:rsid w:val="00C154D3"/>
    <w:rsid w:val="00C171B0"/>
    <w:rsid w:val="00C17FAF"/>
    <w:rsid w:val="00C223F0"/>
    <w:rsid w:val="00C24163"/>
    <w:rsid w:val="00C264D3"/>
    <w:rsid w:val="00C26C3A"/>
    <w:rsid w:val="00C27B6B"/>
    <w:rsid w:val="00C312F6"/>
    <w:rsid w:val="00C34940"/>
    <w:rsid w:val="00C35AF8"/>
    <w:rsid w:val="00C400CC"/>
    <w:rsid w:val="00C422B6"/>
    <w:rsid w:val="00C4280D"/>
    <w:rsid w:val="00C42F87"/>
    <w:rsid w:val="00C431E6"/>
    <w:rsid w:val="00C43BC7"/>
    <w:rsid w:val="00C43E3C"/>
    <w:rsid w:val="00C44238"/>
    <w:rsid w:val="00C4489D"/>
    <w:rsid w:val="00C45934"/>
    <w:rsid w:val="00C51DFF"/>
    <w:rsid w:val="00C52067"/>
    <w:rsid w:val="00C524F9"/>
    <w:rsid w:val="00C53645"/>
    <w:rsid w:val="00C5507E"/>
    <w:rsid w:val="00C55542"/>
    <w:rsid w:val="00C56719"/>
    <w:rsid w:val="00C60449"/>
    <w:rsid w:val="00C64C28"/>
    <w:rsid w:val="00C72D29"/>
    <w:rsid w:val="00C74865"/>
    <w:rsid w:val="00C74988"/>
    <w:rsid w:val="00C75B31"/>
    <w:rsid w:val="00C7620F"/>
    <w:rsid w:val="00C83A23"/>
    <w:rsid w:val="00C840ED"/>
    <w:rsid w:val="00C84949"/>
    <w:rsid w:val="00C85C26"/>
    <w:rsid w:val="00C86BA0"/>
    <w:rsid w:val="00C87D70"/>
    <w:rsid w:val="00C9193D"/>
    <w:rsid w:val="00C92350"/>
    <w:rsid w:val="00C92846"/>
    <w:rsid w:val="00C93D66"/>
    <w:rsid w:val="00C94B48"/>
    <w:rsid w:val="00C94C07"/>
    <w:rsid w:val="00C970E8"/>
    <w:rsid w:val="00C97DAB"/>
    <w:rsid w:val="00CA04D9"/>
    <w:rsid w:val="00CA2504"/>
    <w:rsid w:val="00CA2DC2"/>
    <w:rsid w:val="00CA4BC5"/>
    <w:rsid w:val="00CA6118"/>
    <w:rsid w:val="00CA6A46"/>
    <w:rsid w:val="00CB1A7E"/>
    <w:rsid w:val="00CB211B"/>
    <w:rsid w:val="00CB6900"/>
    <w:rsid w:val="00CC2D8F"/>
    <w:rsid w:val="00CC2FAC"/>
    <w:rsid w:val="00CC3E0E"/>
    <w:rsid w:val="00CC7B11"/>
    <w:rsid w:val="00CD11B1"/>
    <w:rsid w:val="00CD14B2"/>
    <w:rsid w:val="00CD1C5C"/>
    <w:rsid w:val="00CD4AFD"/>
    <w:rsid w:val="00CE0B36"/>
    <w:rsid w:val="00CE375B"/>
    <w:rsid w:val="00CE4FDA"/>
    <w:rsid w:val="00CE7183"/>
    <w:rsid w:val="00CE7387"/>
    <w:rsid w:val="00CF1B03"/>
    <w:rsid w:val="00CF26A6"/>
    <w:rsid w:val="00CF29BC"/>
    <w:rsid w:val="00CF327E"/>
    <w:rsid w:val="00CF3530"/>
    <w:rsid w:val="00CF5CD4"/>
    <w:rsid w:val="00CF7CF9"/>
    <w:rsid w:val="00CF7F41"/>
    <w:rsid w:val="00D0534D"/>
    <w:rsid w:val="00D05D19"/>
    <w:rsid w:val="00D1206D"/>
    <w:rsid w:val="00D125F0"/>
    <w:rsid w:val="00D12C40"/>
    <w:rsid w:val="00D1335E"/>
    <w:rsid w:val="00D15F88"/>
    <w:rsid w:val="00D16A4A"/>
    <w:rsid w:val="00D16D70"/>
    <w:rsid w:val="00D17698"/>
    <w:rsid w:val="00D21216"/>
    <w:rsid w:val="00D22A3F"/>
    <w:rsid w:val="00D23FBF"/>
    <w:rsid w:val="00D24BFA"/>
    <w:rsid w:val="00D25994"/>
    <w:rsid w:val="00D3124C"/>
    <w:rsid w:val="00D3143A"/>
    <w:rsid w:val="00D340F4"/>
    <w:rsid w:val="00D3430A"/>
    <w:rsid w:val="00D35774"/>
    <w:rsid w:val="00D40B6E"/>
    <w:rsid w:val="00D440ED"/>
    <w:rsid w:val="00D44AE4"/>
    <w:rsid w:val="00D462CE"/>
    <w:rsid w:val="00D46341"/>
    <w:rsid w:val="00D46EAB"/>
    <w:rsid w:val="00D51F0B"/>
    <w:rsid w:val="00D52647"/>
    <w:rsid w:val="00D52919"/>
    <w:rsid w:val="00D54A78"/>
    <w:rsid w:val="00D576EE"/>
    <w:rsid w:val="00D61E7D"/>
    <w:rsid w:val="00D6237E"/>
    <w:rsid w:val="00D64773"/>
    <w:rsid w:val="00D64879"/>
    <w:rsid w:val="00D64C8C"/>
    <w:rsid w:val="00D675AC"/>
    <w:rsid w:val="00D67BD3"/>
    <w:rsid w:val="00D70FEF"/>
    <w:rsid w:val="00D71760"/>
    <w:rsid w:val="00D72384"/>
    <w:rsid w:val="00D72995"/>
    <w:rsid w:val="00D75980"/>
    <w:rsid w:val="00D76972"/>
    <w:rsid w:val="00D774C6"/>
    <w:rsid w:val="00D800A2"/>
    <w:rsid w:val="00D8025F"/>
    <w:rsid w:val="00D81782"/>
    <w:rsid w:val="00D90D5E"/>
    <w:rsid w:val="00D930B7"/>
    <w:rsid w:val="00D94121"/>
    <w:rsid w:val="00D95248"/>
    <w:rsid w:val="00D9710D"/>
    <w:rsid w:val="00D9752F"/>
    <w:rsid w:val="00D97BF7"/>
    <w:rsid w:val="00D97DF3"/>
    <w:rsid w:val="00DA0C2F"/>
    <w:rsid w:val="00DA151A"/>
    <w:rsid w:val="00DA274A"/>
    <w:rsid w:val="00DA2783"/>
    <w:rsid w:val="00DA3973"/>
    <w:rsid w:val="00DA43B0"/>
    <w:rsid w:val="00DA4B52"/>
    <w:rsid w:val="00DA4FAF"/>
    <w:rsid w:val="00DA63DA"/>
    <w:rsid w:val="00DB021E"/>
    <w:rsid w:val="00DB1876"/>
    <w:rsid w:val="00DB350A"/>
    <w:rsid w:val="00DB3A26"/>
    <w:rsid w:val="00DB3FC5"/>
    <w:rsid w:val="00DB4004"/>
    <w:rsid w:val="00DB5607"/>
    <w:rsid w:val="00DB6017"/>
    <w:rsid w:val="00DB7E23"/>
    <w:rsid w:val="00DC08A4"/>
    <w:rsid w:val="00DC1308"/>
    <w:rsid w:val="00DD1739"/>
    <w:rsid w:val="00DD1773"/>
    <w:rsid w:val="00DD1F0A"/>
    <w:rsid w:val="00DD4BAD"/>
    <w:rsid w:val="00DD5E10"/>
    <w:rsid w:val="00DD5F50"/>
    <w:rsid w:val="00DD7C39"/>
    <w:rsid w:val="00DD7FC1"/>
    <w:rsid w:val="00DE1096"/>
    <w:rsid w:val="00DE1BFB"/>
    <w:rsid w:val="00DE1DBA"/>
    <w:rsid w:val="00DE1DC1"/>
    <w:rsid w:val="00DE439F"/>
    <w:rsid w:val="00DE7071"/>
    <w:rsid w:val="00DE720A"/>
    <w:rsid w:val="00DF0B17"/>
    <w:rsid w:val="00DF1331"/>
    <w:rsid w:val="00DF6C06"/>
    <w:rsid w:val="00DF738C"/>
    <w:rsid w:val="00DF7ED0"/>
    <w:rsid w:val="00E00A1B"/>
    <w:rsid w:val="00E013D8"/>
    <w:rsid w:val="00E02AB0"/>
    <w:rsid w:val="00E05BC6"/>
    <w:rsid w:val="00E07165"/>
    <w:rsid w:val="00E1091C"/>
    <w:rsid w:val="00E11F2F"/>
    <w:rsid w:val="00E135AB"/>
    <w:rsid w:val="00E14E0E"/>
    <w:rsid w:val="00E16486"/>
    <w:rsid w:val="00E167D4"/>
    <w:rsid w:val="00E17480"/>
    <w:rsid w:val="00E200DD"/>
    <w:rsid w:val="00E2646D"/>
    <w:rsid w:val="00E3113A"/>
    <w:rsid w:val="00E34362"/>
    <w:rsid w:val="00E35D36"/>
    <w:rsid w:val="00E375D8"/>
    <w:rsid w:val="00E43BFC"/>
    <w:rsid w:val="00E45DD3"/>
    <w:rsid w:val="00E47E04"/>
    <w:rsid w:val="00E51ED8"/>
    <w:rsid w:val="00E558E3"/>
    <w:rsid w:val="00E56D2B"/>
    <w:rsid w:val="00E611CD"/>
    <w:rsid w:val="00E61A03"/>
    <w:rsid w:val="00E62324"/>
    <w:rsid w:val="00E65739"/>
    <w:rsid w:val="00E65AF2"/>
    <w:rsid w:val="00E65D6C"/>
    <w:rsid w:val="00E666BD"/>
    <w:rsid w:val="00E66BF3"/>
    <w:rsid w:val="00E70162"/>
    <w:rsid w:val="00E736F0"/>
    <w:rsid w:val="00E7386D"/>
    <w:rsid w:val="00E752A2"/>
    <w:rsid w:val="00E8282F"/>
    <w:rsid w:val="00E85A5F"/>
    <w:rsid w:val="00E86A86"/>
    <w:rsid w:val="00E86D35"/>
    <w:rsid w:val="00E901CC"/>
    <w:rsid w:val="00E92643"/>
    <w:rsid w:val="00E95FED"/>
    <w:rsid w:val="00E9677C"/>
    <w:rsid w:val="00E9697A"/>
    <w:rsid w:val="00EA05B7"/>
    <w:rsid w:val="00EA21AC"/>
    <w:rsid w:val="00EA2DE8"/>
    <w:rsid w:val="00EA36F3"/>
    <w:rsid w:val="00EA3E09"/>
    <w:rsid w:val="00EA5225"/>
    <w:rsid w:val="00EB0C52"/>
    <w:rsid w:val="00EB1864"/>
    <w:rsid w:val="00EB3643"/>
    <w:rsid w:val="00EB5114"/>
    <w:rsid w:val="00EB559C"/>
    <w:rsid w:val="00EB5AA3"/>
    <w:rsid w:val="00EC0A84"/>
    <w:rsid w:val="00EC1EEC"/>
    <w:rsid w:val="00EC513B"/>
    <w:rsid w:val="00ED1E8C"/>
    <w:rsid w:val="00ED64AB"/>
    <w:rsid w:val="00EE0B2A"/>
    <w:rsid w:val="00EE19E7"/>
    <w:rsid w:val="00EE24FC"/>
    <w:rsid w:val="00EE698D"/>
    <w:rsid w:val="00EE6EB3"/>
    <w:rsid w:val="00EF040F"/>
    <w:rsid w:val="00EF4975"/>
    <w:rsid w:val="00EF75EE"/>
    <w:rsid w:val="00EF7E35"/>
    <w:rsid w:val="00F01000"/>
    <w:rsid w:val="00F01C5C"/>
    <w:rsid w:val="00F0299C"/>
    <w:rsid w:val="00F03C8A"/>
    <w:rsid w:val="00F055E0"/>
    <w:rsid w:val="00F05B9E"/>
    <w:rsid w:val="00F06EA6"/>
    <w:rsid w:val="00F07473"/>
    <w:rsid w:val="00F0790F"/>
    <w:rsid w:val="00F10072"/>
    <w:rsid w:val="00F12D77"/>
    <w:rsid w:val="00F14864"/>
    <w:rsid w:val="00F15228"/>
    <w:rsid w:val="00F22407"/>
    <w:rsid w:val="00F224C8"/>
    <w:rsid w:val="00F22915"/>
    <w:rsid w:val="00F255C9"/>
    <w:rsid w:val="00F27BC5"/>
    <w:rsid w:val="00F40974"/>
    <w:rsid w:val="00F44430"/>
    <w:rsid w:val="00F5040C"/>
    <w:rsid w:val="00F511D2"/>
    <w:rsid w:val="00F514BD"/>
    <w:rsid w:val="00F544DF"/>
    <w:rsid w:val="00F55EBD"/>
    <w:rsid w:val="00F62B28"/>
    <w:rsid w:val="00F62F87"/>
    <w:rsid w:val="00F63ACC"/>
    <w:rsid w:val="00F67CCC"/>
    <w:rsid w:val="00F67D07"/>
    <w:rsid w:val="00F74260"/>
    <w:rsid w:val="00F7450B"/>
    <w:rsid w:val="00F75B73"/>
    <w:rsid w:val="00F766E7"/>
    <w:rsid w:val="00F77AE5"/>
    <w:rsid w:val="00F86FDF"/>
    <w:rsid w:val="00F920E9"/>
    <w:rsid w:val="00F92A83"/>
    <w:rsid w:val="00F94EDD"/>
    <w:rsid w:val="00F958DF"/>
    <w:rsid w:val="00F964EA"/>
    <w:rsid w:val="00F97056"/>
    <w:rsid w:val="00F972B4"/>
    <w:rsid w:val="00FA0970"/>
    <w:rsid w:val="00FA5C86"/>
    <w:rsid w:val="00FB0B1D"/>
    <w:rsid w:val="00FB2046"/>
    <w:rsid w:val="00FB29D8"/>
    <w:rsid w:val="00FB2A14"/>
    <w:rsid w:val="00FB32E7"/>
    <w:rsid w:val="00FB484B"/>
    <w:rsid w:val="00FC26B5"/>
    <w:rsid w:val="00FC3D7B"/>
    <w:rsid w:val="00FC729A"/>
    <w:rsid w:val="00FD00AC"/>
    <w:rsid w:val="00FD063C"/>
    <w:rsid w:val="00FD210A"/>
    <w:rsid w:val="00FD2332"/>
    <w:rsid w:val="00FD35AE"/>
    <w:rsid w:val="00FD673B"/>
    <w:rsid w:val="00FD78E5"/>
    <w:rsid w:val="00FE0BB4"/>
    <w:rsid w:val="00FE1E97"/>
    <w:rsid w:val="00FE21F2"/>
    <w:rsid w:val="00FE2C25"/>
    <w:rsid w:val="00FE30E3"/>
    <w:rsid w:val="00FE4A52"/>
    <w:rsid w:val="00FE738E"/>
    <w:rsid w:val="00FE78CC"/>
    <w:rsid w:val="00FE7B78"/>
    <w:rsid w:val="00FF09EA"/>
    <w:rsid w:val="00FF0A3F"/>
    <w:rsid w:val="00FF10EE"/>
    <w:rsid w:val="00FF1F89"/>
    <w:rsid w:val="00FF596A"/>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F9C1CB"/>
  <w15:docId w15:val="{2A06148E-C1E5-432C-A2DF-66826D0E64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42F87"/>
    <w:pPr>
      <w:spacing w:after="5" w:line="251" w:lineRule="auto"/>
      <w:ind w:left="10" w:right="17" w:hanging="10"/>
    </w:pPr>
    <w:rPr>
      <w:rFonts w:ascii="Arial" w:eastAsia="Arial" w:hAnsi="Arial" w:cs="Arial"/>
      <w:color w:val="000000"/>
      <w:sz w:val="24"/>
      <w:lang w:eastAsia="en-GB"/>
    </w:rPr>
  </w:style>
  <w:style w:type="paragraph" w:styleId="Heading1">
    <w:name w:val="heading 1"/>
    <w:basedOn w:val="Normal"/>
    <w:next w:val="Normal"/>
    <w:link w:val="Heading1Char"/>
    <w:uiPriority w:val="9"/>
    <w:qFormat/>
    <w:rsid w:val="00C264D3"/>
    <w:pPr>
      <w:keepNext/>
      <w:spacing w:after="0" w:line="240" w:lineRule="auto"/>
      <w:ind w:left="11" w:hanging="11"/>
      <w:outlineLvl w:val="0"/>
    </w:pPr>
    <w:rPr>
      <w:rFonts w:eastAsia="Times New Roman" w:cs="Times New Roman"/>
      <w:b/>
      <w:bCs/>
      <w:caps/>
      <w:kern w:val="32"/>
      <w:sz w:val="28"/>
      <w:szCs w:val="32"/>
      <w:u w:val="single"/>
    </w:rPr>
  </w:style>
  <w:style w:type="paragraph" w:styleId="Heading2">
    <w:name w:val="heading 2"/>
    <w:basedOn w:val="Normal"/>
    <w:next w:val="Normal"/>
    <w:link w:val="Heading2Char"/>
    <w:uiPriority w:val="9"/>
    <w:unhideWhenUsed/>
    <w:qFormat/>
    <w:rsid w:val="00C264D3"/>
    <w:pPr>
      <w:keepNext/>
      <w:keepLines/>
      <w:spacing w:before="40" w:after="0"/>
      <w:outlineLvl w:val="1"/>
    </w:pPr>
    <w:rPr>
      <w:rFonts w:eastAsiaTheme="majorEastAsia" w:cstheme="majorBidi"/>
      <w:b/>
      <w:color w:val="auto"/>
      <w:szCs w:val="26"/>
      <w:u w:val="single"/>
    </w:rPr>
  </w:style>
  <w:style w:type="paragraph" w:styleId="Heading3">
    <w:name w:val="heading 3"/>
    <w:basedOn w:val="Normal"/>
    <w:next w:val="Normal"/>
    <w:link w:val="Heading3Char"/>
    <w:uiPriority w:val="9"/>
    <w:semiHidden/>
    <w:unhideWhenUsed/>
    <w:qFormat/>
    <w:rsid w:val="00DF0B17"/>
    <w:pPr>
      <w:keepNext/>
      <w:keepLines/>
      <w:spacing w:before="40" w:after="0"/>
      <w:outlineLvl w:val="2"/>
    </w:pPr>
    <w:rPr>
      <w:rFonts w:asciiTheme="majorHAnsi" w:eastAsiaTheme="majorEastAsia" w:hAnsiTheme="majorHAnsi" w:cstheme="majorBidi"/>
      <w:color w:val="1F3763" w:themeColor="accent1" w:themeShade="7F"/>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264D3"/>
    <w:rPr>
      <w:rFonts w:ascii="Arial" w:eastAsia="Times New Roman" w:hAnsi="Arial" w:cs="Times New Roman"/>
      <w:b/>
      <w:bCs/>
      <w:caps/>
      <w:color w:val="000000"/>
      <w:kern w:val="32"/>
      <w:sz w:val="28"/>
      <w:szCs w:val="32"/>
      <w:u w:val="single"/>
      <w:lang w:eastAsia="en-GB"/>
    </w:rPr>
  </w:style>
  <w:style w:type="character" w:customStyle="1" w:styleId="Heading2Char">
    <w:name w:val="Heading 2 Char"/>
    <w:basedOn w:val="DefaultParagraphFont"/>
    <w:link w:val="Heading2"/>
    <w:uiPriority w:val="9"/>
    <w:rsid w:val="00C264D3"/>
    <w:rPr>
      <w:rFonts w:ascii="Arial" w:eastAsiaTheme="majorEastAsia" w:hAnsi="Arial" w:cstheme="majorBidi"/>
      <w:b/>
      <w:sz w:val="24"/>
      <w:szCs w:val="26"/>
      <w:u w:val="single"/>
      <w:lang w:eastAsia="en-GB"/>
    </w:rPr>
  </w:style>
  <w:style w:type="table" w:styleId="TableGrid">
    <w:name w:val="Table Grid"/>
    <w:basedOn w:val="TableNormal"/>
    <w:uiPriority w:val="59"/>
    <w:rsid w:val="00173A2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9F1AA3"/>
    <w:pPr>
      <w:tabs>
        <w:tab w:val="center" w:pos="4513"/>
        <w:tab w:val="right" w:pos="9026"/>
      </w:tabs>
      <w:spacing w:after="0" w:line="240" w:lineRule="auto"/>
    </w:pPr>
  </w:style>
  <w:style w:type="character" w:customStyle="1" w:styleId="HeaderChar">
    <w:name w:val="Header Char"/>
    <w:basedOn w:val="DefaultParagraphFont"/>
    <w:link w:val="Header"/>
    <w:uiPriority w:val="99"/>
    <w:rsid w:val="009F1AA3"/>
    <w:rPr>
      <w:rFonts w:ascii="Arial" w:eastAsia="Arial" w:hAnsi="Arial" w:cs="Arial"/>
      <w:color w:val="000000"/>
      <w:sz w:val="24"/>
      <w:lang w:eastAsia="en-GB"/>
    </w:rPr>
  </w:style>
  <w:style w:type="paragraph" w:styleId="Footer">
    <w:name w:val="footer"/>
    <w:basedOn w:val="Normal"/>
    <w:link w:val="FooterChar"/>
    <w:uiPriority w:val="99"/>
    <w:unhideWhenUsed/>
    <w:rsid w:val="009F1AA3"/>
    <w:pPr>
      <w:tabs>
        <w:tab w:val="center" w:pos="4513"/>
        <w:tab w:val="right" w:pos="9026"/>
      </w:tabs>
      <w:spacing w:after="0" w:line="240" w:lineRule="auto"/>
    </w:pPr>
  </w:style>
  <w:style w:type="character" w:customStyle="1" w:styleId="FooterChar">
    <w:name w:val="Footer Char"/>
    <w:basedOn w:val="DefaultParagraphFont"/>
    <w:link w:val="Footer"/>
    <w:uiPriority w:val="99"/>
    <w:rsid w:val="009F1AA3"/>
    <w:rPr>
      <w:rFonts w:ascii="Arial" w:eastAsia="Arial" w:hAnsi="Arial" w:cs="Arial"/>
      <w:color w:val="000000"/>
      <w:sz w:val="24"/>
      <w:lang w:eastAsia="en-GB"/>
    </w:rPr>
  </w:style>
  <w:style w:type="paragraph" w:customStyle="1" w:styleId="Default">
    <w:name w:val="Default"/>
    <w:rsid w:val="00780142"/>
    <w:pPr>
      <w:autoSpaceDE w:val="0"/>
      <w:autoSpaceDN w:val="0"/>
      <w:adjustRightInd w:val="0"/>
      <w:spacing w:after="0" w:line="240" w:lineRule="auto"/>
    </w:pPr>
    <w:rPr>
      <w:rFonts w:ascii="Arial" w:eastAsia="Calibri" w:hAnsi="Arial" w:cs="Arial"/>
      <w:color w:val="000000"/>
      <w:sz w:val="24"/>
      <w:szCs w:val="24"/>
    </w:rPr>
  </w:style>
  <w:style w:type="paragraph" w:styleId="NormalWeb">
    <w:name w:val="Normal (Web)"/>
    <w:basedOn w:val="Normal"/>
    <w:uiPriority w:val="99"/>
    <w:unhideWhenUsed/>
    <w:rsid w:val="00CB211B"/>
    <w:pPr>
      <w:spacing w:after="0" w:line="240" w:lineRule="auto"/>
      <w:ind w:left="0" w:right="0" w:firstLine="0"/>
    </w:pPr>
    <w:rPr>
      <w:rFonts w:ascii="Times New Roman" w:eastAsiaTheme="minorHAnsi" w:hAnsi="Times New Roman" w:cs="Times New Roman"/>
      <w:color w:val="auto"/>
      <w:szCs w:val="24"/>
    </w:rPr>
  </w:style>
  <w:style w:type="paragraph" w:styleId="BodyTextIndent2">
    <w:name w:val="Body Text Indent 2"/>
    <w:basedOn w:val="Normal"/>
    <w:link w:val="BodyTextIndent2Char"/>
    <w:uiPriority w:val="99"/>
    <w:unhideWhenUsed/>
    <w:rsid w:val="00E666BD"/>
    <w:pPr>
      <w:spacing w:after="120" w:line="480" w:lineRule="auto"/>
      <w:ind w:left="283" w:right="0" w:firstLine="0"/>
    </w:pPr>
    <w:rPr>
      <w:rFonts w:ascii="Times New Roman" w:eastAsiaTheme="minorHAnsi" w:hAnsi="Times New Roman" w:cs="Times New Roman"/>
      <w:color w:val="auto"/>
      <w:sz w:val="20"/>
      <w:szCs w:val="20"/>
      <w:lang w:eastAsia="en-US"/>
    </w:rPr>
  </w:style>
  <w:style w:type="character" w:customStyle="1" w:styleId="BodyTextIndent2Char">
    <w:name w:val="Body Text Indent 2 Char"/>
    <w:basedOn w:val="DefaultParagraphFont"/>
    <w:link w:val="BodyTextIndent2"/>
    <w:uiPriority w:val="99"/>
    <w:rsid w:val="00E666BD"/>
    <w:rPr>
      <w:rFonts w:ascii="Times New Roman" w:hAnsi="Times New Roman" w:cs="Times New Roman"/>
      <w:sz w:val="20"/>
      <w:szCs w:val="20"/>
    </w:rPr>
  </w:style>
  <w:style w:type="paragraph" w:customStyle="1" w:styleId="BulletText2">
    <w:name w:val="Bullet Text 2"/>
    <w:basedOn w:val="Normal"/>
    <w:rsid w:val="00E666BD"/>
    <w:pPr>
      <w:numPr>
        <w:numId w:val="2"/>
      </w:numPr>
      <w:spacing w:after="0" w:line="240" w:lineRule="auto"/>
      <w:ind w:left="346" w:right="0"/>
    </w:pPr>
    <w:rPr>
      <w:rFonts w:ascii="Times New Roman" w:eastAsia="Times New Roman" w:hAnsi="Times New Roman" w:cs="Times New Roman"/>
      <w:szCs w:val="20"/>
      <w:lang w:val="en-US" w:eastAsia="en-US"/>
    </w:rPr>
  </w:style>
  <w:style w:type="character" w:styleId="Hyperlink">
    <w:name w:val="Hyperlink"/>
    <w:basedOn w:val="DefaultParagraphFont"/>
    <w:uiPriority w:val="99"/>
    <w:unhideWhenUsed/>
    <w:rsid w:val="0098190A"/>
    <w:rPr>
      <w:color w:val="0563C1" w:themeColor="hyperlink"/>
      <w:u w:val="single"/>
    </w:rPr>
  </w:style>
  <w:style w:type="character" w:styleId="CommentReference">
    <w:name w:val="annotation reference"/>
    <w:basedOn w:val="DefaultParagraphFont"/>
    <w:uiPriority w:val="99"/>
    <w:semiHidden/>
    <w:unhideWhenUsed/>
    <w:rsid w:val="001A4A1F"/>
    <w:rPr>
      <w:sz w:val="16"/>
      <w:szCs w:val="16"/>
    </w:rPr>
  </w:style>
  <w:style w:type="paragraph" w:styleId="CommentText">
    <w:name w:val="annotation text"/>
    <w:basedOn w:val="Normal"/>
    <w:link w:val="CommentTextChar"/>
    <w:uiPriority w:val="99"/>
    <w:semiHidden/>
    <w:unhideWhenUsed/>
    <w:rsid w:val="001A4A1F"/>
    <w:pPr>
      <w:spacing w:line="240" w:lineRule="auto"/>
    </w:pPr>
    <w:rPr>
      <w:sz w:val="20"/>
      <w:szCs w:val="20"/>
    </w:rPr>
  </w:style>
  <w:style w:type="character" w:customStyle="1" w:styleId="CommentTextChar">
    <w:name w:val="Comment Text Char"/>
    <w:basedOn w:val="DefaultParagraphFont"/>
    <w:link w:val="CommentText"/>
    <w:uiPriority w:val="99"/>
    <w:semiHidden/>
    <w:rsid w:val="001A4A1F"/>
    <w:rPr>
      <w:rFonts w:ascii="Arial" w:eastAsia="Arial" w:hAnsi="Arial" w:cs="Arial"/>
      <w:color w:val="000000"/>
      <w:sz w:val="20"/>
      <w:szCs w:val="20"/>
      <w:lang w:eastAsia="en-GB"/>
    </w:rPr>
  </w:style>
  <w:style w:type="paragraph" w:styleId="CommentSubject">
    <w:name w:val="annotation subject"/>
    <w:basedOn w:val="CommentText"/>
    <w:next w:val="CommentText"/>
    <w:link w:val="CommentSubjectChar"/>
    <w:uiPriority w:val="99"/>
    <w:semiHidden/>
    <w:unhideWhenUsed/>
    <w:rsid w:val="001A4A1F"/>
    <w:rPr>
      <w:b/>
      <w:bCs/>
    </w:rPr>
  </w:style>
  <w:style w:type="character" w:customStyle="1" w:styleId="CommentSubjectChar">
    <w:name w:val="Comment Subject Char"/>
    <w:basedOn w:val="CommentTextChar"/>
    <w:link w:val="CommentSubject"/>
    <w:uiPriority w:val="99"/>
    <w:semiHidden/>
    <w:rsid w:val="001A4A1F"/>
    <w:rPr>
      <w:rFonts w:ascii="Arial" w:eastAsia="Arial" w:hAnsi="Arial" w:cs="Arial"/>
      <w:b/>
      <w:bCs/>
      <w:color w:val="000000"/>
      <w:sz w:val="20"/>
      <w:szCs w:val="20"/>
      <w:lang w:eastAsia="en-GB"/>
    </w:rPr>
  </w:style>
  <w:style w:type="character" w:customStyle="1" w:styleId="Heading3Char">
    <w:name w:val="Heading 3 Char"/>
    <w:basedOn w:val="DefaultParagraphFont"/>
    <w:link w:val="Heading3"/>
    <w:uiPriority w:val="9"/>
    <w:semiHidden/>
    <w:rsid w:val="00DF0B17"/>
    <w:rPr>
      <w:rFonts w:asciiTheme="majorHAnsi" w:eastAsiaTheme="majorEastAsia" w:hAnsiTheme="majorHAnsi" w:cstheme="majorBidi"/>
      <w:color w:val="1F3763" w:themeColor="accent1" w:themeShade="7F"/>
      <w:sz w:val="24"/>
      <w:szCs w:val="24"/>
      <w:lang w:eastAsia="en-GB"/>
    </w:rPr>
  </w:style>
  <w:style w:type="paragraph" w:customStyle="1" w:styleId="Classification">
    <w:name w:val="Classification"/>
    <w:basedOn w:val="Normal"/>
    <w:qFormat/>
    <w:rsid w:val="00DF0B17"/>
    <w:pPr>
      <w:spacing w:before="120" w:after="120" w:line="240" w:lineRule="auto"/>
      <w:ind w:left="0" w:right="0" w:firstLine="0"/>
      <w:jc w:val="both"/>
    </w:pPr>
    <w:rPr>
      <w:rFonts w:eastAsia="Calibri"/>
      <w:color w:val="auto"/>
      <w:szCs w:val="24"/>
      <w:lang w:eastAsia="en-US"/>
    </w:rPr>
  </w:style>
  <w:style w:type="paragraph" w:styleId="NoSpacing">
    <w:name w:val="No Spacing"/>
    <w:link w:val="NoSpacingChar"/>
    <w:uiPriority w:val="1"/>
    <w:qFormat/>
    <w:rsid w:val="00DF0B17"/>
    <w:pPr>
      <w:spacing w:after="0" w:line="240" w:lineRule="auto"/>
    </w:pPr>
    <w:rPr>
      <w:rFonts w:eastAsiaTheme="minorEastAsia"/>
      <w:lang w:val="en-US" w:eastAsia="ja-JP"/>
    </w:rPr>
  </w:style>
  <w:style w:type="character" w:customStyle="1" w:styleId="NoSpacingChar">
    <w:name w:val="No Spacing Char"/>
    <w:basedOn w:val="DefaultParagraphFont"/>
    <w:link w:val="NoSpacing"/>
    <w:uiPriority w:val="1"/>
    <w:rsid w:val="00DF0B17"/>
    <w:rPr>
      <w:rFonts w:eastAsiaTheme="minorEastAsia"/>
      <w:lang w:val="en-US" w:eastAsia="ja-JP"/>
    </w:rPr>
  </w:style>
  <w:style w:type="paragraph" w:styleId="BalloonText">
    <w:name w:val="Balloon Text"/>
    <w:basedOn w:val="Normal"/>
    <w:link w:val="BalloonTextChar"/>
    <w:uiPriority w:val="99"/>
    <w:semiHidden/>
    <w:unhideWhenUsed/>
    <w:rsid w:val="00307A9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07A99"/>
    <w:rPr>
      <w:rFonts w:ascii="Segoe UI" w:eastAsia="Arial" w:hAnsi="Segoe UI" w:cs="Segoe UI"/>
      <w:color w:val="000000"/>
      <w:sz w:val="18"/>
      <w:szCs w:val="18"/>
      <w:lang w:eastAsia="en-GB"/>
    </w:rPr>
  </w:style>
  <w:style w:type="table" w:customStyle="1" w:styleId="TableGrid1">
    <w:name w:val="Table Grid1"/>
    <w:basedOn w:val="TableNormal"/>
    <w:next w:val="TableGrid"/>
    <w:uiPriority w:val="39"/>
    <w:rsid w:val="00137FE2"/>
    <w:pPr>
      <w:spacing w:after="0" w:line="240" w:lineRule="auto"/>
    </w:pPr>
    <w:rPr>
      <w:rFonts w:ascii="Arial" w:hAnsi="Arial"/>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uiPriority w:val="99"/>
    <w:semiHidden/>
    <w:rsid w:val="002E61C2"/>
    <w:rPr>
      <w:rFonts w:ascii="Arial" w:hAnsi="Arial"/>
      <w:color w:val="808080"/>
    </w:rPr>
  </w:style>
  <w:style w:type="paragraph" w:customStyle="1" w:styleId="Normal1">
    <w:name w:val="Normal_1"/>
    <w:qFormat/>
    <w:rsid w:val="002E61C2"/>
    <w:pPr>
      <w:spacing w:after="0" w:line="240" w:lineRule="auto"/>
    </w:pPr>
    <w:rPr>
      <w:rFonts w:ascii="Times New Roman" w:eastAsia="Times New Roman" w:hAnsi="Times New Roman" w:cs="Times New Roman"/>
      <w:sz w:val="24"/>
      <w:szCs w:val="24"/>
      <w:lang w:eastAsia="en-GB"/>
    </w:rPr>
  </w:style>
  <w:style w:type="table" w:customStyle="1" w:styleId="TableGrid2">
    <w:name w:val="Table Grid2"/>
    <w:basedOn w:val="TableNormal"/>
    <w:next w:val="TableGrid"/>
    <w:uiPriority w:val="39"/>
    <w:rsid w:val="00863D15"/>
    <w:pPr>
      <w:spacing w:after="0" w:line="240" w:lineRule="auto"/>
    </w:pPr>
    <w:rPr>
      <w:rFonts w:ascii="Arial" w:hAnsi="Arial" w:cs="Arial"/>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863D15"/>
    <w:pPr>
      <w:spacing w:after="0" w:line="240" w:lineRule="auto"/>
    </w:pPr>
    <w:rPr>
      <w:rFonts w:ascii="Arial" w:hAnsi="Arial" w:cs="Arial"/>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39"/>
    <w:rsid w:val="00863D15"/>
    <w:pPr>
      <w:spacing w:after="0" w:line="240" w:lineRule="auto"/>
    </w:pPr>
    <w:rPr>
      <w:rFonts w:ascii="Arial" w:hAnsi="Arial" w:cs="Arial"/>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msonormal">
    <w:name w:val="x_msonormal"/>
    <w:basedOn w:val="Normal"/>
    <w:uiPriority w:val="99"/>
    <w:rsid w:val="00BA4025"/>
    <w:pPr>
      <w:spacing w:before="100" w:beforeAutospacing="1" w:after="100" w:afterAutospacing="1" w:line="240" w:lineRule="auto"/>
      <w:ind w:left="0" w:right="0" w:firstLine="0"/>
    </w:pPr>
    <w:rPr>
      <w:rFonts w:ascii="Calibri" w:eastAsiaTheme="minorHAnsi" w:hAnsi="Calibri" w:cs="Calibri"/>
      <w:color w:val="auto"/>
      <w:sz w:val="22"/>
    </w:rPr>
  </w:style>
  <w:style w:type="paragraph" w:customStyle="1" w:styleId="paragraph">
    <w:name w:val="paragraph"/>
    <w:basedOn w:val="Normal"/>
    <w:rsid w:val="00032659"/>
    <w:pPr>
      <w:spacing w:after="0" w:line="240" w:lineRule="auto"/>
      <w:ind w:left="0" w:right="0" w:firstLine="0"/>
    </w:pPr>
    <w:rPr>
      <w:rFonts w:ascii="Calibri" w:eastAsiaTheme="minorHAnsi" w:hAnsi="Calibri" w:cs="Calibri"/>
      <w:color w:val="auto"/>
      <w:sz w:val="22"/>
    </w:rPr>
  </w:style>
  <w:style w:type="character" w:customStyle="1" w:styleId="normaltextrun">
    <w:name w:val="normaltextrun"/>
    <w:basedOn w:val="DefaultParagraphFont"/>
    <w:rsid w:val="00032659"/>
  </w:style>
  <w:style w:type="character" w:customStyle="1" w:styleId="eop">
    <w:name w:val="eop"/>
    <w:basedOn w:val="DefaultParagraphFont"/>
    <w:rsid w:val="00032659"/>
  </w:style>
  <w:style w:type="character" w:customStyle="1" w:styleId="contentpasted0">
    <w:name w:val="contentpasted0"/>
    <w:basedOn w:val="DefaultParagraphFont"/>
    <w:rsid w:val="004313D7"/>
  </w:style>
  <w:style w:type="table" w:styleId="GridTable4-Accent5">
    <w:name w:val="Grid Table 4 Accent 5"/>
    <w:basedOn w:val="TableNormal"/>
    <w:uiPriority w:val="49"/>
    <w:rsid w:val="00EC0A84"/>
    <w:pPr>
      <w:spacing w:after="0" w:line="240" w:lineRule="auto"/>
    </w:p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0638489">
      <w:bodyDiv w:val="1"/>
      <w:marLeft w:val="0"/>
      <w:marRight w:val="0"/>
      <w:marTop w:val="0"/>
      <w:marBottom w:val="0"/>
      <w:divBdr>
        <w:top w:val="none" w:sz="0" w:space="0" w:color="auto"/>
        <w:left w:val="none" w:sz="0" w:space="0" w:color="auto"/>
        <w:bottom w:val="none" w:sz="0" w:space="0" w:color="auto"/>
        <w:right w:val="none" w:sz="0" w:space="0" w:color="auto"/>
      </w:divBdr>
    </w:div>
    <w:div w:id="173426834">
      <w:bodyDiv w:val="1"/>
      <w:marLeft w:val="0"/>
      <w:marRight w:val="0"/>
      <w:marTop w:val="0"/>
      <w:marBottom w:val="0"/>
      <w:divBdr>
        <w:top w:val="none" w:sz="0" w:space="0" w:color="auto"/>
        <w:left w:val="none" w:sz="0" w:space="0" w:color="auto"/>
        <w:bottom w:val="none" w:sz="0" w:space="0" w:color="auto"/>
        <w:right w:val="none" w:sz="0" w:space="0" w:color="auto"/>
      </w:divBdr>
    </w:div>
    <w:div w:id="550000200">
      <w:bodyDiv w:val="1"/>
      <w:marLeft w:val="0"/>
      <w:marRight w:val="0"/>
      <w:marTop w:val="0"/>
      <w:marBottom w:val="0"/>
      <w:divBdr>
        <w:top w:val="none" w:sz="0" w:space="0" w:color="auto"/>
        <w:left w:val="none" w:sz="0" w:space="0" w:color="auto"/>
        <w:bottom w:val="none" w:sz="0" w:space="0" w:color="auto"/>
        <w:right w:val="none" w:sz="0" w:space="0" w:color="auto"/>
      </w:divBdr>
    </w:div>
    <w:div w:id="638143940">
      <w:bodyDiv w:val="1"/>
      <w:marLeft w:val="0"/>
      <w:marRight w:val="0"/>
      <w:marTop w:val="0"/>
      <w:marBottom w:val="0"/>
      <w:divBdr>
        <w:top w:val="none" w:sz="0" w:space="0" w:color="auto"/>
        <w:left w:val="none" w:sz="0" w:space="0" w:color="auto"/>
        <w:bottom w:val="none" w:sz="0" w:space="0" w:color="auto"/>
        <w:right w:val="none" w:sz="0" w:space="0" w:color="auto"/>
      </w:divBdr>
    </w:div>
    <w:div w:id="784689293">
      <w:bodyDiv w:val="1"/>
      <w:marLeft w:val="0"/>
      <w:marRight w:val="0"/>
      <w:marTop w:val="0"/>
      <w:marBottom w:val="0"/>
      <w:divBdr>
        <w:top w:val="none" w:sz="0" w:space="0" w:color="auto"/>
        <w:left w:val="none" w:sz="0" w:space="0" w:color="auto"/>
        <w:bottom w:val="none" w:sz="0" w:space="0" w:color="auto"/>
        <w:right w:val="none" w:sz="0" w:space="0" w:color="auto"/>
      </w:divBdr>
    </w:div>
    <w:div w:id="820775789">
      <w:bodyDiv w:val="1"/>
      <w:marLeft w:val="0"/>
      <w:marRight w:val="0"/>
      <w:marTop w:val="0"/>
      <w:marBottom w:val="0"/>
      <w:divBdr>
        <w:top w:val="none" w:sz="0" w:space="0" w:color="auto"/>
        <w:left w:val="none" w:sz="0" w:space="0" w:color="auto"/>
        <w:bottom w:val="none" w:sz="0" w:space="0" w:color="auto"/>
        <w:right w:val="none" w:sz="0" w:space="0" w:color="auto"/>
      </w:divBdr>
    </w:div>
    <w:div w:id="1323005112">
      <w:bodyDiv w:val="1"/>
      <w:marLeft w:val="0"/>
      <w:marRight w:val="0"/>
      <w:marTop w:val="0"/>
      <w:marBottom w:val="0"/>
      <w:divBdr>
        <w:top w:val="none" w:sz="0" w:space="0" w:color="auto"/>
        <w:left w:val="none" w:sz="0" w:space="0" w:color="auto"/>
        <w:bottom w:val="none" w:sz="0" w:space="0" w:color="auto"/>
        <w:right w:val="none" w:sz="0" w:space="0" w:color="auto"/>
      </w:divBdr>
    </w:div>
    <w:div w:id="1383361349">
      <w:bodyDiv w:val="1"/>
      <w:marLeft w:val="0"/>
      <w:marRight w:val="0"/>
      <w:marTop w:val="0"/>
      <w:marBottom w:val="0"/>
      <w:divBdr>
        <w:top w:val="none" w:sz="0" w:space="0" w:color="auto"/>
        <w:left w:val="none" w:sz="0" w:space="0" w:color="auto"/>
        <w:bottom w:val="none" w:sz="0" w:space="0" w:color="auto"/>
        <w:right w:val="none" w:sz="0" w:space="0" w:color="auto"/>
      </w:divBdr>
    </w:div>
    <w:div w:id="1412432125">
      <w:bodyDiv w:val="1"/>
      <w:marLeft w:val="0"/>
      <w:marRight w:val="0"/>
      <w:marTop w:val="0"/>
      <w:marBottom w:val="0"/>
      <w:divBdr>
        <w:top w:val="none" w:sz="0" w:space="0" w:color="auto"/>
        <w:left w:val="none" w:sz="0" w:space="0" w:color="auto"/>
        <w:bottom w:val="none" w:sz="0" w:space="0" w:color="auto"/>
        <w:right w:val="none" w:sz="0" w:space="0" w:color="auto"/>
      </w:divBdr>
    </w:div>
    <w:div w:id="1576813673">
      <w:bodyDiv w:val="1"/>
      <w:marLeft w:val="0"/>
      <w:marRight w:val="0"/>
      <w:marTop w:val="0"/>
      <w:marBottom w:val="0"/>
      <w:divBdr>
        <w:top w:val="none" w:sz="0" w:space="0" w:color="auto"/>
        <w:left w:val="none" w:sz="0" w:space="0" w:color="auto"/>
        <w:bottom w:val="none" w:sz="0" w:space="0" w:color="auto"/>
        <w:right w:val="none" w:sz="0" w:space="0" w:color="auto"/>
      </w:divBdr>
    </w:div>
    <w:div w:id="1757676961">
      <w:bodyDiv w:val="1"/>
      <w:marLeft w:val="0"/>
      <w:marRight w:val="0"/>
      <w:marTop w:val="0"/>
      <w:marBottom w:val="0"/>
      <w:divBdr>
        <w:top w:val="none" w:sz="0" w:space="0" w:color="auto"/>
        <w:left w:val="none" w:sz="0" w:space="0" w:color="auto"/>
        <w:bottom w:val="none" w:sz="0" w:space="0" w:color="auto"/>
        <w:right w:val="none" w:sz="0" w:space="0" w:color="auto"/>
      </w:divBdr>
    </w:div>
    <w:div w:id="189257374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chart" Target="charts/chart2.xm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chart" Target="charts/chart1.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chart" Target="charts/chart3.xml"/><Relationship Id="rId22" Type="http://schemas.openxmlformats.org/officeDocument/2006/relationships/theme" Target="theme/theme1.xml"/></Relationships>
</file>

<file path=word/charts/_rels/chart1.xml.rels><?xml version="1.0" encoding="UTF-8" standalone="yes"?>
<Relationships xmlns="http://schemas.openxmlformats.org/package/2006/relationships"><Relationship Id="rId3" Type="http://schemas.openxmlformats.org/officeDocument/2006/relationships/themeOverride" Target="../theme/themeOverride1.xml"/><Relationship Id="rId2" Type="http://schemas.microsoft.com/office/2011/relationships/chartColorStyle" Target="colors1.xml"/><Relationship Id="rId1" Type="http://schemas.microsoft.com/office/2011/relationships/chartStyle" Target="style1.xml"/><Relationship Id="rId4" Type="http://schemas.openxmlformats.org/officeDocument/2006/relationships/oleObject" Target="../embeddings/oleObject1.bin"/></Relationships>
</file>

<file path=word/charts/_rels/chart2.xml.rels><?xml version="1.0" encoding="UTF-8" standalone="yes"?>
<Relationships xmlns="http://schemas.openxmlformats.org/package/2006/relationships"><Relationship Id="rId3" Type="http://schemas.openxmlformats.org/officeDocument/2006/relationships/themeOverride" Target="../theme/themeOverride2.xml"/><Relationship Id="rId2" Type="http://schemas.microsoft.com/office/2011/relationships/chartColorStyle" Target="colors2.xml"/><Relationship Id="rId1" Type="http://schemas.microsoft.com/office/2011/relationships/chartStyle" Target="style2.xml"/><Relationship Id="rId4" Type="http://schemas.openxmlformats.org/officeDocument/2006/relationships/oleObject" Target="../embeddings/oleObject2.bin"/></Relationships>
</file>

<file path=word/charts/_rels/chart3.xml.rels><?xml version="1.0" encoding="UTF-8" standalone="yes"?>
<Relationships xmlns="http://schemas.openxmlformats.org/package/2006/relationships"><Relationship Id="rId3" Type="http://schemas.openxmlformats.org/officeDocument/2006/relationships/themeOverride" Target="../theme/themeOverride3.xml"/><Relationship Id="rId2" Type="http://schemas.microsoft.com/office/2011/relationships/chartColorStyle" Target="colors3.xml"/><Relationship Id="rId1" Type="http://schemas.microsoft.com/office/2011/relationships/chartStyle" Target="style3.xml"/><Relationship Id="rId4" Type="http://schemas.openxmlformats.org/officeDocument/2006/relationships/oleObject" Target="../embeddings/oleObject3.bin"/></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200" b="0" i="0" u="none" strike="noStrike" kern="1200" spc="0" baseline="0">
                <a:solidFill>
                  <a:schemeClr val="tx1">
                    <a:lumMod val="65000"/>
                    <a:lumOff val="35000"/>
                  </a:schemeClr>
                </a:solidFill>
                <a:latin typeface="Arial" panose="020B0604020202020204" pitchFamily="34" charset="0"/>
                <a:ea typeface="+mn-ea"/>
                <a:cs typeface="Arial" panose="020B0604020202020204" pitchFamily="34" charset="0"/>
              </a:defRPr>
            </a:pPr>
            <a:r>
              <a:rPr lang="en-GB" sz="1200">
                <a:latin typeface="Arial" panose="020B0604020202020204" pitchFamily="34" charset="0"/>
                <a:cs typeface="Arial" panose="020B0604020202020204" pitchFamily="34" charset="0"/>
              </a:rPr>
              <a:t>Dog Licences Issued July -</a:t>
            </a:r>
            <a:r>
              <a:rPr lang="en-GB" sz="1200" baseline="0">
                <a:latin typeface="Arial" panose="020B0604020202020204" pitchFamily="34" charset="0"/>
                <a:cs typeface="Arial" panose="020B0604020202020204" pitchFamily="34" charset="0"/>
              </a:rPr>
              <a:t> September </a:t>
            </a:r>
            <a:r>
              <a:rPr lang="en-GB" sz="1200">
                <a:latin typeface="Arial" panose="020B0604020202020204" pitchFamily="34" charset="0"/>
                <a:cs typeface="Arial" panose="020B0604020202020204" pitchFamily="34" charset="0"/>
              </a:rPr>
              <a:t>2022</a:t>
            </a:r>
          </a:p>
        </c:rich>
      </c:tx>
      <c:layout>
        <c:manualLayout>
          <c:xMode val="edge"/>
          <c:yMode val="edge"/>
          <c:x val="0.26151236698256092"/>
          <c:y val="1.4394959723866134E-2"/>
        </c:manualLayout>
      </c:layout>
      <c:overlay val="0"/>
      <c:spPr>
        <a:noFill/>
        <a:ln>
          <a:noFill/>
        </a:ln>
        <a:effectLst/>
      </c:spPr>
      <c:txPr>
        <a:bodyPr rot="0" spcFirstLastPara="1" vertOverflow="ellipsis" vert="horz" wrap="square" anchor="ctr" anchorCtr="1"/>
        <a:lstStyle/>
        <a:p>
          <a:pPr>
            <a:defRPr sz="1200" b="0" i="0" u="none" strike="noStrike" kern="1200" spc="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title>
    <c:autoTitleDeleted val="0"/>
    <c:view3D>
      <c:rotX val="30"/>
      <c:rotY val="0"/>
      <c:depthPercent val="10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manualLayout>
          <c:layoutTarget val="inner"/>
          <c:xMode val="edge"/>
          <c:yMode val="edge"/>
          <c:x val="0"/>
          <c:y val="0.16142577941480465"/>
          <c:w val="1"/>
          <c:h val="0.3654921416445856"/>
        </c:manualLayout>
      </c:layout>
      <c:pie3DChart>
        <c:varyColors val="1"/>
        <c:ser>
          <c:idx val="0"/>
          <c:order val="0"/>
          <c:dPt>
            <c:idx val="0"/>
            <c:bubble3D val="0"/>
            <c:spPr>
              <a:solidFill>
                <a:schemeClr val="accent1"/>
              </a:solidFill>
              <a:ln w="25400">
                <a:solidFill>
                  <a:schemeClr val="lt1"/>
                </a:solidFill>
              </a:ln>
              <a:effectLst/>
              <a:sp3d contourW="25400">
                <a:contourClr>
                  <a:schemeClr val="lt1"/>
                </a:contourClr>
              </a:sp3d>
            </c:spPr>
            <c:extLst>
              <c:ext xmlns:c16="http://schemas.microsoft.com/office/drawing/2014/chart" uri="{C3380CC4-5D6E-409C-BE32-E72D297353CC}">
                <c16:uniqueId val="{00000001-30CD-4930-B349-EA910ACA6411}"/>
              </c:ext>
            </c:extLst>
          </c:dPt>
          <c:dPt>
            <c:idx val="1"/>
            <c:bubble3D val="0"/>
            <c:spPr>
              <a:solidFill>
                <a:schemeClr val="accent2"/>
              </a:solidFill>
              <a:ln w="25400">
                <a:solidFill>
                  <a:schemeClr val="lt1"/>
                </a:solidFill>
              </a:ln>
              <a:effectLst/>
              <a:sp3d contourW="25400">
                <a:contourClr>
                  <a:schemeClr val="lt1"/>
                </a:contourClr>
              </a:sp3d>
            </c:spPr>
            <c:extLst>
              <c:ext xmlns:c16="http://schemas.microsoft.com/office/drawing/2014/chart" uri="{C3380CC4-5D6E-409C-BE32-E72D297353CC}">
                <c16:uniqueId val="{00000003-30CD-4930-B349-EA910ACA6411}"/>
              </c:ext>
            </c:extLst>
          </c:dPt>
          <c:dPt>
            <c:idx val="2"/>
            <c:bubble3D val="0"/>
            <c:spPr>
              <a:solidFill>
                <a:schemeClr val="accent3"/>
              </a:solidFill>
              <a:ln w="25400">
                <a:solidFill>
                  <a:schemeClr val="lt1"/>
                </a:solidFill>
              </a:ln>
              <a:effectLst/>
              <a:sp3d contourW="25400">
                <a:contourClr>
                  <a:schemeClr val="lt1"/>
                </a:contourClr>
              </a:sp3d>
            </c:spPr>
            <c:extLst>
              <c:ext xmlns:c16="http://schemas.microsoft.com/office/drawing/2014/chart" uri="{C3380CC4-5D6E-409C-BE32-E72D297353CC}">
                <c16:uniqueId val="{00000005-30CD-4930-B349-EA910ACA6411}"/>
              </c:ext>
            </c:extLst>
          </c:dPt>
          <c:dPt>
            <c:idx val="3"/>
            <c:bubble3D val="0"/>
            <c:spPr>
              <a:solidFill>
                <a:schemeClr val="accent4"/>
              </a:solidFill>
              <a:ln w="25400">
                <a:solidFill>
                  <a:schemeClr val="lt1"/>
                </a:solidFill>
              </a:ln>
              <a:effectLst/>
              <a:sp3d contourW="25400">
                <a:contourClr>
                  <a:schemeClr val="lt1"/>
                </a:contourClr>
              </a:sp3d>
            </c:spPr>
            <c:extLst>
              <c:ext xmlns:c16="http://schemas.microsoft.com/office/drawing/2014/chart" uri="{C3380CC4-5D6E-409C-BE32-E72D297353CC}">
                <c16:uniqueId val="{00000007-30CD-4930-B349-EA910ACA6411}"/>
              </c:ext>
            </c:extLst>
          </c:dPt>
          <c:dPt>
            <c:idx val="4"/>
            <c:bubble3D val="0"/>
            <c:spPr>
              <a:solidFill>
                <a:schemeClr val="accent5"/>
              </a:solidFill>
              <a:ln w="25400">
                <a:solidFill>
                  <a:schemeClr val="lt1"/>
                </a:solidFill>
              </a:ln>
              <a:effectLst/>
              <a:sp3d contourW="25400">
                <a:contourClr>
                  <a:schemeClr val="lt1"/>
                </a:contourClr>
              </a:sp3d>
            </c:spPr>
            <c:extLst>
              <c:ext xmlns:c16="http://schemas.microsoft.com/office/drawing/2014/chart" uri="{C3380CC4-5D6E-409C-BE32-E72D297353CC}">
                <c16:uniqueId val="{00000009-30CD-4930-B349-EA910ACA6411}"/>
              </c:ext>
            </c:extLst>
          </c:dPt>
          <c:dPt>
            <c:idx val="5"/>
            <c:bubble3D val="0"/>
            <c:spPr>
              <a:solidFill>
                <a:schemeClr val="accent6"/>
              </a:solidFill>
              <a:ln w="25400">
                <a:solidFill>
                  <a:schemeClr val="lt1"/>
                </a:solidFill>
              </a:ln>
              <a:effectLst/>
              <a:sp3d contourW="25400">
                <a:contourClr>
                  <a:schemeClr val="lt1"/>
                </a:contourClr>
              </a:sp3d>
            </c:spPr>
            <c:extLst>
              <c:ext xmlns:c16="http://schemas.microsoft.com/office/drawing/2014/chart" uri="{C3380CC4-5D6E-409C-BE32-E72D297353CC}">
                <c16:uniqueId val="{0000000B-30CD-4930-B349-EA910ACA6411}"/>
              </c:ext>
            </c:extLst>
          </c:dPt>
          <c:dLbls>
            <c:spPr>
              <a:noFill/>
              <a:ln>
                <a:noFill/>
              </a:ln>
              <a:effectLst/>
            </c:spPr>
            <c:txPr>
              <a:bodyPr rot="0" spcFirstLastPara="1" vertOverflow="ellipsis" vert="horz" wrap="square" lIns="38100" tIns="19050" rIns="38100" bIns="19050" anchor="ctr" anchorCtr="1">
                <a:spAutoFit/>
              </a:bodyPr>
              <a:lstStyle/>
              <a:p>
                <a:pPr>
                  <a:defRPr sz="1200" b="0" i="0" u="none" strike="noStrike" kern="1200" baseline="0">
                    <a:solidFill>
                      <a:schemeClr val="tx1">
                        <a:lumMod val="75000"/>
                        <a:lumOff val="25000"/>
                      </a:schemeClr>
                    </a:solidFill>
                    <a:latin typeface="Arial" panose="020B0604020202020204" pitchFamily="34" charset="0"/>
                    <a:ea typeface="+mn-ea"/>
                    <a:cs typeface="Arial" panose="020B0604020202020204" pitchFamily="34" charset="0"/>
                  </a:defRPr>
                </a:pPr>
                <a:endParaRPr lang="en-US"/>
              </a:p>
            </c:txPr>
            <c:showLegendKey val="0"/>
            <c:showVal val="1"/>
            <c:showCatName val="0"/>
            <c:showSerName val="0"/>
            <c:showPercent val="0"/>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Sheet1!$D$184:$D$189</c:f>
              <c:strCache>
                <c:ptCount val="6"/>
                <c:pt idx="0">
                  <c:v>Full Cost</c:v>
                </c:pt>
                <c:pt idx="1">
                  <c:v>Free - Over 65 </c:v>
                </c:pt>
                <c:pt idx="2">
                  <c:v>Reduced  - Over 65 Subsequent Dogs</c:v>
                </c:pt>
                <c:pt idx="3">
                  <c:v>Reduced - Neutered</c:v>
                </c:pt>
                <c:pt idx="4">
                  <c:v>Reduced - Benefits</c:v>
                </c:pt>
                <c:pt idx="5">
                  <c:v>Block Licence</c:v>
                </c:pt>
              </c:strCache>
            </c:strRef>
          </c:cat>
          <c:val>
            <c:numRef>
              <c:f>Sheet1!$E$184:$E$189</c:f>
              <c:numCache>
                <c:formatCode>#,##0</c:formatCode>
                <c:ptCount val="6"/>
                <c:pt idx="0" formatCode="General">
                  <c:v>933</c:v>
                </c:pt>
                <c:pt idx="1">
                  <c:v>863</c:v>
                </c:pt>
                <c:pt idx="2" formatCode="General">
                  <c:v>105</c:v>
                </c:pt>
                <c:pt idx="3" formatCode="General">
                  <c:v>2600</c:v>
                </c:pt>
                <c:pt idx="4" formatCode="General">
                  <c:v>498</c:v>
                </c:pt>
                <c:pt idx="5" formatCode="General">
                  <c:v>14</c:v>
                </c:pt>
              </c:numCache>
            </c:numRef>
          </c:val>
          <c:extLst>
            <c:ext xmlns:c16="http://schemas.microsoft.com/office/drawing/2014/chart" uri="{C3380CC4-5D6E-409C-BE32-E72D297353CC}">
              <c16:uniqueId val="{0000000C-30CD-4930-B349-EA910ACA6411}"/>
            </c:ext>
          </c:extLst>
        </c:ser>
        <c:dLbls>
          <c:showLegendKey val="0"/>
          <c:showVal val="0"/>
          <c:showCatName val="0"/>
          <c:showSerName val="0"/>
          <c:showPercent val="0"/>
          <c:showBubbleSize val="0"/>
          <c:showLeaderLines val="1"/>
        </c:dLbls>
      </c:pie3DChart>
      <c:spPr>
        <a:noFill/>
        <a:ln w="25400">
          <a:noFill/>
        </a:ln>
        <a:effectLst/>
      </c:spPr>
    </c:plotArea>
    <c:legend>
      <c:legendPos val="b"/>
      <c:layout>
        <c:manualLayout>
          <c:xMode val="edge"/>
          <c:yMode val="edge"/>
          <c:x val="2.5030269492601925E-2"/>
          <c:y val="0.61997983947658719"/>
          <c:w val="0.95765104689332392"/>
          <c:h val="0.2919920336044951"/>
        </c:manualLayout>
      </c:layout>
      <c:overlay val="0"/>
      <c:spPr>
        <a:noFill/>
        <a:ln>
          <a:noFill/>
        </a:ln>
        <a:effectLst/>
      </c:spPr>
      <c:txPr>
        <a:bodyPr rot="0" spcFirstLastPara="1" vertOverflow="ellipsis" vert="horz" wrap="square" anchor="ctr" anchorCtr="1"/>
        <a:lstStyle/>
        <a:p>
          <a:pPr>
            <a:defRPr sz="12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4">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a:latin typeface="Arial" panose="020B0604020202020204" pitchFamily="34" charset="0"/>
                <a:cs typeface="Arial" panose="020B0604020202020204" pitchFamily="34" charset="0"/>
              </a:rPr>
              <a:t>Service Requests Received by Neighbourhood Environment Team</a:t>
            </a:r>
          </a:p>
          <a:p>
            <a:pPr>
              <a:defRPr/>
            </a:pPr>
            <a:r>
              <a:rPr lang="en-US">
                <a:latin typeface="Arial" panose="020B0604020202020204" pitchFamily="34" charset="0"/>
                <a:cs typeface="Arial" panose="020B0604020202020204" pitchFamily="34" charset="0"/>
              </a:rPr>
              <a:t>July - September 2022</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manualLayout>
          <c:layoutTarget val="inner"/>
          <c:xMode val="edge"/>
          <c:yMode val="edge"/>
          <c:x val="0.35143411277130182"/>
          <c:y val="0.2227658186562296"/>
          <c:w val="0.61308337563999193"/>
          <c:h val="0.70157120770862547"/>
        </c:manualLayout>
      </c:layout>
      <c:barChart>
        <c:barDir val="bar"/>
        <c:grouping val="clustered"/>
        <c:varyColors val="0"/>
        <c:ser>
          <c:idx val="0"/>
          <c:order val="0"/>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Sheet1!$D$204:$D$233</c:f>
              <c:strCache>
                <c:ptCount val="29"/>
                <c:pt idx="0">
                  <c:v>Abandoned Shopping Trolleys</c:v>
                </c:pt>
                <c:pt idx="1">
                  <c:v>Abandoned Vehicles</c:v>
                </c:pt>
                <c:pt idx="2">
                  <c:v>Dog Attack on Other Domestic Animal</c:v>
                </c:pt>
                <c:pt idx="3">
                  <c:v>Dog Attack on Livestock</c:v>
                </c:pt>
                <c:pt idx="4">
                  <c:v>Dog Attack on Person</c:v>
                </c:pt>
                <c:pt idx="5">
                  <c:v>Dog Barking</c:v>
                </c:pt>
                <c:pt idx="6">
                  <c:v>Breach of Dog Control Conditions</c:v>
                </c:pt>
                <c:pt idx="7">
                  <c:v>Dog Breeding Establishments</c:v>
                </c:pt>
                <c:pt idx="8">
                  <c:v>Breach of Bye-Laws</c:v>
                </c:pt>
                <c:pt idx="9">
                  <c:v>Stray Dog Collection</c:v>
                </c:pt>
                <c:pt idx="10">
                  <c:v>Unwanted Dog Collection Requests</c:v>
                </c:pt>
                <c:pt idx="11">
                  <c:v>Dangerous Breed</c:v>
                </c:pt>
                <c:pt idx="12">
                  <c:v>Dog Education and Awareness</c:v>
                </c:pt>
                <c:pt idx="13">
                  <c:v>Dog Fouling</c:v>
                </c:pt>
                <c:pt idx="14">
                  <c:v>Dog Welfare Initial Response</c:v>
                </c:pt>
                <c:pt idx="15">
                  <c:v>Dogs Off Lead</c:v>
                </c:pt>
                <c:pt idx="16">
                  <c:v>Expired Dog Licence Calls</c:v>
                </c:pt>
                <c:pt idx="17">
                  <c:v>Fly-Posting</c:v>
                </c:pt>
                <c:pt idx="18">
                  <c:v>Fly-Tipping</c:v>
                </c:pt>
                <c:pt idx="19">
                  <c:v>Greyhound Control</c:v>
                </c:pt>
                <c:pt idx="20">
                  <c:v>Inadequate Dog Control</c:v>
                </c:pt>
                <c:pt idx="21">
                  <c:v>Littering</c:v>
                </c:pt>
                <c:pt idx="22">
                  <c:v>Nuisance Parking</c:v>
                </c:pt>
                <c:pt idx="23">
                  <c:v>Shellfish Gathering</c:v>
                </c:pt>
                <c:pt idx="24">
                  <c:v>Dog Straying</c:v>
                </c:pt>
                <c:pt idx="25">
                  <c:v>Vehicles For Sale On A Road</c:v>
                </c:pt>
                <c:pt idx="26">
                  <c:v>Other Tasks</c:v>
                </c:pt>
                <c:pt idx="27">
                  <c:v>Graffiti</c:v>
                </c:pt>
                <c:pt idx="28">
                  <c:v>Dog Training Enquiries</c:v>
                </c:pt>
              </c:strCache>
            </c:strRef>
          </c:cat>
          <c:val>
            <c:numRef>
              <c:f>Sheet1!$E$204:$E$233</c:f>
              <c:numCache>
                <c:formatCode>General</c:formatCode>
                <c:ptCount val="29"/>
                <c:pt idx="0">
                  <c:v>2</c:v>
                </c:pt>
                <c:pt idx="1">
                  <c:v>52</c:v>
                </c:pt>
                <c:pt idx="2">
                  <c:v>20</c:v>
                </c:pt>
                <c:pt idx="3">
                  <c:v>1</c:v>
                </c:pt>
                <c:pt idx="4">
                  <c:v>11</c:v>
                </c:pt>
                <c:pt idx="5">
                  <c:v>86</c:v>
                </c:pt>
                <c:pt idx="6">
                  <c:v>2</c:v>
                </c:pt>
                <c:pt idx="7">
                  <c:v>3</c:v>
                </c:pt>
                <c:pt idx="8">
                  <c:v>7</c:v>
                </c:pt>
                <c:pt idx="9">
                  <c:v>30</c:v>
                </c:pt>
                <c:pt idx="10">
                  <c:v>4</c:v>
                </c:pt>
                <c:pt idx="11">
                  <c:v>1</c:v>
                </c:pt>
                <c:pt idx="12">
                  <c:v>1</c:v>
                </c:pt>
                <c:pt idx="13">
                  <c:v>76</c:v>
                </c:pt>
                <c:pt idx="14">
                  <c:v>5</c:v>
                </c:pt>
                <c:pt idx="15">
                  <c:v>0</c:v>
                </c:pt>
                <c:pt idx="16">
                  <c:v>18</c:v>
                </c:pt>
                <c:pt idx="17">
                  <c:v>6</c:v>
                </c:pt>
                <c:pt idx="18">
                  <c:v>124</c:v>
                </c:pt>
                <c:pt idx="19">
                  <c:v>0</c:v>
                </c:pt>
                <c:pt idx="20">
                  <c:v>18</c:v>
                </c:pt>
                <c:pt idx="21">
                  <c:v>75</c:v>
                </c:pt>
                <c:pt idx="22">
                  <c:v>3</c:v>
                </c:pt>
                <c:pt idx="23">
                  <c:v>0</c:v>
                </c:pt>
                <c:pt idx="24">
                  <c:v>19</c:v>
                </c:pt>
                <c:pt idx="25">
                  <c:v>1</c:v>
                </c:pt>
                <c:pt idx="26">
                  <c:v>1</c:v>
                </c:pt>
                <c:pt idx="27">
                  <c:v>28</c:v>
                </c:pt>
                <c:pt idx="28">
                  <c:v>0</c:v>
                </c:pt>
              </c:numCache>
            </c:numRef>
          </c:val>
          <c:extLst>
            <c:ext xmlns:c16="http://schemas.microsoft.com/office/drawing/2014/chart" uri="{C3380CC4-5D6E-409C-BE32-E72D297353CC}">
              <c16:uniqueId val="{00000000-D5F6-4BD5-ABBE-B94E739ACFD0}"/>
            </c:ext>
          </c:extLst>
        </c:ser>
        <c:dLbls>
          <c:showLegendKey val="0"/>
          <c:showVal val="0"/>
          <c:showCatName val="0"/>
          <c:showSerName val="0"/>
          <c:showPercent val="0"/>
          <c:showBubbleSize val="0"/>
        </c:dLbls>
        <c:gapWidth val="182"/>
        <c:axId val="597557088"/>
        <c:axId val="597558072"/>
      </c:barChart>
      <c:catAx>
        <c:axId val="597557088"/>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crossAx val="597558072"/>
        <c:crosses val="autoZero"/>
        <c:auto val="1"/>
        <c:lblAlgn val="ctr"/>
        <c:lblOffset val="100"/>
        <c:noMultiLvlLbl val="0"/>
      </c:catAx>
      <c:valAx>
        <c:axId val="597558072"/>
        <c:scaling>
          <c:orientation val="minMax"/>
        </c:scaling>
        <c:delete val="0"/>
        <c:axPos val="b"/>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597557088"/>
        <c:crosses val="autoZero"/>
        <c:crossBetween val="between"/>
      </c:valAx>
      <c:spPr>
        <a:noFill/>
        <a:ln>
          <a:noFill/>
        </a:ln>
        <a:effectLst/>
      </c:spPr>
    </c:plotArea>
    <c:plotVisOnly val="1"/>
    <c:dispBlanksAs val="gap"/>
    <c:showDLblsOverMax val="0"/>
  </c:chart>
  <c:spPr>
    <a:solidFill>
      <a:schemeClr val="bg1"/>
    </a:solidFill>
    <a:ln w="12700" cap="flat" cmpd="sng" algn="ctr">
      <a:solidFill>
        <a:schemeClr val="tx1">
          <a:lumMod val="15000"/>
          <a:lumOff val="85000"/>
        </a:schemeClr>
      </a:solidFill>
      <a:round/>
    </a:ln>
    <a:effectLst/>
  </c:spPr>
  <c:txPr>
    <a:bodyPr/>
    <a:lstStyle/>
    <a:p>
      <a:pPr>
        <a:defRPr/>
      </a:pPr>
      <a:endParaRPr lang="en-US"/>
    </a:p>
  </c:txPr>
  <c:externalData r:id="rId4">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lgn="ctr">
              <a:defRPr sz="1400" b="0" i="0" u="none" strike="noStrike" kern="1200" spc="0" baseline="0">
                <a:solidFill>
                  <a:schemeClr val="tx1">
                    <a:lumMod val="65000"/>
                    <a:lumOff val="35000"/>
                  </a:schemeClr>
                </a:solidFill>
                <a:latin typeface="Arial" panose="020B0604020202020204" pitchFamily="34" charset="0"/>
                <a:ea typeface="+mn-ea"/>
                <a:cs typeface="Arial" panose="020B0604020202020204" pitchFamily="34" charset="0"/>
              </a:defRPr>
            </a:pPr>
            <a:r>
              <a:rPr lang="en-GB" sz="1200">
                <a:latin typeface="Arial" panose="020B0604020202020204" pitchFamily="34" charset="0"/>
                <a:cs typeface="Arial" panose="020B0604020202020204" pitchFamily="34" charset="0"/>
              </a:rPr>
              <a:t>Fixed Penalties Issued by Type </a:t>
            </a:r>
          </a:p>
          <a:p>
            <a:pPr algn="ctr">
              <a:defRPr>
                <a:latin typeface="Arial" panose="020B0604020202020204" pitchFamily="34" charset="0"/>
                <a:cs typeface="Arial" panose="020B0604020202020204" pitchFamily="34" charset="0"/>
              </a:defRPr>
            </a:pPr>
            <a:r>
              <a:rPr lang="en-GB" sz="1200">
                <a:latin typeface="Arial" panose="020B0604020202020204" pitchFamily="34" charset="0"/>
                <a:cs typeface="Arial" panose="020B0604020202020204" pitchFamily="34" charset="0"/>
              </a:rPr>
              <a:t>July - September 2022</a:t>
            </a:r>
          </a:p>
        </c:rich>
      </c:tx>
      <c:layout>
        <c:manualLayout>
          <c:xMode val="edge"/>
          <c:yMode val="edge"/>
          <c:x val="0.27250542569235731"/>
          <c:y val="2.7979002624671918E-2"/>
        </c:manualLayout>
      </c:layout>
      <c:overlay val="0"/>
      <c:spPr>
        <a:noFill/>
        <a:ln>
          <a:noFill/>
        </a:ln>
        <a:effectLst/>
      </c:spPr>
      <c:txPr>
        <a:bodyPr rot="0" spcFirstLastPara="1" vertOverflow="ellipsis" vert="horz" wrap="square" anchor="ctr" anchorCtr="1"/>
        <a:lstStyle/>
        <a:p>
          <a:pPr algn="ctr">
            <a:defRPr sz="1400" b="0" i="0" u="none" strike="noStrike" kern="1200" spc="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title>
    <c:autoTitleDeleted val="0"/>
    <c:plotArea>
      <c:layout/>
      <c:barChart>
        <c:barDir val="bar"/>
        <c:grouping val="clustered"/>
        <c:varyColors val="0"/>
        <c:ser>
          <c:idx val="0"/>
          <c:order val="0"/>
          <c:spPr>
            <a:solidFill>
              <a:schemeClr val="accent1"/>
            </a:solidFill>
            <a:ln>
              <a:noFill/>
            </a:ln>
            <a:effectLst/>
          </c:spPr>
          <c:invertIfNegative val="0"/>
          <c:dLbls>
            <c:dLbl>
              <c:idx val="0"/>
              <c:tx>
                <c:rich>
                  <a:bodyPr/>
                  <a:lstStyle/>
                  <a:p>
                    <a:fld id="{21D1A95D-44CB-467D-B67F-AC9AFA134D15}" type="CELLRANGE">
                      <a:rPr lang="en-GB"/>
                      <a:pPr/>
                      <a:t>[CELLRANGE]</a:t>
                    </a:fld>
                    <a:endParaRPr lang="en-GB"/>
                  </a:p>
                </c:rich>
              </c:tx>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0-E2CD-43C5-8A81-401E96B774A7}"/>
                </c:ext>
              </c:extLst>
            </c:dLbl>
            <c:dLbl>
              <c:idx val="1"/>
              <c:layout>
                <c:manualLayout>
                  <c:x val="-8.3333333333333332E-3"/>
                  <c:y val="-8.4875562720133283E-17"/>
                </c:manualLayout>
              </c:layout>
              <c:tx>
                <c:rich>
                  <a:bodyPr/>
                  <a:lstStyle/>
                  <a:p>
                    <a:fld id="{2519BEA8-1E02-4EED-B914-3E71F5464E04}" type="VALUE">
                      <a:rPr lang="en-US" baseline="0"/>
                      <a:pPr/>
                      <a:t>[VALUE]</a:t>
                    </a:fld>
                    <a:endParaRPr lang="en-GB"/>
                  </a:p>
                </c:rich>
              </c:tx>
              <c:showLegendKey val="0"/>
              <c:showVal val="1"/>
              <c:showCatName val="0"/>
              <c:showSerName val="0"/>
              <c:showPercent val="0"/>
              <c:showBubbleSize val="0"/>
              <c:extLst>
                <c:ext xmlns:c15="http://schemas.microsoft.com/office/drawing/2012/chart" uri="{CE6537A1-D6FC-4f65-9D91-7224C49458BB}">
                  <c15:dlblFieldTable/>
                  <c15:showDataLabelsRange val="1"/>
                </c:ext>
                <c:ext xmlns:c16="http://schemas.microsoft.com/office/drawing/2014/chart" uri="{C3380CC4-5D6E-409C-BE32-E72D297353CC}">
                  <c16:uniqueId val="{00000001-E2CD-43C5-8A81-401E96B774A7}"/>
                </c:ext>
              </c:extLst>
            </c:dLbl>
            <c:dLbl>
              <c:idx val="2"/>
              <c:tx>
                <c:rich>
                  <a:bodyPr/>
                  <a:lstStyle/>
                  <a:p>
                    <a:fld id="{0E10F2F5-D077-427D-BA13-5EAB623ACC2A}" type="CELLRANGE">
                      <a:rPr lang="en-GB"/>
                      <a:pPr/>
                      <a:t>[CELLRANGE]</a:t>
                    </a:fld>
                    <a:endParaRPr lang="en-GB"/>
                  </a:p>
                </c:rich>
              </c:tx>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2-E2CD-43C5-8A81-401E96B774A7}"/>
                </c:ext>
              </c:extLst>
            </c:dLbl>
            <c:dLbl>
              <c:idx val="3"/>
              <c:tx>
                <c:rich>
                  <a:bodyPr/>
                  <a:lstStyle/>
                  <a:p>
                    <a:fld id="{C005D20C-994C-4243-9DC3-1A004660B88C}" type="CELLRANGE">
                      <a:rPr lang="en-GB"/>
                      <a:pPr/>
                      <a:t>[CELLRANGE]</a:t>
                    </a:fld>
                    <a:endParaRPr lang="en-GB"/>
                  </a:p>
                </c:rich>
              </c:tx>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3-E2CD-43C5-8A81-401E96B774A7}"/>
                </c:ext>
              </c:extLst>
            </c:dLbl>
            <c:dLbl>
              <c:idx val="4"/>
              <c:tx>
                <c:rich>
                  <a:bodyPr/>
                  <a:lstStyle/>
                  <a:p>
                    <a:endParaRPr lang="en-GB"/>
                  </a:p>
                </c:rich>
              </c:tx>
              <c:showLegendKey val="0"/>
              <c:showVal val="0"/>
              <c:showCatName val="0"/>
              <c:showSerName val="0"/>
              <c:showPercent val="0"/>
              <c:showBubbleSize val="0"/>
              <c:extLst>
                <c:ext xmlns:c15="http://schemas.microsoft.com/office/drawing/2012/chart" uri="{CE6537A1-D6FC-4f65-9D91-7224C49458BB}">
                  <c15:xForSave val="1"/>
                  <c15:showDataLabelsRange val="1"/>
                </c:ext>
                <c:ext xmlns:c16="http://schemas.microsoft.com/office/drawing/2014/chart" uri="{C3380CC4-5D6E-409C-BE32-E72D297353CC}">
                  <c16:uniqueId val="{00000004-E2CD-43C5-8A81-401E96B774A7}"/>
                </c:ext>
              </c:extLst>
            </c:dLbl>
            <c:spPr>
              <a:noFill/>
              <a:ln>
                <a:noFill/>
              </a:ln>
              <a:effectLst/>
            </c:spPr>
            <c:txPr>
              <a:bodyPr rot="0" spcFirstLastPara="1" vertOverflow="ellipsis" vert="horz" wrap="square" lIns="38100" tIns="19050" rIns="38100" bIns="19050" anchor="ctr" anchorCtr="1">
                <a:spAutoFit/>
              </a:bodyPr>
              <a:lstStyle/>
              <a:p>
                <a:pPr>
                  <a:defRPr sz="1100" b="0" i="0" u="none" strike="noStrike" kern="1200" baseline="0">
                    <a:solidFill>
                      <a:schemeClr val="tx1">
                        <a:lumMod val="75000"/>
                        <a:lumOff val="25000"/>
                      </a:schemeClr>
                    </a:solidFill>
                    <a:latin typeface="Arial" panose="020B0604020202020204" pitchFamily="34" charset="0"/>
                    <a:ea typeface="+mn-ea"/>
                    <a:cs typeface="Arial" panose="020B0604020202020204" pitchFamily="34" charset="0"/>
                  </a:defRPr>
                </a:pPr>
                <a:endParaRPr lang="en-US"/>
              </a:p>
            </c:txPr>
            <c:showLegendKey val="0"/>
            <c:showVal val="0"/>
            <c:showCatName val="0"/>
            <c:showSerName val="0"/>
            <c:showPercent val="0"/>
            <c:showBubbleSize val="0"/>
            <c:showLeaderLines val="0"/>
            <c:extLst>
              <c:ext xmlns:c15="http://schemas.microsoft.com/office/drawing/2012/chart" uri="{CE6537A1-D6FC-4f65-9D91-7224C49458BB}">
                <c15:showDataLabelsRange val="1"/>
                <c15:showLeaderLines val="1"/>
                <c15:leaderLines>
                  <c:spPr>
                    <a:ln w="9525" cap="flat" cmpd="sng" algn="ctr">
                      <a:solidFill>
                        <a:schemeClr val="tx1">
                          <a:lumMod val="35000"/>
                          <a:lumOff val="65000"/>
                        </a:schemeClr>
                      </a:solidFill>
                      <a:round/>
                    </a:ln>
                    <a:effectLst/>
                  </c:spPr>
                </c15:leaderLines>
              </c:ext>
            </c:extLst>
          </c:dLbls>
          <c:cat>
            <c:strRef>
              <c:f>Sheet1!$O$113:$S$113</c:f>
              <c:strCache>
                <c:ptCount val="4"/>
                <c:pt idx="0">
                  <c:v>Fouling</c:v>
                </c:pt>
                <c:pt idx="1">
                  <c:v>Litter</c:v>
                </c:pt>
                <c:pt idx="2">
                  <c:v>No Licence</c:v>
                </c:pt>
                <c:pt idx="3">
                  <c:v>Straying</c:v>
                </c:pt>
              </c:strCache>
            </c:strRef>
          </c:cat>
          <c:val>
            <c:numRef>
              <c:f>Sheet1!$O$114:$S$114</c:f>
              <c:numCache>
                <c:formatCode>General</c:formatCode>
                <c:ptCount val="5"/>
                <c:pt idx="0">
                  <c:v>7</c:v>
                </c:pt>
                <c:pt idx="1">
                  <c:v>58</c:v>
                </c:pt>
                <c:pt idx="2">
                  <c:v>1</c:v>
                </c:pt>
                <c:pt idx="3">
                  <c:v>11</c:v>
                </c:pt>
              </c:numCache>
            </c:numRef>
          </c:val>
          <c:extLst>
            <c:ext xmlns:c15="http://schemas.microsoft.com/office/drawing/2012/chart" uri="{02D57815-91ED-43cb-92C2-25804820EDAC}">
              <c15:datalabelsRange>
                <c15:f>Sheet1!$O$114:$S$114</c15:f>
                <c15:dlblRangeCache>
                  <c:ptCount val="5"/>
                  <c:pt idx="0">
                    <c:v>7</c:v>
                  </c:pt>
                  <c:pt idx="1">
                    <c:v>58</c:v>
                  </c:pt>
                  <c:pt idx="2">
                    <c:v>1</c:v>
                  </c:pt>
                  <c:pt idx="3">
                    <c:v>11</c:v>
                  </c:pt>
                </c15:dlblRangeCache>
              </c15:datalabelsRange>
            </c:ext>
            <c:ext xmlns:c16="http://schemas.microsoft.com/office/drawing/2014/chart" uri="{C3380CC4-5D6E-409C-BE32-E72D297353CC}">
              <c16:uniqueId val="{00000005-E2CD-43C5-8A81-401E96B774A7}"/>
            </c:ext>
          </c:extLst>
        </c:ser>
        <c:dLbls>
          <c:showLegendKey val="0"/>
          <c:showVal val="0"/>
          <c:showCatName val="0"/>
          <c:showSerName val="0"/>
          <c:showPercent val="0"/>
          <c:showBubbleSize val="0"/>
        </c:dLbls>
        <c:gapWidth val="182"/>
        <c:axId val="400184768"/>
        <c:axId val="400178208"/>
      </c:barChart>
      <c:catAx>
        <c:axId val="400184768"/>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2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crossAx val="400178208"/>
        <c:crosses val="autoZero"/>
        <c:auto val="1"/>
        <c:lblAlgn val="ctr"/>
        <c:lblOffset val="100"/>
        <c:noMultiLvlLbl val="0"/>
      </c:catAx>
      <c:valAx>
        <c:axId val="400178208"/>
        <c:scaling>
          <c:orientation val="minMax"/>
        </c:scaling>
        <c:delete val="0"/>
        <c:axPos val="b"/>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crossAx val="400184768"/>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4">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6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3.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9AE22A148FF2D48BAA6FD342EB63378" ma:contentTypeVersion="3" ma:contentTypeDescription="Create a new document." ma:contentTypeScope="" ma:versionID="5f36f13b82d1a1c1f1f4db61a1d212bb">
  <xsd:schema xmlns:xsd="http://www.w3.org/2001/XMLSchema" xmlns:xs="http://www.w3.org/2001/XMLSchema" xmlns:p="http://schemas.microsoft.com/office/2006/metadata/properties" xmlns:ns2="f1fbce8c-357e-4ba7-b48c-ca330e263038" targetNamespace="http://schemas.microsoft.com/office/2006/metadata/properties" ma:root="true" ma:fieldsID="607d552015ae3674cdc17a7fe527eb41" ns2:_="">
    <xsd:import namespace="f1fbce8c-357e-4ba7-b48c-ca330e263038"/>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1fbce8c-357e-4ba7-b48c-ca330e26303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8F373AE-8B21-44C2-B31F-8FF8B43916C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1fbce8c-357e-4ba7-b48c-ca330e26303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D24CAC8-28DC-4140-A48B-C6CCFE700E8E}">
  <ds:schemaRefs>
    <ds:schemaRef ds:uri="http://schemas.openxmlformats.org/officeDocument/2006/bibliography"/>
  </ds:schemaRefs>
</ds:datastoreItem>
</file>

<file path=customXml/itemProps3.xml><?xml version="1.0" encoding="utf-8"?>
<ds:datastoreItem xmlns:ds="http://schemas.openxmlformats.org/officeDocument/2006/customXml" ds:itemID="{5F28AF01-CB75-43C1-936E-CC8A7BA7BF90}">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F14ADBA0-ADC0-4423-B866-736915D84D8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22</Pages>
  <Words>6405</Words>
  <Characters>36509</Characters>
  <Application>Microsoft Office Word</Application>
  <DocSecurity>8</DocSecurity>
  <Lines>304</Lines>
  <Paragraphs>85</Paragraphs>
  <ScaleCrop>false</ScaleCrop>
  <HeadingPairs>
    <vt:vector size="2" baseType="variant">
      <vt:variant>
        <vt:lpstr>Title</vt:lpstr>
      </vt:variant>
      <vt:variant>
        <vt:i4>1</vt:i4>
      </vt:variant>
    </vt:vector>
  </HeadingPairs>
  <TitlesOfParts>
    <vt:vector size="1" baseType="lpstr">
      <vt:lpstr>221102 EC 2 November 2022</vt:lpstr>
    </vt:vector>
  </TitlesOfParts>
  <Company/>
  <LinksUpToDate>false</LinksUpToDate>
  <CharactersWithSpaces>42829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221102 EC 2 November 2022</dc:title>
  <dc:subject/>
  <dc:creator>Glasgow, Jennifer</dc:creator>
  <cp:keywords/>
  <dc:description/>
  <cp:lastModifiedBy>Cull, Joshua</cp:lastModifiedBy>
  <cp:revision>7</cp:revision>
  <cp:lastPrinted>2022-11-23T10:35:00Z</cp:lastPrinted>
  <dcterms:created xsi:type="dcterms:W3CDTF">2022-11-23T10:36:00Z</dcterms:created>
  <dcterms:modified xsi:type="dcterms:W3CDTF">2026-01-09T12:10:00Z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0x01010079AE22A148FF2D48BAA6FD342EB63378</vt:lpwstr>
  </property>
</Properties>
</file>