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60A4" w14:textId="319FEAF6" w:rsidR="00823D43" w:rsidRPr="000A416A" w:rsidRDefault="00C13866" w:rsidP="00823D43">
      <w:pPr>
        <w:jc w:val="center"/>
        <w:rPr>
          <w:rFonts w:cs="Arial"/>
          <w:b/>
          <w:sz w:val="28"/>
          <w:szCs w:val="28"/>
          <w:u w:val="single"/>
        </w:rPr>
      </w:pPr>
      <w:r>
        <w:rPr>
          <w:rFonts w:cs="Arial"/>
          <w:b/>
          <w:sz w:val="28"/>
          <w:szCs w:val="28"/>
          <w:u w:val="single"/>
        </w:rPr>
        <w:t xml:space="preserve"> </w:t>
      </w:r>
      <w:r w:rsidR="00823D43" w:rsidRPr="000A416A">
        <w:rPr>
          <w:rFonts w:cs="Arial"/>
          <w:b/>
          <w:sz w:val="28"/>
          <w:szCs w:val="28"/>
          <w:u w:val="single"/>
        </w:rPr>
        <w:t>ARDS AND NORTH DOWN BOROUGH COUNCIL</w:t>
      </w:r>
    </w:p>
    <w:p w14:paraId="3E172A80" w14:textId="77777777" w:rsidR="00823D43" w:rsidRPr="000A416A" w:rsidRDefault="00823D43" w:rsidP="00823D43">
      <w:pPr>
        <w:rPr>
          <w:rFonts w:cs="Arial"/>
        </w:rPr>
      </w:pPr>
    </w:p>
    <w:p w14:paraId="19C64FD0" w14:textId="12B0F582" w:rsidR="00823D43" w:rsidRPr="000A416A" w:rsidRDefault="00823D43" w:rsidP="00823D43">
      <w:pPr>
        <w:rPr>
          <w:rFonts w:cs="Arial"/>
        </w:rPr>
      </w:pPr>
      <w:r w:rsidRPr="000A416A">
        <w:rPr>
          <w:rFonts w:cs="Arial"/>
        </w:rPr>
        <w:t xml:space="preserve">A meeting of the Audit </w:t>
      </w:r>
      <w:r w:rsidR="00A02E99">
        <w:rPr>
          <w:rFonts w:cs="Arial"/>
        </w:rPr>
        <w:t>Committ</w:t>
      </w:r>
      <w:r w:rsidR="00881ED1">
        <w:rPr>
          <w:rFonts w:cs="Arial"/>
        </w:rPr>
        <w:t>e</w:t>
      </w:r>
      <w:r w:rsidR="00A02E99">
        <w:rPr>
          <w:rFonts w:cs="Arial"/>
        </w:rPr>
        <w:t>e</w:t>
      </w:r>
      <w:r w:rsidR="00885DF8">
        <w:rPr>
          <w:rFonts w:cs="Arial"/>
        </w:rPr>
        <w:t xml:space="preserve"> </w:t>
      </w:r>
      <w:r w:rsidRPr="000A416A">
        <w:rPr>
          <w:rFonts w:cs="Arial"/>
        </w:rPr>
        <w:t xml:space="preserve">was held </w:t>
      </w:r>
      <w:r>
        <w:rPr>
          <w:rFonts w:cs="Arial"/>
        </w:rPr>
        <w:t xml:space="preserve">virtually via Zoom </w:t>
      </w:r>
      <w:r w:rsidRPr="000A416A">
        <w:rPr>
          <w:rFonts w:cs="Arial"/>
        </w:rPr>
        <w:t>on Mond</w:t>
      </w:r>
      <w:r w:rsidR="00E05D90">
        <w:rPr>
          <w:rFonts w:cs="Arial"/>
        </w:rPr>
        <w:t>ay 2</w:t>
      </w:r>
      <w:r w:rsidR="00F2011A">
        <w:rPr>
          <w:rFonts w:cs="Arial"/>
        </w:rPr>
        <w:t>7</w:t>
      </w:r>
      <w:r w:rsidR="00E05D90">
        <w:rPr>
          <w:rFonts w:cs="Arial"/>
        </w:rPr>
        <w:t xml:space="preserve"> </w:t>
      </w:r>
      <w:r w:rsidR="00F2011A">
        <w:rPr>
          <w:rFonts w:cs="Arial"/>
        </w:rPr>
        <w:t>June</w:t>
      </w:r>
      <w:r w:rsidR="00E05D90">
        <w:rPr>
          <w:rFonts w:cs="Arial"/>
        </w:rPr>
        <w:t xml:space="preserve"> 2022 at 7.00</w:t>
      </w:r>
      <w:r w:rsidRPr="000A416A">
        <w:rPr>
          <w:rFonts w:cs="Arial"/>
        </w:rPr>
        <w:t xml:space="preserve">pm. </w:t>
      </w:r>
    </w:p>
    <w:p w14:paraId="67F093D6" w14:textId="159483E8" w:rsidR="00823D43" w:rsidRPr="000A416A" w:rsidRDefault="00823D43" w:rsidP="00823D43">
      <w:pPr>
        <w:ind w:left="1440"/>
        <w:rPr>
          <w:rFonts w:cs="Arial"/>
        </w:rPr>
      </w:pPr>
      <w:r w:rsidRPr="000A416A">
        <w:rPr>
          <w:rFonts w:cs="Arial"/>
        </w:rPr>
        <w:t xml:space="preserve"> </w:t>
      </w:r>
    </w:p>
    <w:p w14:paraId="13645834" w14:textId="77777777" w:rsidR="00823D43" w:rsidRPr="000A416A" w:rsidRDefault="00823D43" w:rsidP="00823D43">
      <w:pPr>
        <w:rPr>
          <w:rFonts w:cs="Arial"/>
          <w:b/>
          <w:u w:val="single"/>
        </w:rPr>
      </w:pPr>
      <w:r w:rsidRPr="000A416A">
        <w:rPr>
          <w:rFonts w:cs="Arial"/>
          <w:b/>
          <w:u w:val="single"/>
        </w:rPr>
        <w:t>PRESENT:-</w:t>
      </w:r>
    </w:p>
    <w:p w14:paraId="0B98861B" w14:textId="77777777" w:rsidR="00823D43" w:rsidRPr="000A416A" w:rsidRDefault="00823D43" w:rsidP="00823D43">
      <w:pPr>
        <w:rPr>
          <w:rFonts w:cs="Arial"/>
        </w:rPr>
      </w:pPr>
      <w:r w:rsidRPr="000A416A">
        <w:rPr>
          <w:rFonts w:cs="Arial"/>
        </w:rPr>
        <w:t xml:space="preserve"> </w:t>
      </w:r>
    </w:p>
    <w:p w14:paraId="755D6AA9" w14:textId="46694187" w:rsidR="00823D43" w:rsidRDefault="00823D43" w:rsidP="00823D43">
      <w:pPr>
        <w:rPr>
          <w:rFonts w:cs="Arial"/>
        </w:rPr>
      </w:pPr>
      <w:r w:rsidRPr="000A416A">
        <w:rPr>
          <w:rFonts w:cs="Arial"/>
          <w:b/>
        </w:rPr>
        <w:t xml:space="preserve">In the Chair: </w:t>
      </w:r>
      <w:r>
        <w:rPr>
          <w:rFonts w:cs="Arial"/>
          <w:b/>
        </w:rPr>
        <w:tab/>
      </w:r>
      <w:r w:rsidR="00837CE9" w:rsidRPr="00837CE9">
        <w:rPr>
          <w:rFonts w:cs="Arial"/>
          <w:bCs/>
        </w:rPr>
        <w:t>Councillor Gilmour</w:t>
      </w:r>
      <w:r>
        <w:rPr>
          <w:rFonts w:cs="Arial"/>
        </w:rPr>
        <w:t xml:space="preserve"> </w:t>
      </w:r>
    </w:p>
    <w:p w14:paraId="4F03C297" w14:textId="5E4CFFEF" w:rsidR="00837CE9" w:rsidRDefault="00837CE9" w:rsidP="00823D43">
      <w:pPr>
        <w:rPr>
          <w:rFonts w:cs="Arial"/>
        </w:rPr>
      </w:pPr>
    </w:p>
    <w:p w14:paraId="4B034EF0" w14:textId="79B16D05" w:rsidR="00837CE9" w:rsidRPr="000A416A" w:rsidRDefault="00837CE9" w:rsidP="00823D43">
      <w:r w:rsidRPr="00837CE9">
        <w:rPr>
          <w:rFonts w:cs="Arial"/>
          <w:b/>
          <w:bCs/>
        </w:rPr>
        <w:t>Alderman:</w:t>
      </w:r>
      <w:r>
        <w:rPr>
          <w:rFonts w:cs="Arial"/>
        </w:rPr>
        <w:tab/>
      </w:r>
      <w:r>
        <w:rPr>
          <w:rFonts w:cs="Arial"/>
        </w:rPr>
        <w:tab/>
        <w:t xml:space="preserve">Armstrong-Cotter </w:t>
      </w:r>
    </w:p>
    <w:p w14:paraId="53302D0F" w14:textId="14532DF6" w:rsidR="00E05D90" w:rsidRPr="005A0D4A" w:rsidRDefault="00580EBD" w:rsidP="00823D43">
      <w:pPr>
        <w:rPr>
          <w:rFonts w:cs="Arial"/>
          <w:bCs/>
        </w:rPr>
      </w:pPr>
      <w:r>
        <w:rPr>
          <w:rFonts w:cs="Arial"/>
          <w:b/>
        </w:rPr>
        <w:tab/>
      </w:r>
    </w:p>
    <w:p w14:paraId="2C8DFD7A" w14:textId="77777777" w:rsidR="00837CE9" w:rsidRDefault="00823D43" w:rsidP="00E05D90">
      <w:pPr>
        <w:rPr>
          <w:rFonts w:cs="Arial"/>
        </w:rPr>
      </w:pPr>
      <w:r>
        <w:rPr>
          <w:rFonts w:cs="Arial"/>
          <w:b/>
          <w:bCs/>
        </w:rPr>
        <w:t>Councillors:</w:t>
      </w:r>
      <w:r>
        <w:rPr>
          <w:rFonts w:cs="Arial"/>
          <w:b/>
          <w:bCs/>
        </w:rPr>
        <w:tab/>
      </w:r>
      <w:r>
        <w:rPr>
          <w:rFonts w:cs="Arial"/>
          <w:b/>
          <w:bCs/>
        </w:rPr>
        <w:tab/>
      </w:r>
      <w:r w:rsidR="00837CE9" w:rsidRPr="00837CE9">
        <w:rPr>
          <w:rFonts w:cs="Arial"/>
        </w:rPr>
        <w:t xml:space="preserve">Greer </w:t>
      </w:r>
      <w:r w:rsidR="005A0D4A" w:rsidRPr="00837CE9">
        <w:rPr>
          <w:rFonts w:cs="Arial"/>
        </w:rPr>
        <w:tab/>
      </w:r>
    </w:p>
    <w:p w14:paraId="0DC46C91" w14:textId="4E0833CB" w:rsidR="00823D43" w:rsidRDefault="00837CE9" w:rsidP="00E05D90">
      <w:pPr>
        <w:rPr>
          <w:rFonts w:cs="Arial"/>
        </w:rPr>
      </w:pPr>
      <w:r>
        <w:rPr>
          <w:rFonts w:cs="Arial"/>
        </w:rPr>
        <w:tab/>
      </w:r>
      <w:r>
        <w:rPr>
          <w:rFonts w:cs="Arial"/>
        </w:rPr>
        <w:tab/>
      </w:r>
      <w:r>
        <w:rPr>
          <w:rFonts w:cs="Arial"/>
        </w:rPr>
        <w:tab/>
        <w:t>Irwin</w:t>
      </w:r>
      <w:r w:rsidR="00DA219C">
        <w:rPr>
          <w:rFonts w:cs="Arial"/>
        </w:rPr>
        <w:t xml:space="preserve"> (7.30 pm)</w:t>
      </w:r>
      <w:r w:rsidR="005A0D4A">
        <w:rPr>
          <w:rFonts w:cs="Arial"/>
        </w:rPr>
        <w:tab/>
      </w:r>
    </w:p>
    <w:p w14:paraId="7C89D8F0" w14:textId="1E5ACAF6" w:rsidR="005A0D4A" w:rsidRDefault="005A0D4A" w:rsidP="00E05D90">
      <w:pPr>
        <w:rPr>
          <w:rFonts w:cs="Arial"/>
        </w:rPr>
      </w:pPr>
      <w:r>
        <w:rPr>
          <w:rFonts w:cs="Arial"/>
        </w:rPr>
        <w:tab/>
      </w:r>
      <w:r>
        <w:rPr>
          <w:rFonts w:cs="Arial"/>
        </w:rPr>
        <w:tab/>
      </w:r>
      <w:r>
        <w:rPr>
          <w:rFonts w:cs="Arial"/>
        </w:rPr>
        <w:tab/>
      </w:r>
      <w:r w:rsidR="00837CE9">
        <w:rPr>
          <w:rFonts w:cs="Arial"/>
        </w:rPr>
        <w:t xml:space="preserve">McAlpine </w:t>
      </w:r>
      <w:r>
        <w:rPr>
          <w:rFonts w:cs="Arial"/>
        </w:rPr>
        <w:tab/>
      </w:r>
    </w:p>
    <w:p w14:paraId="4699C4A7" w14:textId="072E138E" w:rsidR="00E05D90" w:rsidRDefault="005A0D4A" w:rsidP="00E05D90">
      <w:pPr>
        <w:rPr>
          <w:rFonts w:cs="Arial"/>
        </w:rPr>
      </w:pPr>
      <w:r>
        <w:rPr>
          <w:rFonts w:cs="Arial"/>
        </w:rPr>
        <w:tab/>
      </w:r>
      <w:r>
        <w:rPr>
          <w:rFonts w:cs="Arial"/>
        </w:rPr>
        <w:tab/>
      </w:r>
      <w:r>
        <w:rPr>
          <w:rFonts w:cs="Arial"/>
        </w:rPr>
        <w:tab/>
      </w:r>
      <w:r w:rsidR="00837CE9">
        <w:rPr>
          <w:rFonts w:cs="Arial"/>
        </w:rPr>
        <w:t xml:space="preserve">McClean </w:t>
      </w:r>
      <w:r>
        <w:rPr>
          <w:rFonts w:cs="Arial"/>
        </w:rPr>
        <w:tab/>
      </w:r>
      <w:r>
        <w:rPr>
          <w:rFonts w:cs="Arial"/>
        </w:rPr>
        <w:tab/>
      </w:r>
      <w:r>
        <w:rPr>
          <w:rFonts w:cs="Arial"/>
        </w:rPr>
        <w:tab/>
      </w:r>
      <w:r>
        <w:rPr>
          <w:rFonts w:cs="Arial"/>
        </w:rPr>
        <w:tab/>
        <w:t xml:space="preserve"> </w:t>
      </w:r>
    </w:p>
    <w:p w14:paraId="5653F613" w14:textId="77777777" w:rsidR="00837CE9" w:rsidRDefault="00837CE9" w:rsidP="00E05D90">
      <w:pPr>
        <w:rPr>
          <w:rFonts w:cs="Arial"/>
        </w:rPr>
      </w:pPr>
    </w:p>
    <w:p w14:paraId="2FDDD2FD" w14:textId="6E20D060" w:rsidR="00CE4FA2" w:rsidRDefault="00CE4FA2" w:rsidP="00823D43">
      <w:pPr>
        <w:rPr>
          <w:rFonts w:cs="Arial"/>
        </w:rPr>
      </w:pPr>
      <w:r w:rsidRPr="00CE4FA2">
        <w:rPr>
          <w:rFonts w:cs="Arial"/>
          <w:b/>
          <w:bCs/>
        </w:rPr>
        <w:t>Independent Member:</w:t>
      </w:r>
      <w:r>
        <w:rPr>
          <w:rFonts w:cs="Arial"/>
        </w:rPr>
        <w:t xml:space="preserve"> Mr T McGonigal</w:t>
      </w:r>
    </w:p>
    <w:p w14:paraId="4385C19B" w14:textId="7A3D677F" w:rsidR="00823D43" w:rsidRPr="000A416A" w:rsidRDefault="00823D43" w:rsidP="00823D43">
      <w:pPr>
        <w:rPr>
          <w:rFonts w:cs="Arial"/>
        </w:rPr>
      </w:pPr>
      <w:r>
        <w:rPr>
          <w:rFonts w:cs="Arial"/>
        </w:rPr>
        <w:tab/>
      </w:r>
    </w:p>
    <w:p w14:paraId="7D61235B" w14:textId="18238D4B" w:rsidR="00823D43" w:rsidRDefault="00823D43" w:rsidP="00823D43">
      <w:pPr>
        <w:tabs>
          <w:tab w:val="left" w:pos="2184"/>
          <w:tab w:val="left" w:pos="5387"/>
        </w:tabs>
        <w:rPr>
          <w:rFonts w:cs="Arial"/>
        </w:rPr>
      </w:pPr>
      <w:r w:rsidRPr="000A416A">
        <w:rPr>
          <w:rFonts w:cs="Arial"/>
          <w:b/>
        </w:rPr>
        <w:t>In Attendance</w:t>
      </w:r>
      <w:r>
        <w:rPr>
          <w:rFonts w:cs="Arial"/>
          <w:b/>
        </w:rPr>
        <w:t>:</w:t>
      </w:r>
      <w:r>
        <w:rPr>
          <w:rFonts w:cs="Arial"/>
          <w:b/>
        </w:rPr>
        <w:tab/>
      </w:r>
      <w:r w:rsidR="00CB09DB" w:rsidRPr="00CB09DB">
        <w:rPr>
          <w:rFonts w:cs="Arial"/>
          <w:bCs/>
        </w:rPr>
        <w:t>ASM</w:t>
      </w:r>
      <w:r w:rsidR="00837CE9" w:rsidRPr="00CB09DB">
        <w:rPr>
          <w:rFonts w:cs="Arial"/>
          <w:bCs/>
        </w:rPr>
        <w:t xml:space="preserve"> </w:t>
      </w:r>
      <w:r w:rsidRPr="00CB09DB">
        <w:rPr>
          <w:rFonts w:cs="Arial"/>
          <w:bCs/>
        </w:rPr>
        <w:t>–</w:t>
      </w:r>
      <w:r>
        <w:rPr>
          <w:rFonts w:cs="Arial"/>
          <w:b/>
        </w:rPr>
        <w:t xml:space="preserve"> </w:t>
      </w:r>
      <w:r w:rsidR="00837CE9" w:rsidRPr="00837CE9">
        <w:rPr>
          <w:rFonts w:cs="Arial"/>
          <w:bCs/>
        </w:rPr>
        <w:t>C Hagan</w:t>
      </w:r>
    </w:p>
    <w:p w14:paraId="2F2B15FB" w14:textId="1471E0AF" w:rsidR="00823D43" w:rsidRDefault="00823D43" w:rsidP="00823D43">
      <w:pPr>
        <w:tabs>
          <w:tab w:val="left" w:pos="2184"/>
          <w:tab w:val="left" w:pos="5387"/>
        </w:tabs>
        <w:rPr>
          <w:rFonts w:cs="Arial"/>
        </w:rPr>
      </w:pPr>
      <w:r>
        <w:rPr>
          <w:rFonts w:cs="Arial"/>
        </w:rPr>
        <w:tab/>
      </w:r>
      <w:r w:rsidRPr="00264D71">
        <w:rPr>
          <w:rFonts w:cs="Arial"/>
        </w:rPr>
        <w:t>Deloitte</w:t>
      </w:r>
      <w:r w:rsidRPr="00691E57">
        <w:rPr>
          <w:rFonts w:cs="Arial"/>
          <w:b/>
          <w:sz w:val="40"/>
          <w:szCs w:val="40"/>
        </w:rPr>
        <w:t xml:space="preserve"> </w:t>
      </w:r>
      <w:r>
        <w:rPr>
          <w:rFonts w:cs="Arial"/>
        </w:rPr>
        <w:t>– C McDermott</w:t>
      </w:r>
    </w:p>
    <w:p w14:paraId="22F6FBC7" w14:textId="65FA2AB4" w:rsidR="00823D43" w:rsidRPr="00CE4FA2" w:rsidRDefault="00CE4FA2" w:rsidP="00CE4FA2">
      <w:pPr>
        <w:tabs>
          <w:tab w:val="left" w:pos="2184"/>
          <w:tab w:val="left" w:pos="5387"/>
        </w:tabs>
        <w:rPr>
          <w:rFonts w:cs="Arial"/>
        </w:rPr>
      </w:pPr>
      <w:r>
        <w:rPr>
          <w:rFonts w:cs="Arial"/>
        </w:rPr>
        <w:tab/>
        <w:t xml:space="preserve">NIAO </w:t>
      </w:r>
      <w:r w:rsidR="00FD492D">
        <w:rPr>
          <w:rFonts w:cs="Arial"/>
        </w:rPr>
        <w:t>–</w:t>
      </w:r>
      <w:r>
        <w:rPr>
          <w:rFonts w:cs="Arial"/>
        </w:rPr>
        <w:t xml:space="preserve"> </w:t>
      </w:r>
      <w:r w:rsidRPr="00CE4FA2">
        <w:rPr>
          <w:rFonts w:cs="Arial"/>
        </w:rPr>
        <w:t>A Allen</w:t>
      </w:r>
      <w:r w:rsidR="00823D43" w:rsidRPr="00CE4FA2">
        <w:rPr>
          <w:rFonts w:cs="Arial"/>
        </w:rPr>
        <w:t xml:space="preserve"> </w:t>
      </w:r>
    </w:p>
    <w:p w14:paraId="5B5AE6CE" w14:textId="77777777" w:rsidR="00823D43" w:rsidRDefault="00823D43" w:rsidP="00823D43">
      <w:pPr>
        <w:tabs>
          <w:tab w:val="left" w:pos="2184"/>
          <w:tab w:val="left" w:pos="5387"/>
        </w:tabs>
        <w:rPr>
          <w:rFonts w:cs="Arial"/>
        </w:rPr>
      </w:pPr>
    </w:p>
    <w:p w14:paraId="49554746" w14:textId="27703EF5" w:rsidR="00823D43" w:rsidRPr="000A416A" w:rsidRDefault="00823D43" w:rsidP="00823D43">
      <w:pPr>
        <w:ind w:left="2160" w:hanging="2160"/>
      </w:pPr>
      <w:r w:rsidRPr="000A416A">
        <w:rPr>
          <w:rFonts w:cs="Arial"/>
          <w:b/>
        </w:rPr>
        <w:t>Officers:</w:t>
      </w:r>
      <w:r w:rsidRPr="000A416A">
        <w:rPr>
          <w:rFonts w:cs="Arial"/>
          <w:b/>
        </w:rPr>
        <w:tab/>
      </w:r>
      <w:r w:rsidRPr="00946759">
        <w:rPr>
          <w:rFonts w:cs="Arial"/>
        </w:rPr>
        <w:t xml:space="preserve">Chief Executive (S Reid), </w:t>
      </w:r>
      <w:r>
        <w:rPr>
          <w:rFonts w:cs="Arial"/>
        </w:rPr>
        <w:t xml:space="preserve">Director of Finance and Performance (S Christie), </w:t>
      </w:r>
      <w:r w:rsidRPr="00946759">
        <w:rPr>
          <w:rFonts w:cs="Arial"/>
        </w:rPr>
        <w:t>Head of Finance (S Grieve)</w:t>
      </w:r>
      <w:r>
        <w:rPr>
          <w:rFonts w:cs="Arial"/>
        </w:rPr>
        <w:t xml:space="preserve"> </w:t>
      </w:r>
      <w:r w:rsidRPr="00946759">
        <w:rPr>
          <w:rFonts w:cs="Arial"/>
        </w:rPr>
        <w:t>and Democratic Services Officer (</w:t>
      </w:r>
      <w:r w:rsidR="00F2011A">
        <w:rPr>
          <w:rFonts w:cs="Arial"/>
        </w:rPr>
        <w:t>H Loebnau</w:t>
      </w:r>
      <w:r w:rsidRPr="00946759">
        <w:rPr>
          <w:rFonts w:cs="Arial"/>
        </w:rPr>
        <w:t>)</w:t>
      </w:r>
    </w:p>
    <w:p w14:paraId="679C2B7C" w14:textId="77777777" w:rsidR="00823D43" w:rsidRPr="000A416A" w:rsidRDefault="00823D43" w:rsidP="00823D43">
      <w:pPr>
        <w:rPr>
          <w:rFonts w:cs="Arial"/>
        </w:rPr>
      </w:pPr>
    </w:p>
    <w:p w14:paraId="6D3D12D4" w14:textId="77777777" w:rsidR="00823D43" w:rsidRPr="000A416A" w:rsidRDefault="00823D43" w:rsidP="00823D43">
      <w:pPr>
        <w:pStyle w:val="Heading1"/>
      </w:pPr>
      <w:r w:rsidRPr="00DE4C6F">
        <w:rPr>
          <w:u w:val="none"/>
        </w:rPr>
        <w:t>1.</w:t>
      </w:r>
      <w:r w:rsidRPr="00DE4C6F">
        <w:rPr>
          <w:u w:val="none"/>
        </w:rPr>
        <w:tab/>
      </w:r>
      <w:r w:rsidRPr="000A416A">
        <w:t>Apologies</w:t>
      </w:r>
    </w:p>
    <w:p w14:paraId="5B08469A" w14:textId="77777777" w:rsidR="00823D43" w:rsidRPr="000A416A" w:rsidRDefault="00823D43" w:rsidP="00823D43">
      <w:pPr>
        <w:tabs>
          <w:tab w:val="left" w:pos="567"/>
        </w:tabs>
        <w:rPr>
          <w:rFonts w:cs="Arial"/>
          <w:b/>
          <w:caps/>
          <w:sz w:val="28"/>
          <w:szCs w:val="28"/>
        </w:rPr>
      </w:pPr>
    </w:p>
    <w:p w14:paraId="77541DFD" w14:textId="71514F9C" w:rsidR="008D44C1" w:rsidRDefault="00CE4FA2" w:rsidP="00823D43">
      <w:pPr>
        <w:tabs>
          <w:tab w:val="left" w:pos="567"/>
        </w:tabs>
        <w:rPr>
          <w:rFonts w:cs="Arial"/>
        </w:rPr>
      </w:pPr>
      <w:r>
        <w:rPr>
          <w:rFonts w:cs="Arial"/>
        </w:rPr>
        <w:t>The Chairman</w:t>
      </w:r>
      <w:r w:rsidR="00155BAC">
        <w:rPr>
          <w:rFonts w:cs="Arial"/>
        </w:rPr>
        <w:t xml:space="preserve">, Councillor Gilmour, </w:t>
      </w:r>
      <w:r>
        <w:rPr>
          <w:rFonts w:cs="Arial"/>
        </w:rPr>
        <w:t>sought apologies at this stage</w:t>
      </w:r>
      <w:r w:rsidR="00155BAC">
        <w:rPr>
          <w:rFonts w:cs="Arial"/>
        </w:rPr>
        <w:t xml:space="preserve"> and those were noted from Councillor Thompson</w:t>
      </w:r>
      <w:r w:rsidR="008D44C1">
        <w:rPr>
          <w:rFonts w:cs="Arial"/>
        </w:rPr>
        <w:t>.</w:t>
      </w:r>
      <w:r w:rsidR="00155BAC">
        <w:rPr>
          <w:rFonts w:cs="Arial"/>
        </w:rPr>
        <w:t xml:space="preserve">  </w:t>
      </w:r>
      <w:r w:rsidR="00152E3A">
        <w:rPr>
          <w:rFonts w:cs="Arial"/>
        </w:rPr>
        <w:t xml:space="preserve">Apologies were also noted for </w:t>
      </w:r>
      <w:r w:rsidR="00155BAC">
        <w:rPr>
          <w:rFonts w:cs="Arial"/>
        </w:rPr>
        <w:t>D</w:t>
      </w:r>
      <w:r w:rsidR="0076712A">
        <w:rPr>
          <w:rFonts w:cs="Arial"/>
        </w:rPr>
        <w:t>avid</w:t>
      </w:r>
      <w:r w:rsidR="00155BAC">
        <w:rPr>
          <w:rFonts w:cs="Arial"/>
        </w:rPr>
        <w:t xml:space="preserve"> Kinsella</w:t>
      </w:r>
      <w:r w:rsidR="0076712A">
        <w:rPr>
          <w:rFonts w:cs="Arial"/>
        </w:rPr>
        <w:t>,</w:t>
      </w:r>
      <w:r w:rsidR="00155BAC">
        <w:rPr>
          <w:rFonts w:cs="Arial"/>
        </w:rPr>
        <w:t xml:space="preserve"> Deloit</w:t>
      </w:r>
      <w:r w:rsidR="0076712A">
        <w:rPr>
          <w:rFonts w:cs="Arial"/>
        </w:rPr>
        <w:t>t</w:t>
      </w:r>
      <w:r w:rsidR="00155BAC">
        <w:rPr>
          <w:rFonts w:cs="Arial"/>
        </w:rPr>
        <w:t>e</w:t>
      </w:r>
      <w:r w:rsidR="008521D4">
        <w:rPr>
          <w:rFonts w:cs="Arial"/>
        </w:rPr>
        <w:t>,</w:t>
      </w:r>
      <w:r w:rsidR="00155BAC">
        <w:rPr>
          <w:rFonts w:cs="Arial"/>
        </w:rPr>
        <w:t xml:space="preserve"> and </w:t>
      </w:r>
      <w:r w:rsidR="00152E3A">
        <w:rPr>
          <w:rFonts w:cs="Arial"/>
        </w:rPr>
        <w:t xml:space="preserve">Members were informed that </w:t>
      </w:r>
      <w:r w:rsidR="00155BAC">
        <w:rPr>
          <w:rFonts w:cs="Arial"/>
        </w:rPr>
        <w:t>C</w:t>
      </w:r>
      <w:r w:rsidR="0076712A">
        <w:rPr>
          <w:rFonts w:cs="Arial"/>
        </w:rPr>
        <w:t>amille</w:t>
      </w:r>
      <w:r w:rsidR="00155BAC">
        <w:rPr>
          <w:rFonts w:cs="Arial"/>
        </w:rPr>
        <w:t xml:space="preserve"> McDermott w</w:t>
      </w:r>
      <w:r w:rsidR="0076712A">
        <w:rPr>
          <w:rFonts w:cs="Arial"/>
        </w:rPr>
        <w:t xml:space="preserve">ould </w:t>
      </w:r>
      <w:r w:rsidR="00155BAC">
        <w:rPr>
          <w:rFonts w:cs="Arial"/>
        </w:rPr>
        <w:t xml:space="preserve">present the internal audit report </w:t>
      </w:r>
      <w:r w:rsidR="00152E3A">
        <w:rPr>
          <w:rFonts w:cs="Arial"/>
        </w:rPr>
        <w:t>in his absence</w:t>
      </w:r>
      <w:r w:rsidR="00155BAC">
        <w:rPr>
          <w:rFonts w:cs="Arial"/>
        </w:rPr>
        <w:t xml:space="preserve">.   </w:t>
      </w:r>
    </w:p>
    <w:p w14:paraId="7755C193" w14:textId="77777777" w:rsidR="008D44C1" w:rsidRDefault="008D44C1" w:rsidP="00823D43">
      <w:pPr>
        <w:tabs>
          <w:tab w:val="left" w:pos="567"/>
        </w:tabs>
        <w:rPr>
          <w:rFonts w:cs="Arial"/>
        </w:rPr>
      </w:pPr>
    </w:p>
    <w:p w14:paraId="0B1A8061" w14:textId="77777777" w:rsidR="00823D43" w:rsidRPr="000A416A" w:rsidRDefault="00823D43" w:rsidP="00823D43">
      <w:pPr>
        <w:tabs>
          <w:tab w:val="left" w:pos="567"/>
        </w:tabs>
        <w:rPr>
          <w:rFonts w:cs="Arial"/>
        </w:rPr>
      </w:pPr>
      <w:r w:rsidRPr="000A416A">
        <w:rPr>
          <w:rFonts w:cs="Arial"/>
          <w:b/>
        </w:rPr>
        <w:t>NOTED.</w:t>
      </w:r>
      <w:r w:rsidRPr="000A416A">
        <w:rPr>
          <w:rFonts w:cs="Arial"/>
        </w:rPr>
        <w:t xml:space="preserve"> </w:t>
      </w:r>
    </w:p>
    <w:p w14:paraId="12BBC3FC" w14:textId="77777777" w:rsidR="00823D43" w:rsidRPr="000A416A" w:rsidRDefault="00823D43" w:rsidP="00823D43">
      <w:pPr>
        <w:tabs>
          <w:tab w:val="left" w:pos="567"/>
        </w:tabs>
        <w:rPr>
          <w:rFonts w:cs="Arial"/>
        </w:rPr>
      </w:pPr>
    </w:p>
    <w:p w14:paraId="485A5D9C" w14:textId="77777777" w:rsidR="00823D43" w:rsidRPr="000A416A" w:rsidRDefault="00823D43" w:rsidP="00823D43">
      <w:pPr>
        <w:pStyle w:val="Heading1"/>
        <w:rPr>
          <w:b w:val="0"/>
        </w:rPr>
      </w:pPr>
      <w:r w:rsidRPr="000A416A">
        <w:rPr>
          <w:u w:val="none"/>
        </w:rPr>
        <w:t>2.</w:t>
      </w:r>
      <w:r w:rsidRPr="000A416A">
        <w:rPr>
          <w:u w:val="none"/>
        </w:rPr>
        <w:tab/>
      </w:r>
      <w:r w:rsidRPr="000A416A">
        <w:t>Chairman’s Remarks</w:t>
      </w:r>
    </w:p>
    <w:p w14:paraId="4DC5F2F4" w14:textId="77777777" w:rsidR="00823D43" w:rsidRPr="000A416A" w:rsidRDefault="00823D43" w:rsidP="00823D43"/>
    <w:p w14:paraId="78B1947F" w14:textId="5E406BA8" w:rsidR="005B1443" w:rsidRDefault="00823D43" w:rsidP="009F49B9">
      <w:pPr>
        <w:tabs>
          <w:tab w:val="left" w:pos="567"/>
        </w:tabs>
        <w:spacing w:after="240"/>
        <w:rPr>
          <w:rFonts w:cs="Arial"/>
        </w:rPr>
      </w:pPr>
      <w:r w:rsidRPr="000A416A">
        <w:rPr>
          <w:rFonts w:cs="Arial"/>
        </w:rPr>
        <w:t>The Chairman</w:t>
      </w:r>
      <w:r w:rsidR="00CE4FA2">
        <w:rPr>
          <w:rFonts w:cs="Arial"/>
        </w:rPr>
        <w:t xml:space="preserve"> </w:t>
      </w:r>
      <w:r w:rsidRPr="000A416A">
        <w:rPr>
          <w:rFonts w:cs="Arial"/>
        </w:rPr>
        <w:t>welcomed everyone to the meeting</w:t>
      </w:r>
      <w:r w:rsidR="006D761C">
        <w:rPr>
          <w:rFonts w:cs="Arial"/>
        </w:rPr>
        <w:t xml:space="preserve"> including</w:t>
      </w:r>
      <w:r>
        <w:rPr>
          <w:rFonts w:cs="Arial"/>
        </w:rPr>
        <w:t xml:space="preserve"> th</w:t>
      </w:r>
      <w:r w:rsidR="00095E52">
        <w:rPr>
          <w:rFonts w:cs="Arial"/>
        </w:rPr>
        <w:t>e</w:t>
      </w:r>
      <w:r>
        <w:rPr>
          <w:rFonts w:cs="Arial"/>
        </w:rPr>
        <w:t xml:space="preserve"> </w:t>
      </w:r>
      <w:r w:rsidR="00EE046F">
        <w:rPr>
          <w:rFonts w:cs="Arial"/>
        </w:rPr>
        <w:t>internal and external auditors</w:t>
      </w:r>
      <w:r>
        <w:rPr>
          <w:rFonts w:cs="Arial"/>
        </w:rPr>
        <w:t xml:space="preserve"> to the </w:t>
      </w:r>
      <w:r w:rsidR="00286DB7">
        <w:rPr>
          <w:rFonts w:cs="Arial"/>
        </w:rPr>
        <w:t>C</w:t>
      </w:r>
      <w:r>
        <w:rPr>
          <w:rFonts w:cs="Arial"/>
        </w:rPr>
        <w:t>ommittee</w:t>
      </w:r>
      <w:r w:rsidR="00820815">
        <w:rPr>
          <w:rFonts w:cs="Arial"/>
        </w:rPr>
        <w:t xml:space="preserve"> from the Northern Ireland Audit Office, ASM and Deloitte</w:t>
      </w:r>
      <w:r w:rsidR="008521D4">
        <w:rPr>
          <w:rFonts w:cs="Arial"/>
        </w:rPr>
        <w:t xml:space="preserve">.  </w:t>
      </w:r>
      <w:r w:rsidR="0076712A">
        <w:rPr>
          <w:rFonts w:cs="Arial"/>
        </w:rPr>
        <w:t xml:space="preserve">  </w:t>
      </w:r>
      <w:r w:rsidR="00366780">
        <w:rPr>
          <w:rFonts w:cs="Arial"/>
        </w:rPr>
        <w:t xml:space="preserve">  </w:t>
      </w:r>
    </w:p>
    <w:p w14:paraId="3DE16859" w14:textId="77777777" w:rsidR="00823D43" w:rsidRPr="000A416A" w:rsidRDefault="00823D43" w:rsidP="00823D43">
      <w:pPr>
        <w:tabs>
          <w:tab w:val="left" w:pos="567"/>
        </w:tabs>
        <w:rPr>
          <w:rFonts w:cs="Arial"/>
          <w:b/>
        </w:rPr>
      </w:pPr>
      <w:r w:rsidRPr="000A416A">
        <w:rPr>
          <w:rFonts w:cs="Arial"/>
          <w:b/>
        </w:rPr>
        <w:t xml:space="preserve">NOTED. </w:t>
      </w:r>
    </w:p>
    <w:p w14:paraId="176A96B2" w14:textId="77777777" w:rsidR="0090782A" w:rsidRPr="000A416A" w:rsidRDefault="0090782A" w:rsidP="00823D43">
      <w:pPr>
        <w:tabs>
          <w:tab w:val="left" w:pos="567"/>
        </w:tabs>
        <w:rPr>
          <w:rFonts w:cs="Arial"/>
        </w:rPr>
      </w:pPr>
    </w:p>
    <w:p w14:paraId="6E03A6F5" w14:textId="77777777" w:rsidR="00823D43" w:rsidRPr="000A416A" w:rsidRDefault="00823D43" w:rsidP="00823D43">
      <w:pPr>
        <w:pStyle w:val="Heading1"/>
        <w:rPr>
          <w:b w:val="0"/>
        </w:rPr>
      </w:pPr>
      <w:r w:rsidRPr="000A416A">
        <w:rPr>
          <w:u w:val="none"/>
        </w:rPr>
        <w:t>3.</w:t>
      </w:r>
      <w:r w:rsidRPr="000A416A">
        <w:rPr>
          <w:u w:val="none"/>
        </w:rPr>
        <w:tab/>
      </w:r>
      <w:r w:rsidRPr="000A416A">
        <w:t>Declarations of Interest</w:t>
      </w:r>
    </w:p>
    <w:p w14:paraId="1D28EDE8" w14:textId="77777777" w:rsidR="00823D43" w:rsidRPr="000A416A" w:rsidRDefault="00823D43" w:rsidP="00823D43"/>
    <w:p w14:paraId="447082B8" w14:textId="0BA3058D" w:rsidR="00683B67" w:rsidRDefault="00823D43" w:rsidP="00823D43">
      <w:r w:rsidRPr="000A416A">
        <w:t xml:space="preserve">The Chairman asked for any </w:t>
      </w:r>
      <w:r w:rsidR="00683B67">
        <w:t>D</w:t>
      </w:r>
      <w:r w:rsidRPr="000A416A">
        <w:t xml:space="preserve">eclarations of </w:t>
      </w:r>
      <w:r w:rsidR="00683B67">
        <w:t>I</w:t>
      </w:r>
      <w:r w:rsidRPr="000A416A">
        <w:t>nterest</w:t>
      </w:r>
      <w:r>
        <w:t xml:space="preserve"> at this stage</w:t>
      </w:r>
      <w:r w:rsidR="000A418C">
        <w:t xml:space="preserve"> and none were made.</w:t>
      </w:r>
    </w:p>
    <w:p w14:paraId="08189D16" w14:textId="77777777" w:rsidR="000A418C" w:rsidRDefault="000A418C" w:rsidP="00823D43"/>
    <w:p w14:paraId="1BA43E4A" w14:textId="1D52230A" w:rsidR="00823D43" w:rsidRPr="00D51DAD" w:rsidRDefault="00823D43" w:rsidP="00823D43">
      <w:r w:rsidRPr="000A416A">
        <w:rPr>
          <w:b/>
        </w:rPr>
        <w:t>NOTED.</w:t>
      </w:r>
      <w:r w:rsidRPr="000A416A">
        <w:t xml:space="preserve"> </w:t>
      </w:r>
    </w:p>
    <w:p w14:paraId="06F64B0B" w14:textId="77777777" w:rsidR="00823D43" w:rsidRPr="000A416A" w:rsidRDefault="00823D43" w:rsidP="00823D43">
      <w:pPr>
        <w:rPr>
          <w:b/>
        </w:rPr>
      </w:pPr>
    </w:p>
    <w:p w14:paraId="079B1349" w14:textId="6D52EE83" w:rsidR="00823D43" w:rsidRPr="00E379F1" w:rsidRDefault="00823D43" w:rsidP="00E379F1">
      <w:pPr>
        <w:pStyle w:val="Heading1"/>
        <w:ind w:left="720" w:hanging="720"/>
      </w:pPr>
      <w:r w:rsidRPr="000A416A">
        <w:rPr>
          <w:u w:val="none"/>
        </w:rPr>
        <w:lastRenderedPageBreak/>
        <w:t>4.</w:t>
      </w:r>
      <w:r w:rsidRPr="000A416A">
        <w:rPr>
          <w:u w:val="none"/>
        </w:rPr>
        <w:tab/>
      </w:r>
      <w:r w:rsidRPr="00946759">
        <w:t xml:space="preserve">Matters Arising from Previous Meetings </w:t>
      </w:r>
    </w:p>
    <w:p w14:paraId="633F9C87" w14:textId="77777777" w:rsidR="00823D43" w:rsidRDefault="00823D43" w:rsidP="00823D43"/>
    <w:p w14:paraId="1A64CC0D" w14:textId="35BE1436" w:rsidR="00823D43" w:rsidRPr="009602D4" w:rsidRDefault="00823D43" w:rsidP="00823D43">
      <w:pPr>
        <w:pStyle w:val="Heading2"/>
        <w:rPr>
          <w:b w:val="0"/>
          <w:bCs/>
        </w:rPr>
      </w:pPr>
      <w:r w:rsidRPr="00DE4C6F">
        <w:rPr>
          <w:u w:val="none"/>
        </w:rPr>
        <w:t xml:space="preserve">(a) </w:t>
      </w:r>
      <w:r w:rsidRPr="00DE4C6F">
        <w:rPr>
          <w:u w:val="none"/>
        </w:rPr>
        <w:tab/>
      </w:r>
      <w:r w:rsidRPr="00D7671E">
        <w:t xml:space="preserve">Audit Committee Minutes </w:t>
      </w:r>
      <w:r>
        <w:t>from</w:t>
      </w:r>
      <w:r w:rsidR="00EC5D4A">
        <w:t xml:space="preserve"> </w:t>
      </w:r>
      <w:r w:rsidR="00F2011A">
        <w:t xml:space="preserve">March </w:t>
      </w:r>
      <w:r w:rsidR="00EC5D4A">
        <w:t>202</w:t>
      </w:r>
      <w:r w:rsidR="00F2011A">
        <w:t>2</w:t>
      </w:r>
      <w:r w:rsidR="009602D4">
        <w:t xml:space="preserve"> </w:t>
      </w:r>
      <w:r w:rsidR="009602D4" w:rsidRPr="009602D4">
        <w:rPr>
          <w:u w:val="none"/>
        </w:rPr>
        <w:t xml:space="preserve"> </w:t>
      </w:r>
      <w:r w:rsidR="009602D4" w:rsidRPr="009602D4">
        <w:rPr>
          <w:b w:val="0"/>
          <w:bCs/>
          <w:u w:val="none"/>
        </w:rPr>
        <w:t xml:space="preserve">(Appendix </w:t>
      </w:r>
      <w:r w:rsidR="00A777B4">
        <w:rPr>
          <w:b w:val="0"/>
          <w:bCs/>
          <w:u w:val="none"/>
        </w:rPr>
        <w:t>I</w:t>
      </w:r>
      <w:r w:rsidR="009602D4" w:rsidRPr="009602D4">
        <w:rPr>
          <w:b w:val="0"/>
          <w:bCs/>
          <w:u w:val="none"/>
        </w:rPr>
        <w:t>)</w:t>
      </w:r>
    </w:p>
    <w:p w14:paraId="27F4BC81" w14:textId="77777777" w:rsidR="00823D43" w:rsidRDefault="00823D43" w:rsidP="00823D43">
      <w:pPr>
        <w:rPr>
          <w:b/>
        </w:rPr>
      </w:pPr>
    </w:p>
    <w:p w14:paraId="72F07A06" w14:textId="77777777" w:rsidR="00823D43" w:rsidRDefault="00823D43" w:rsidP="00823D43">
      <w:r w:rsidRPr="00B32EF2">
        <w:rPr>
          <w:caps/>
        </w:rPr>
        <w:t>Previously circulated</w:t>
      </w:r>
      <w:r>
        <w:t xml:space="preserve">:- Copy of the above minutes. </w:t>
      </w:r>
    </w:p>
    <w:p w14:paraId="0E863E3B" w14:textId="77777777" w:rsidR="00823D43" w:rsidRDefault="00823D43" w:rsidP="00823D43"/>
    <w:p w14:paraId="4F0E0F43" w14:textId="4BBB00D4" w:rsidR="00823D43" w:rsidRDefault="00823D43" w:rsidP="00823D43">
      <w:pPr>
        <w:rPr>
          <w:b/>
        </w:rPr>
      </w:pPr>
      <w:r>
        <w:rPr>
          <w:b/>
        </w:rPr>
        <w:t>AGREED TO RECOMMEND, on the proposal of</w:t>
      </w:r>
      <w:r w:rsidR="00AF2B3B">
        <w:rPr>
          <w:b/>
        </w:rPr>
        <w:t xml:space="preserve"> </w:t>
      </w:r>
      <w:r w:rsidR="00366780">
        <w:rPr>
          <w:b/>
        </w:rPr>
        <w:t>Alderman Armstrong-Cotter</w:t>
      </w:r>
      <w:r>
        <w:rPr>
          <w:b/>
        </w:rPr>
        <w:t>, seconded by</w:t>
      </w:r>
      <w:r w:rsidR="00AF2B3B">
        <w:rPr>
          <w:b/>
        </w:rPr>
        <w:t xml:space="preserve"> </w:t>
      </w:r>
      <w:r w:rsidR="00366780">
        <w:rPr>
          <w:b/>
        </w:rPr>
        <w:t>Councillor Greer</w:t>
      </w:r>
      <w:r>
        <w:rPr>
          <w:b/>
        </w:rPr>
        <w:t xml:space="preserve">, that the minutes be </w:t>
      </w:r>
      <w:r w:rsidR="008650EF">
        <w:rPr>
          <w:b/>
        </w:rPr>
        <w:t>noted</w:t>
      </w:r>
      <w:r>
        <w:rPr>
          <w:b/>
        </w:rPr>
        <w:t xml:space="preserve">. </w:t>
      </w:r>
    </w:p>
    <w:p w14:paraId="696C4F29" w14:textId="77777777" w:rsidR="00823D43" w:rsidRDefault="00823D43" w:rsidP="00823D43"/>
    <w:p w14:paraId="7B25BF38" w14:textId="15F2C481" w:rsidR="00823D43" w:rsidRPr="00976E03" w:rsidRDefault="00823D43" w:rsidP="00976E03">
      <w:pPr>
        <w:pStyle w:val="Heading2"/>
        <w:rPr>
          <w:b w:val="0"/>
          <w:bCs/>
          <w:u w:val="none"/>
        </w:rPr>
      </w:pPr>
      <w:r w:rsidRPr="00976E03">
        <w:rPr>
          <w:u w:val="none"/>
        </w:rPr>
        <w:t xml:space="preserve">(b) </w:t>
      </w:r>
      <w:r w:rsidR="00F2011A" w:rsidRPr="00976E03">
        <w:rPr>
          <w:u w:val="none"/>
        </w:rPr>
        <w:tab/>
      </w:r>
      <w:r w:rsidR="00F2011A">
        <w:t>Follow Up Register</w:t>
      </w:r>
      <w:r w:rsidRPr="00976E03">
        <w:rPr>
          <w:u w:val="none"/>
        </w:rPr>
        <w:t xml:space="preserve"> </w:t>
      </w:r>
      <w:r w:rsidRPr="00976E03">
        <w:rPr>
          <w:b w:val="0"/>
          <w:bCs/>
          <w:u w:val="none"/>
        </w:rPr>
        <w:t xml:space="preserve">(Appendix </w:t>
      </w:r>
      <w:r w:rsidR="00A777B4" w:rsidRPr="00976E03">
        <w:rPr>
          <w:b w:val="0"/>
          <w:bCs/>
          <w:u w:val="none"/>
        </w:rPr>
        <w:t>II</w:t>
      </w:r>
      <w:r w:rsidRPr="00976E03">
        <w:rPr>
          <w:b w:val="0"/>
          <w:bCs/>
          <w:u w:val="none"/>
        </w:rPr>
        <w:t>)</w:t>
      </w:r>
    </w:p>
    <w:p w14:paraId="7225B3B0" w14:textId="77777777" w:rsidR="00823D43" w:rsidRDefault="00823D43" w:rsidP="00823D43">
      <w:pPr>
        <w:rPr>
          <w:b/>
          <w:bCs/>
        </w:rPr>
      </w:pPr>
    </w:p>
    <w:p w14:paraId="0CFA999D" w14:textId="01AEEA70" w:rsidR="009602D4" w:rsidRDefault="00823D43" w:rsidP="009602D4">
      <w:pPr>
        <w:rPr>
          <w:rFonts w:cs="Arial"/>
          <w:bCs/>
          <w:szCs w:val="20"/>
        </w:rPr>
      </w:pPr>
      <w:r w:rsidRPr="00422852">
        <w:t>PREVIOUSLY CIRCULATED:- Report from the Di</w:t>
      </w:r>
      <w:r>
        <w:t xml:space="preserve">rector of Finance and Performance detailing </w:t>
      </w:r>
      <w:r w:rsidR="009602D4">
        <w:t>that i</w:t>
      </w:r>
      <w:r w:rsidR="009602D4">
        <w:rPr>
          <w:rFonts w:cs="Arial"/>
          <w:bCs/>
        </w:rPr>
        <w:t xml:space="preserve">n line with best practice, the purpose of the report was to make the Audit Committee aware of the status of outstanding recommendations or any outstanding actions from the previous Audit Committee meetings. </w:t>
      </w:r>
    </w:p>
    <w:p w14:paraId="04E3D728" w14:textId="77777777" w:rsidR="009602D4" w:rsidRDefault="009602D4" w:rsidP="009602D4">
      <w:pPr>
        <w:rPr>
          <w:rFonts w:cs="Arial"/>
          <w:bCs/>
        </w:rPr>
      </w:pPr>
    </w:p>
    <w:p w14:paraId="33C1D912" w14:textId="65DF38A6" w:rsidR="009602D4" w:rsidRDefault="009602D4" w:rsidP="009602D4">
      <w:pPr>
        <w:rPr>
          <w:rFonts w:cs="Arial"/>
          <w:bCs/>
        </w:rPr>
      </w:pPr>
      <w:r>
        <w:rPr>
          <w:rFonts w:cs="Arial"/>
          <w:bCs/>
        </w:rPr>
        <w:t xml:space="preserve">There </w:t>
      </w:r>
      <w:r w:rsidR="00AA1F58">
        <w:rPr>
          <w:rFonts w:cs="Arial"/>
          <w:bCs/>
        </w:rPr>
        <w:t>was one</w:t>
      </w:r>
      <w:r>
        <w:rPr>
          <w:rFonts w:cs="Arial"/>
          <w:bCs/>
        </w:rPr>
        <w:t xml:space="preserve"> item from the previous committee</w:t>
      </w:r>
      <w:r w:rsidR="00AA1F58">
        <w:rPr>
          <w:rFonts w:cs="Arial"/>
          <w:bCs/>
        </w:rPr>
        <w:t xml:space="preserve"> which had been completed</w:t>
      </w:r>
      <w:r>
        <w:rPr>
          <w:rFonts w:cs="Arial"/>
          <w:bCs/>
        </w:rPr>
        <w:t>.</w:t>
      </w:r>
    </w:p>
    <w:p w14:paraId="2EB16294" w14:textId="2E648103" w:rsidR="009602D4" w:rsidRDefault="009602D4" w:rsidP="009602D4">
      <w:pPr>
        <w:jc w:val="both"/>
        <w:rPr>
          <w:rFonts w:cs="Arial"/>
          <w:bCs/>
        </w:rPr>
      </w:pPr>
    </w:p>
    <w:p w14:paraId="60B61E04" w14:textId="6A41779A" w:rsidR="009602D4" w:rsidRDefault="009602D4" w:rsidP="009602D4">
      <w:pPr>
        <w:jc w:val="both"/>
        <w:rPr>
          <w:rFonts w:cs="Arial"/>
          <w:bCs/>
        </w:rPr>
      </w:pPr>
      <w:r>
        <w:rPr>
          <w:rFonts w:cs="Arial"/>
          <w:bCs/>
        </w:rPr>
        <w:t xml:space="preserve">RECOMMENDED that the Committee notes the report.  </w:t>
      </w:r>
    </w:p>
    <w:p w14:paraId="6C9640AF" w14:textId="5B3C6F6F" w:rsidR="009602D4" w:rsidRDefault="009602D4" w:rsidP="009602D4">
      <w:pPr>
        <w:jc w:val="both"/>
        <w:rPr>
          <w:rFonts w:cs="Arial"/>
          <w:bCs/>
        </w:rPr>
      </w:pPr>
    </w:p>
    <w:p w14:paraId="6E53B92A" w14:textId="2B67F33C" w:rsidR="00823D43" w:rsidRDefault="00FE54F6" w:rsidP="00823D43">
      <w:pPr>
        <w:rPr>
          <w:b/>
        </w:rPr>
      </w:pPr>
      <w:r>
        <w:rPr>
          <w:b/>
        </w:rPr>
        <w:t>AGREED TO RECOMMEND, on the proposal of</w:t>
      </w:r>
      <w:r w:rsidR="005C04BD">
        <w:rPr>
          <w:b/>
        </w:rPr>
        <w:t xml:space="preserve"> </w:t>
      </w:r>
      <w:r w:rsidR="00DF390A">
        <w:rPr>
          <w:b/>
        </w:rPr>
        <w:t>Councillor Greer</w:t>
      </w:r>
      <w:r>
        <w:rPr>
          <w:b/>
        </w:rPr>
        <w:t xml:space="preserve">, seconded by </w:t>
      </w:r>
      <w:r w:rsidR="00DF390A">
        <w:rPr>
          <w:b/>
        </w:rPr>
        <w:t>Alderman Armstrong-Cotter</w:t>
      </w:r>
      <w:r>
        <w:rPr>
          <w:b/>
        </w:rPr>
        <w:t>, that the recommendation be adopted.</w:t>
      </w:r>
    </w:p>
    <w:p w14:paraId="0CFCBC07" w14:textId="77777777" w:rsidR="00FE54F6" w:rsidRDefault="00FE54F6" w:rsidP="00823D43"/>
    <w:p w14:paraId="040A4D5B" w14:textId="69A98EFF" w:rsidR="00823D43" w:rsidRPr="000766E9" w:rsidRDefault="00585B29" w:rsidP="000766E9">
      <w:pPr>
        <w:pStyle w:val="Heading1"/>
      </w:pPr>
      <w:r w:rsidRPr="000766E9">
        <w:rPr>
          <w:u w:val="none"/>
        </w:rPr>
        <w:t>5</w:t>
      </w:r>
      <w:r w:rsidR="00823D43" w:rsidRPr="000766E9">
        <w:rPr>
          <w:u w:val="none"/>
        </w:rPr>
        <w:t xml:space="preserve">. </w:t>
      </w:r>
      <w:r w:rsidR="00823D43" w:rsidRPr="000766E9">
        <w:rPr>
          <w:u w:val="none"/>
        </w:rPr>
        <w:tab/>
      </w:r>
      <w:r w:rsidR="00F2011A">
        <w:t>IN</w:t>
      </w:r>
      <w:r w:rsidR="00823D43" w:rsidRPr="000766E9">
        <w:t xml:space="preserve">ternal Audit </w:t>
      </w:r>
    </w:p>
    <w:p w14:paraId="1A46530F" w14:textId="77777777" w:rsidR="00823D43" w:rsidRDefault="00823D43" w:rsidP="000766E9"/>
    <w:p w14:paraId="16ED265E" w14:textId="4BACF9AD" w:rsidR="00823D43" w:rsidRDefault="00F2011A" w:rsidP="00976E03">
      <w:pPr>
        <w:pStyle w:val="Heading2"/>
        <w:numPr>
          <w:ilvl w:val="0"/>
          <w:numId w:val="42"/>
        </w:numPr>
        <w:ind w:hanging="720"/>
      </w:pPr>
      <w:r>
        <w:t>Internal A</w:t>
      </w:r>
      <w:r w:rsidR="00EC5D4A" w:rsidRPr="00EC5D4A">
        <w:t xml:space="preserve">udit </w:t>
      </w:r>
      <w:r>
        <w:t>Progress Report 2022/23</w:t>
      </w:r>
      <w:r w:rsidR="00662848" w:rsidRPr="00976E03">
        <w:rPr>
          <w:u w:val="none"/>
        </w:rPr>
        <w:t xml:space="preserve"> </w:t>
      </w:r>
      <w:r w:rsidR="00823D43" w:rsidRPr="00976E03">
        <w:rPr>
          <w:b w:val="0"/>
          <w:bCs/>
          <w:u w:val="none"/>
        </w:rPr>
        <w:t>(Appendix</w:t>
      </w:r>
      <w:r w:rsidR="00DD3EC9" w:rsidRPr="00976E03">
        <w:rPr>
          <w:b w:val="0"/>
          <w:bCs/>
          <w:u w:val="none"/>
        </w:rPr>
        <w:t xml:space="preserve"> </w:t>
      </w:r>
      <w:r w:rsidR="00A777B4" w:rsidRPr="00976E03">
        <w:rPr>
          <w:b w:val="0"/>
          <w:bCs/>
          <w:u w:val="none"/>
        </w:rPr>
        <w:t>III</w:t>
      </w:r>
      <w:r w:rsidR="00823D43" w:rsidRPr="00976E03">
        <w:rPr>
          <w:b w:val="0"/>
          <w:bCs/>
          <w:u w:val="none"/>
        </w:rPr>
        <w:t>)</w:t>
      </w:r>
    </w:p>
    <w:p w14:paraId="22E5954E" w14:textId="77777777" w:rsidR="00823D43" w:rsidRDefault="00823D43" w:rsidP="00823D43">
      <w:pPr>
        <w:rPr>
          <w:b/>
          <w:bCs/>
          <w:u w:val="single"/>
        </w:rPr>
      </w:pPr>
    </w:p>
    <w:p w14:paraId="75C07B70" w14:textId="4D99B348" w:rsidR="00823D43" w:rsidRDefault="00823D43" w:rsidP="00EB7F1C">
      <w:r>
        <w:t xml:space="preserve">PREVIOUSLY CIRCULATED:- </w:t>
      </w:r>
      <w:r w:rsidR="00293406">
        <w:t xml:space="preserve">Audit Committee Progress Report, Ards and North Down Borough Council.  </w:t>
      </w:r>
      <w:r w:rsidR="00BA72E7">
        <w:t xml:space="preserve"> </w:t>
      </w:r>
    </w:p>
    <w:p w14:paraId="616EDBCB" w14:textId="74F2DEB3" w:rsidR="00C03F62" w:rsidRDefault="00C03F62" w:rsidP="00EB7F1C"/>
    <w:p w14:paraId="207C0BF7" w14:textId="4DEB0FCD" w:rsidR="00C03F62" w:rsidRDefault="00C03F62" w:rsidP="00C03F62">
      <w:r>
        <w:t>RECOMMENDED that</w:t>
      </w:r>
      <w:r w:rsidR="00293406">
        <w:t xml:space="preserve"> the report be noted.  </w:t>
      </w:r>
    </w:p>
    <w:p w14:paraId="4DC9FE7E" w14:textId="59350B80" w:rsidR="00DF390A" w:rsidRDefault="00DF390A" w:rsidP="00C03F62"/>
    <w:p w14:paraId="5B80C6E8" w14:textId="77777777" w:rsidR="009F2C1C" w:rsidRDefault="0076712A" w:rsidP="00C03F62">
      <w:r>
        <w:t>C McDermott</w:t>
      </w:r>
      <w:r w:rsidR="008521D4">
        <w:t xml:space="preserve"> spoke as the </w:t>
      </w:r>
      <w:r w:rsidR="00DF390A">
        <w:t xml:space="preserve">internal auditor </w:t>
      </w:r>
      <w:r w:rsidR="00DF1CAB">
        <w:t xml:space="preserve">explaining that </w:t>
      </w:r>
      <w:r w:rsidR="00F11C55">
        <w:t>pro</w:t>
      </w:r>
      <w:r w:rsidR="000C119F">
        <w:t xml:space="preserve">gress had been </w:t>
      </w:r>
      <w:r w:rsidR="00DF390A">
        <w:t xml:space="preserve">set out against the new </w:t>
      </w:r>
      <w:r>
        <w:t xml:space="preserve">annual </w:t>
      </w:r>
      <w:r w:rsidR="00DF390A">
        <w:t>internal audit plan</w:t>
      </w:r>
      <w:r w:rsidR="000C119F">
        <w:t xml:space="preserve">, </w:t>
      </w:r>
      <w:r w:rsidR="00DF390A">
        <w:t>starting of</w:t>
      </w:r>
      <w:r w:rsidR="000C119F">
        <w:t>f</w:t>
      </w:r>
      <w:r w:rsidR="00DF390A">
        <w:t xml:space="preserve"> the 22/23 year</w:t>
      </w:r>
      <w:r w:rsidR="000C119F">
        <w:t xml:space="preserve">.  It would be noticed that </w:t>
      </w:r>
      <w:r w:rsidR="00DF390A">
        <w:t xml:space="preserve">both the audits for </w:t>
      </w:r>
      <w:r w:rsidR="000C119F">
        <w:t xml:space="preserve">Q1 were </w:t>
      </w:r>
      <w:r w:rsidR="00DF390A">
        <w:t>underway</w:t>
      </w:r>
      <w:r w:rsidR="000D72DE">
        <w:t xml:space="preserve"> </w:t>
      </w:r>
      <w:r>
        <w:t xml:space="preserve">and </w:t>
      </w:r>
      <w:r w:rsidR="000C119F">
        <w:t xml:space="preserve">progressing </w:t>
      </w:r>
      <w:r w:rsidR="000D72DE">
        <w:t>well</w:t>
      </w:r>
      <w:r w:rsidR="000C119F">
        <w:t xml:space="preserve">.  </w:t>
      </w:r>
      <w:r w:rsidR="009F2C1C">
        <w:t xml:space="preserve">For Q2 terms of reference had been agreed or planning meetings scheduled for this week.  </w:t>
      </w:r>
    </w:p>
    <w:p w14:paraId="5A8E82E7" w14:textId="77777777" w:rsidR="00DB6FB8" w:rsidRDefault="009F2C1C" w:rsidP="00C03F62">
      <w:r>
        <w:t xml:space="preserve">She added that Q3/Q4 </w:t>
      </w:r>
      <w:r w:rsidR="00DB6FB8">
        <w:t xml:space="preserve">finance dates would be agreed for finance and waste management and planning would commence later for Q3/Q4 and a date had been set for the Q3 audit.  She was happy to take questions from Members on progress.  </w:t>
      </w:r>
    </w:p>
    <w:p w14:paraId="599BFB59" w14:textId="77777777" w:rsidR="00DB6FB8" w:rsidRDefault="00DB6FB8" w:rsidP="00C03F62"/>
    <w:p w14:paraId="5FDF0C3D" w14:textId="35F45BB7" w:rsidR="002960E2" w:rsidRDefault="002960E2" w:rsidP="00C03F62">
      <w:r>
        <w:t xml:space="preserve">Mr McGonigal </w:t>
      </w:r>
      <w:r w:rsidR="00DB6FB8">
        <w:t xml:space="preserve">referred to Q4 and there was no date set to look at cyber security.  In response it was explained that would be </w:t>
      </w:r>
      <w:r>
        <w:t>discussed at</w:t>
      </w:r>
      <w:r w:rsidR="00DB6FB8">
        <w:t xml:space="preserve"> the</w:t>
      </w:r>
      <w:r>
        <w:t xml:space="preserve"> planning meeting </w:t>
      </w:r>
      <w:r w:rsidR="00DB6FB8">
        <w:t xml:space="preserve">when the </w:t>
      </w:r>
      <w:r>
        <w:t xml:space="preserve">cyber team and </w:t>
      </w:r>
      <w:r w:rsidR="007D6E26">
        <w:t xml:space="preserve">the </w:t>
      </w:r>
      <w:r w:rsidR="000D72DE">
        <w:t xml:space="preserve">business technology team </w:t>
      </w:r>
      <w:r w:rsidR="00AA1F58">
        <w:t>met in</w:t>
      </w:r>
      <w:r w:rsidR="00DB6FB8">
        <w:t xml:space="preserve"> September after the summer </w:t>
      </w:r>
      <w:r w:rsidR="00E8129D">
        <w:t>holidays</w:t>
      </w:r>
      <w:r w:rsidR="00AA1F58">
        <w:t>. She</w:t>
      </w:r>
      <w:r w:rsidR="00DB6FB8">
        <w:t xml:space="preserve"> gave assurance that</w:t>
      </w:r>
      <w:r w:rsidR="00AA1F58">
        <w:t xml:space="preserve"> it</w:t>
      </w:r>
      <w:r w:rsidR="00DB6FB8">
        <w:t xml:space="preserve"> would be completed before the end of the financial year.  </w:t>
      </w:r>
      <w:r>
        <w:t xml:space="preserve"> </w:t>
      </w:r>
    </w:p>
    <w:p w14:paraId="17FBD2C2" w14:textId="32D10FCE" w:rsidR="00130C54" w:rsidRDefault="00130C54" w:rsidP="00EB7F1C"/>
    <w:p w14:paraId="403A591F" w14:textId="71F25932" w:rsidR="00FE54F6" w:rsidRDefault="00FE54F6" w:rsidP="00FE54F6">
      <w:pPr>
        <w:rPr>
          <w:b/>
        </w:rPr>
      </w:pPr>
      <w:r>
        <w:rPr>
          <w:b/>
        </w:rPr>
        <w:t>AGREED TO RECOMMEND, on the proposal of</w:t>
      </w:r>
      <w:r w:rsidR="00C11653">
        <w:rPr>
          <w:b/>
        </w:rPr>
        <w:t xml:space="preserve"> </w:t>
      </w:r>
      <w:r w:rsidR="002960E2">
        <w:rPr>
          <w:b/>
        </w:rPr>
        <w:t>Alderman Armstrong-Cotter</w:t>
      </w:r>
      <w:r>
        <w:rPr>
          <w:b/>
        </w:rPr>
        <w:t>, seconded by</w:t>
      </w:r>
      <w:r w:rsidR="00C11653">
        <w:rPr>
          <w:b/>
        </w:rPr>
        <w:t xml:space="preserve"> </w:t>
      </w:r>
      <w:r w:rsidR="002960E2">
        <w:rPr>
          <w:b/>
        </w:rPr>
        <w:t>Councillor Greer</w:t>
      </w:r>
      <w:r>
        <w:rPr>
          <w:b/>
        </w:rPr>
        <w:t xml:space="preserve">, that the </w:t>
      </w:r>
      <w:r w:rsidR="00351B34">
        <w:rPr>
          <w:b/>
        </w:rPr>
        <w:t>re</w:t>
      </w:r>
      <w:r w:rsidR="006F312B">
        <w:rPr>
          <w:b/>
        </w:rPr>
        <w:t xml:space="preserve">commendation be adopted.  </w:t>
      </w:r>
    </w:p>
    <w:p w14:paraId="00580809" w14:textId="7954CECB" w:rsidR="005A791F" w:rsidRDefault="005A791F" w:rsidP="00823D43">
      <w:pPr>
        <w:rPr>
          <w:b/>
          <w:bCs/>
          <w:u w:val="single"/>
        </w:rPr>
      </w:pPr>
    </w:p>
    <w:p w14:paraId="5287553B" w14:textId="5D6D4C59" w:rsidR="00823D43" w:rsidRDefault="00EF5788" w:rsidP="00823D43">
      <w:pPr>
        <w:pStyle w:val="Heading1"/>
      </w:pPr>
      <w:r>
        <w:rPr>
          <w:u w:val="none"/>
        </w:rPr>
        <w:lastRenderedPageBreak/>
        <w:t>6</w:t>
      </w:r>
      <w:r w:rsidR="00823D43" w:rsidRPr="0027514E">
        <w:rPr>
          <w:u w:val="none"/>
        </w:rPr>
        <w:t>.</w:t>
      </w:r>
      <w:r w:rsidR="00823D43" w:rsidRPr="0027514E">
        <w:rPr>
          <w:u w:val="none"/>
        </w:rPr>
        <w:tab/>
      </w:r>
      <w:r w:rsidR="00F2011A">
        <w:t>P</w:t>
      </w:r>
      <w:r w:rsidR="00823D43">
        <w:t>er</w:t>
      </w:r>
      <w:r w:rsidR="00F2011A">
        <w:t xml:space="preserve">formance improvement </w:t>
      </w:r>
      <w:r w:rsidR="00823D43">
        <w:t xml:space="preserve"> </w:t>
      </w:r>
    </w:p>
    <w:p w14:paraId="2CDDA18F" w14:textId="77777777" w:rsidR="00823D43" w:rsidRDefault="00823D43" w:rsidP="00823D43"/>
    <w:p w14:paraId="05207589" w14:textId="684882C6" w:rsidR="00823D43" w:rsidRPr="00976E03" w:rsidRDefault="00F2011A" w:rsidP="00976E03">
      <w:pPr>
        <w:pStyle w:val="Heading2"/>
        <w:numPr>
          <w:ilvl w:val="0"/>
          <w:numId w:val="43"/>
        </w:numPr>
        <w:ind w:hanging="720"/>
        <w:rPr>
          <w:b w:val="0"/>
          <w:bCs/>
          <w:u w:val="none"/>
        </w:rPr>
      </w:pPr>
      <w:r w:rsidRPr="00976E03">
        <w:rPr>
          <w:rStyle w:val="Heading2Char"/>
          <w:b/>
          <w:bCs/>
        </w:rPr>
        <w:t>2</w:t>
      </w:r>
      <w:r w:rsidR="00E90A02" w:rsidRPr="00976E03">
        <w:rPr>
          <w:rStyle w:val="Heading2Char"/>
          <w:b/>
          <w:bCs/>
        </w:rPr>
        <w:t>021/22 Performance Improvement Progress Report to 31 March 2022</w:t>
      </w:r>
      <w:r w:rsidR="000228CA" w:rsidRPr="000228CA">
        <w:rPr>
          <w:rFonts w:cs="Arial"/>
          <w:bCs/>
        </w:rPr>
        <w:t xml:space="preserve"> </w:t>
      </w:r>
      <w:r w:rsidR="000228CA">
        <w:t xml:space="preserve"> </w:t>
      </w:r>
      <w:r w:rsidR="00823D43" w:rsidRPr="00976E03">
        <w:rPr>
          <w:b w:val="0"/>
          <w:bCs/>
          <w:u w:val="none"/>
        </w:rPr>
        <w:t>(Appendix</w:t>
      </w:r>
      <w:r w:rsidR="00A777B4" w:rsidRPr="00976E03">
        <w:rPr>
          <w:b w:val="0"/>
          <w:bCs/>
          <w:u w:val="none"/>
        </w:rPr>
        <w:t xml:space="preserve"> IV</w:t>
      </w:r>
      <w:r w:rsidR="00823D43" w:rsidRPr="00976E03">
        <w:rPr>
          <w:b w:val="0"/>
          <w:bCs/>
          <w:u w:val="none"/>
        </w:rPr>
        <w:t xml:space="preserve">) </w:t>
      </w:r>
    </w:p>
    <w:p w14:paraId="4949B055" w14:textId="77777777" w:rsidR="00823D43" w:rsidRPr="00976E03" w:rsidRDefault="00823D43" w:rsidP="00823D43">
      <w:pPr>
        <w:rPr>
          <w:bCs/>
        </w:rPr>
      </w:pPr>
    </w:p>
    <w:p w14:paraId="6747223B" w14:textId="6149B1CF" w:rsidR="00293406" w:rsidRDefault="00823D43" w:rsidP="00293406">
      <w:pPr>
        <w:rPr>
          <w:lang w:val="en-US"/>
        </w:rPr>
      </w:pPr>
      <w:r w:rsidRPr="00293406">
        <w:t xml:space="preserve">PREVIOUSLY CIRCULATED:- Report </w:t>
      </w:r>
      <w:r w:rsidR="00293406" w:rsidRPr="00293406">
        <w:t>from the Director of Finance and Performance detailing that the Local Government Act (Northern Ireland) 2014 Part</w:t>
      </w:r>
      <w:r w:rsidR="00293406" w:rsidRPr="00293406">
        <w:rPr>
          <w:lang w:val="en-US"/>
        </w:rPr>
        <w:t xml:space="preserve"> 12 put in place a new framework to support continuous improvement in the delivery of </w:t>
      </w:r>
      <w:r w:rsidR="00293406">
        <w:rPr>
          <w:lang w:val="en-US"/>
        </w:rPr>
        <w:t>C</w:t>
      </w:r>
      <w:r w:rsidR="00293406" w:rsidRPr="00293406">
        <w:rPr>
          <w:lang w:val="en-US"/>
        </w:rPr>
        <w:t>ouncil services</w:t>
      </w:r>
      <w:r w:rsidR="00293406">
        <w:rPr>
          <w:lang w:val="en-US"/>
        </w:rPr>
        <w:t xml:space="preserve">.  </w:t>
      </w:r>
      <w:r w:rsidR="00293406" w:rsidRPr="00293406">
        <w:rPr>
          <w:lang w:val="en-US"/>
        </w:rPr>
        <w:t xml:space="preserve">The Council </w:t>
      </w:r>
      <w:r w:rsidR="00293406">
        <w:rPr>
          <w:lang w:val="en-US"/>
        </w:rPr>
        <w:t>wa</w:t>
      </w:r>
      <w:r w:rsidR="00293406" w:rsidRPr="00293406">
        <w:rPr>
          <w:lang w:val="en-US"/>
        </w:rPr>
        <w:t xml:space="preserve">s required each year to determine its priorities for improvement which </w:t>
      </w:r>
      <w:r w:rsidR="00293406">
        <w:rPr>
          <w:lang w:val="en-US"/>
        </w:rPr>
        <w:t>we</w:t>
      </w:r>
      <w:r w:rsidR="00293406" w:rsidRPr="00293406">
        <w:rPr>
          <w:lang w:val="en-US"/>
        </w:rPr>
        <w:t>re aligned to the Community Plan and Corporate Objectives and to publish th</w:t>
      </w:r>
      <w:r w:rsidR="00293406">
        <w:rPr>
          <w:lang w:val="en-US"/>
        </w:rPr>
        <w:t>o</w:t>
      </w:r>
      <w:r w:rsidR="00293406" w:rsidRPr="00293406">
        <w:rPr>
          <w:lang w:val="en-US"/>
        </w:rPr>
        <w:t xml:space="preserve">se in the format of an Improvement Plan.  </w:t>
      </w:r>
    </w:p>
    <w:p w14:paraId="505DD31C" w14:textId="77777777" w:rsidR="00293406" w:rsidRPr="00293406" w:rsidRDefault="00293406" w:rsidP="00293406">
      <w:pPr>
        <w:rPr>
          <w:lang w:val="en-US"/>
        </w:rPr>
      </w:pPr>
    </w:p>
    <w:p w14:paraId="2EF91B75" w14:textId="77777777" w:rsidR="00293406" w:rsidRPr="00293406" w:rsidRDefault="00293406" w:rsidP="00293406">
      <w:pPr>
        <w:spacing w:after="120"/>
        <w:rPr>
          <w:lang w:val="en-US"/>
        </w:rPr>
      </w:pPr>
      <w:r w:rsidRPr="00293406">
        <w:rPr>
          <w:lang w:val="en-US"/>
        </w:rPr>
        <w:t xml:space="preserve">In the 2020/21 year the requirement to publish a Performance Improvement Plan was set aside and for the 2021/22 year the publication date was extended to September.  </w:t>
      </w:r>
    </w:p>
    <w:p w14:paraId="7FB6F492" w14:textId="77777777" w:rsidR="00111C5B" w:rsidRDefault="00293406" w:rsidP="00111C5B">
      <w:pPr>
        <w:rPr>
          <w:lang w:val="en-US"/>
        </w:rPr>
      </w:pPr>
      <w:r w:rsidRPr="00293406">
        <w:rPr>
          <w:lang w:val="en-US"/>
        </w:rPr>
        <w:t>The Performance Improvement</w:t>
      </w:r>
      <w:r>
        <w:rPr>
          <w:lang w:val="en-US"/>
        </w:rPr>
        <w:t xml:space="preserve"> Plan (PIP) for 2021/22, identified 5 improvement objectives with a corresponding 33 measures including 7 Statutory Indicators and 6 self-imposed indicators, all </w:t>
      </w:r>
      <w:r w:rsidR="00111C5B">
        <w:rPr>
          <w:lang w:val="en-US"/>
        </w:rPr>
        <w:t>we</w:t>
      </w:r>
      <w:r>
        <w:rPr>
          <w:lang w:val="en-US"/>
        </w:rPr>
        <w:t xml:space="preserve">re included in the Council’s Service Plans and </w:t>
      </w:r>
      <w:r w:rsidR="00111C5B">
        <w:rPr>
          <w:lang w:val="en-US"/>
        </w:rPr>
        <w:t>we</w:t>
      </w:r>
      <w:r>
        <w:rPr>
          <w:lang w:val="en-US"/>
        </w:rPr>
        <w:t xml:space="preserve">re monitored and reported on quarterly through each Service’s respective Standing Committee. </w:t>
      </w:r>
    </w:p>
    <w:p w14:paraId="259F322B" w14:textId="49132D20" w:rsidR="00293406" w:rsidRDefault="00293406" w:rsidP="00111C5B">
      <w:pPr>
        <w:rPr>
          <w:lang w:val="en-US"/>
        </w:rPr>
      </w:pPr>
      <w:r>
        <w:rPr>
          <w:lang w:val="en-US"/>
        </w:rPr>
        <w:t xml:space="preserve"> </w:t>
      </w:r>
    </w:p>
    <w:p w14:paraId="67546D37" w14:textId="70B43928" w:rsidR="00293406" w:rsidRDefault="00293406" w:rsidP="00111C5B">
      <w:pPr>
        <w:rPr>
          <w:lang w:val="en-US"/>
        </w:rPr>
      </w:pPr>
      <w:r>
        <w:rPr>
          <w:lang w:val="en-US"/>
        </w:rPr>
        <w:t>It should be noted that th</w:t>
      </w:r>
      <w:r w:rsidR="00111C5B">
        <w:rPr>
          <w:lang w:val="en-US"/>
        </w:rPr>
        <w:t>is</w:t>
      </w:r>
      <w:r>
        <w:rPr>
          <w:lang w:val="en-US"/>
        </w:rPr>
        <w:t xml:space="preserve"> report reflect</w:t>
      </w:r>
      <w:r w:rsidR="00111C5B">
        <w:rPr>
          <w:lang w:val="en-US"/>
        </w:rPr>
        <w:t>ed</w:t>
      </w:r>
      <w:r>
        <w:rPr>
          <w:lang w:val="en-US"/>
        </w:rPr>
        <w:t xml:space="preserve"> performance of the PIP only and </w:t>
      </w:r>
      <w:r w:rsidR="00111C5B">
        <w:rPr>
          <w:lang w:val="en-US"/>
        </w:rPr>
        <w:t>wa</w:t>
      </w:r>
      <w:r>
        <w:rPr>
          <w:lang w:val="en-US"/>
        </w:rPr>
        <w:t>s not necessarily representative of the overall performance of the organisation.</w:t>
      </w:r>
    </w:p>
    <w:p w14:paraId="50B5DA88" w14:textId="77777777" w:rsidR="00111C5B" w:rsidRDefault="00111C5B" w:rsidP="00111C5B">
      <w:pPr>
        <w:rPr>
          <w:lang w:val="en-US"/>
        </w:rPr>
      </w:pPr>
    </w:p>
    <w:p w14:paraId="2CEECFC4" w14:textId="78A5DC44" w:rsidR="00293406" w:rsidRDefault="00293406" w:rsidP="00111C5B">
      <w:pPr>
        <w:rPr>
          <w:lang w:val="en-US"/>
        </w:rPr>
      </w:pPr>
      <w:r>
        <w:rPr>
          <w:lang w:val="en-US"/>
        </w:rPr>
        <w:t>The following table g</w:t>
      </w:r>
      <w:r w:rsidR="00111C5B">
        <w:rPr>
          <w:lang w:val="en-US"/>
        </w:rPr>
        <w:t>a</w:t>
      </w:r>
      <w:r>
        <w:rPr>
          <w:lang w:val="en-US"/>
        </w:rPr>
        <w:t xml:space="preserve">ve an assessment of the status across all measures in the PIP for Quarter 4. </w:t>
      </w:r>
    </w:p>
    <w:p w14:paraId="60A5648C" w14:textId="77777777" w:rsidR="00293406" w:rsidRDefault="00293406" w:rsidP="00111C5B">
      <w:pPr>
        <w:rPr>
          <w:b/>
          <w:bCs/>
        </w:rPr>
      </w:pPr>
      <w:bookmarkStart w:id="0" w:name="_Toc18504848"/>
    </w:p>
    <w:p w14:paraId="440F409A" w14:textId="77777777" w:rsidR="00293406" w:rsidRPr="00F044DF" w:rsidRDefault="00293406" w:rsidP="00111C5B">
      <w:pPr>
        <w:rPr>
          <w:b/>
          <w:bCs/>
        </w:rPr>
      </w:pPr>
      <w:r w:rsidRPr="00F044DF">
        <w:rPr>
          <w:b/>
          <w:bCs/>
        </w:rPr>
        <w:t>Performance Assessment Key</w:t>
      </w:r>
      <w:bookmarkEnd w:id="0"/>
    </w:p>
    <w:p w14:paraId="324B4585" w14:textId="77777777" w:rsidR="00111C5B" w:rsidRDefault="00111C5B" w:rsidP="00111C5B">
      <w:pPr>
        <w:rPr>
          <w:szCs w:val="28"/>
        </w:rPr>
      </w:pPr>
      <w:bookmarkStart w:id="1" w:name="_Hlk523212928"/>
    </w:p>
    <w:p w14:paraId="182E2372" w14:textId="4E8FF06D" w:rsidR="00293406" w:rsidRDefault="00293406" w:rsidP="00111C5B">
      <w:pPr>
        <w:rPr>
          <w:szCs w:val="28"/>
        </w:rPr>
      </w:pPr>
      <w:r w:rsidRPr="00AC3D2D">
        <w:rPr>
          <w:szCs w:val="28"/>
        </w:rPr>
        <w:t>The key outlined below provide</w:t>
      </w:r>
      <w:r w:rsidR="00111C5B">
        <w:rPr>
          <w:szCs w:val="28"/>
        </w:rPr>
        <w:t>d</w:t>
      </w:r>
      <w:r w:rsidRPr="00AC3D2D">
        <w:rPr>
          <w:szCs w:val="28"/>
        </w:rPr>
        <w:t xml:space="preserve"> definitions for the three Red, Amber, Green (RAG) status levels which ha</w:t>
      </w:r>
      <w:r w:rsidR="00111C5B">
        <w:rPr>
          <w:szCs w:val="28"/>
        </w:rPr>
        <w:t>d</w:t>
      </w:r>
      <w:r w:rsidRPr="00AC3D2D">
        <w:rPr>
          <w:szCs w:val="28"/>
        </w:rPr>
        <w:t xml:space="preserve"> been chosen to measure progress.</w:t>
      </w:r>
    </w:p>
    <w:p w14:paraId="0DE5CFC8" w14:textId="77777777" w:rsidR="00293406" w:rsidRPr="00AC3D2D" w:rsidRDefault="00293406" w:rsidP="00293406">
      <w:pPr>
        <w:rPr>
          <w:szCs w:val="28"/>
        </w:rPr>
      </w:pPr>
    </w:p>
    <w:tbl>
      <w:tblPr>
        <w:tblStyle w:val="TableGrid"/>
        <w:tblW w:w="0" w:type="auto"/>
        <w:tblLook w:val="04A0" w:firstRow="1" w:lastRow="0" w:firstColumn="1" w:lastColumn="0" w:noHBand="0" w:noVBand="1"/>
      </w:tblPr>
      <w:tblGrid>
        <w:gridCol w:w="1555"/>
        <w:gridCol w:w="425"/>
        <w:gridCol w:w="4961"/>
      </w:tblGrid>
      <w:tr w:rsidR="00293406" w:rsidRPr="00AC3D2D" w14:paraId="4A39E2FF" w14:textId="77777777" w:rsidTr="007D3E38">
        <w:tc>
          <w:tcPr>
            <w:tcW w:w="1555" w:type="dxa"/>
          </w:tcPr>
          <w:p w14:paraId="4460EC8B" w14:textId="77777777" w:rsidR="00293406" w:rsidRPr="00AC3D2D" w:rsidRDefault="00293406" w:rsidP="006435D9">
            <w:pPr>
              <w:rPr>
                <w:b/>
                <w:bCs/>
              </w:rPr>
            </w:pPr>
            <w:r w:rsidRPr="00AC3D2D">
              <w:rPr>
                <w:b/>
                <w:bCs/>
              </w:rPr>
              <w:t>RAG Status</w:t>
            </w:r>
          </w:p>
        </w:tc>
        <w:tc>
          <w:tcPr>
            <w:tcW w:w="5386" w:type="dxa"/>
            <w:gridSpan w:val="2"/>
          </w:tcPr>
          <w:p w14:paraId="555F75E0" w14:textId="77777777" w:rsidR="00293406" w:rsidRPr="00AC3D2D" w:rsidRDefault="00293406" w:rsidP="006435D9">
            <w:pPr>
              <w:rPr>
                <w:b/>
                <w:bCs/>
              </w:rPr>
            </w:pPr>
            <w:r w:rsidRPr="00AC3D2D">
              <w:rPr>
                <w:b/>
                <w:bCs/>
              </w:rPr>
              <w:t>Definition</w:t>
            </w:r>
          </w:p>
        </w:tc>
      </w:tr>
      <w:tr w:rsidR="00293406" w14:paraId="398447BC" w14:textId="77777777" w:rsidTr="007D3E38">
        <w:tc>
          <w:tcPr>
            <w:tcW w:w="1980" w:type="dxa"/>
            <w:gridSpan w:val="2"/>
            <w:vAlign w:val="center"/>
          </w:tcPr>
          <w:p w14:paraId="29C63B90" w14:textId="044310F4" w:rsidR="00293406" w:rsidRPr="007D3E38" w:rsidRDefault="007D3E38" w:rsidP="006435D9">
            <w:pPr>
              <w:jc w:val="center"/>
              <w:rPr>
                <w:rFonts w:cs="Arial"/>
                <w:noProof/>
                <w:color w:val="1D2828"/>
                <w:sz w:val="18"/>
                <w:szCs w:val="18"/>
              </w:rPr>
            </w:pPr>
            <w:r w:rsidRPr="007D3E38">
              <w:rPr>
                <w:rFonts w:cs="Arial"/>
                <w:noProof/>
                <w:color w:val="1D2828"/>
                <w:sz w:val="18"/>
                <w:szCs w:val="18"/>
              </w:rPr>
              <w:t>Red Circle</w:t>
            </w:r>
          </w:p>
        </w:tc>
        <w:tc>
          <w:tcPr>
            <w:tcW w:w="4961" w:type="dxa"/>
          </w:tcPr>
          <w:p w14:paraId="34E7BE82" w14:textId="77777777" w:rsidR="00293406" w:rsidRPr="00BB5F29" w:rsidRDefault="00293406" w:rsidP="006435D9">
            <w:pPr>
              <w:rPr>
                <w:rFonts w:cs="Arial"/>
                <w:color w:val="000000"/>
                <w:sz w:val="18"/>
                <w:szCs w:val="18"/>
              </w:rPr>
            </w:pPr>
            <w:r w:rsidRPr="00BB5F29">
              <w:rPr>
                <w:rFonts w:cs="Arial"/>
                <w:color w:val="000000"/>
                <w:sz w:val="18"/>
                <w:szCs w:val="18"/>
              </w:rPr>
              <w:t>Target/standard, actions and measures are of concern and are mostly falling short of plan</w:t>
            </w:r>
          </w:p>
        </w:tc>
      </w:tr>
      <w:tr w:rsidR="00293406" w14:paraId="6502769E" w14:textId="77777777" w:rsidTr="007D3E38">
        <w:tc>
          <w:tcPr>
            <w:tcW w:w="1980" w:type="dxa"/>
            <w:gridSpan w:val="2"/>
            <w:vAlign w:val="center"/>
          </w:tcPr>
          <w:p w14:paraId="22C0CE37" w14:textId="08C18CCC" w:rsidR="00293406" w:rsidRPr="007D3E38" w:rsidRDefault="007D3E38" w:rsidP="006435D9">
            <w:pPr>
              <w:jc w:val="center"/>
              <w:rPr>
                <w:rFonts w:cs="Arial"/>
                <w:noProof/>
                <w:color w:val="1D2828"/>
                <w:sz w:val="18"/>
                <w:szCs w:val="18"/>
              </w:rPr>
            </w:pPr>
            <w:r w:rsidRPr="007D3E38">
              <w:rPr>
                <w:rFonts w:cs="Arial"/>
                <w:noProof/>
                <w:color w:val="1D2828"/>
                <w:sz w:val="18"/>
                <w:szCs w:val="18"/>
              </w:rPr>
              <w:t>Yellow Triangle</w:t>
            </w:r>
          </w:p>
        </w:tc>
        <w:tc>
          <w:tcPr>
            <w:tcW w:w="4961" w:type="dxa"/>
          </w:tcPr>
          <w:p w14:paraId="59B3E26E" w14:textId="77777777" w:rsidR="00293406" w:rsidRPr="00BB5F29" w:rsidRDefault="00293406" w:rsidP="006435D9">
            <w:pPr>
              <w:rPr>
                <w:rFonts w:cs="Arial"/>
                <w:color w:val="000000"/>
                <w:sz w:val="18"/>
                <w:szCs w:val="18"/>
              </w:rPr>
            </w:pPr>
            <w:r w:rsidRPr="00BB5F29">
              <w:rPr>
                <w:rFonts w:cs="Arial"/>
                <w:color w:val="000000"/>
                <w:sz w:val="18"/>
                <w:szCs w:val="18"/>
              </w:rPr>
              <w:t>Target/standard, actions and measures are mostly on track, but some are falling short of plan</w:t>
            </w:r>
          </w:p>
        </w:tc>
      </w:tr>
      <w:tr w:rsidR="00293406" w14:paraId="24A9150F" w14:textId="77777777" w:rsidTr="007D3E38">
        <w:tc>
          <w:tcPr>
            <w:tcW w:w="1980" w:type="dxa"/>
            <w:gridSpan w:val="2"/>
            <w:vAlign w:val="center"/>
          </w:tcPr>
          <w:p w14:paraId="2A8D7161" w14:textId="5B5C8E07" w:rsidR="00293406" w:rsidRPr="007D3E38" w:rsidRDefault="007D3E38" w:rsidP="006435D9">
            <w:pPr>
              <w:jc w:val="center"/>
              <w:rPr>
                <w:rFonts w:cs="Arial"/>
                <w:noProof/>
                <w:color w:val="1D2828"/>
                <w:sz w:val="18"/>
                <w:szCs w:val="18"/>
              </w:rPr>
            </w:pPr>
            <w:r w:rsidRPr="007D3E38">
              <w:rPr>
                <w:rFonts w:cs="Arial"/>
                <w:noProof/>
                <w:color w:val="1D2828"/>
                <w:sz w:val="18"/>
                <w:szCs w:val="18"/>
              </w:rPr>
              <w:t>Green Ticked Circle</w:t>
            </w:r>
          </w:p>
        </w:tc>
        <w:tc>
          <w:tcPr>
            <w:tcW w:w="4961" w:type="dxa"/>
          </w:tcPr>
          <w:p w14:paraId="0F4351E2" w14:textId="77777777" w:rsidR="00293406" w:rsidRPr="00BB5F29" w:rsidRDefault="00293406" w:rsidP="006435D9">
            <w:pPr>
              <w:rPr>
                <w:rFonts w:cs="Arial"/>
                <w:color w:val="000000"/>
                <w:sz w:val="18"/>
                <w:szCs w:val="18"/>
              </w:rPr>
            </w:pPr>
            <w:r w:rsidRPr="00BB5F29">
              <w:rPr>
                <w:rFonts w:cs="Arial"/>
                <w:color w:val="000000"/>
                <w:sz w:val="18"/>
                <w:szCs w:val="18"/>
              </w:rPr>
              <w:t>Target/standard, actions and measures are on track</w:t>
            </w:r>
          </w:p>
        </w:tc>
      </w:tr>
      <w:tr w:rsidR="00293406" w14:paraId="35C7D152" w14:textId="77777777" w:rsidTr="007D3E38">
        <w:tc>
          <w:tcPr>
            <w:tcW w:w="1980" w:type="dxa"/>
            <w:gridSpan w:val="2"/>
            <w:vAlign w:val="center"/>
          </w:tcPr>
          <w:p w14:paraId="05999EA5" w14:textId="35FE4DF0" w:rsidR="00293406" w:rsidRPr="007D3E38" w:rsidRDefault="007D3E38" w:rsidP="006435D9">
            <w:pPr>
              <w:jc w:val="center"/>
              <w:rPr>
                <w:rFonts w:cs="Arial"/>
                <w:noProof/>
                <w:color w:val="1D2828"/>
                <w:sz w:val="18"/>
                <w:szCs w:val="18"/>
              </w:rPr>
            </w:pPr>
            <w:r>
              <w:rPr>
                <w:rFonts w:cs="Arial"/>
                <w:noProof/>
                <w:color w:val="1D2828"/>
                <w:sz w:val="18"/>
                <w:szCs w:val="18"/>
              </w:rPr>
              <w:t xml:space="preserve">Blue </w:t>
            </w:r>
            <w:r w:rsidRPr="007D3E38">
              <w:rPr>
                <w:rFonts w:cs="Arial"/>
                <w:noProof/>
                <w:color w:val="1D2828"/>
                <w:sz w:val="18"/>
                <w:szCs w:val="18"/>
              </w:rPr>
              <w:t>Diamond</w:t>
            </w:r>
          </w:p>
        </w:tc>
        <w:tc>
          <w:tcPr>
            <w:tcW w:w="4961" w:type="dxa"/>
          </w:tcPr>
          <w:p w14:paraId="7167CA46" w14:textId="77777777" w:rsidR="00293406" w:rsidRPr="00AD1FB6" w:rsidRDefault="00293406" w:rsidP="006435D9">
            <w:pPr>
              <w:rPr>
                <w:rFonts w:cs="Arial"/>
                <w:color w:val="000000"/>
                <w:sz w:val="18"/>
                <w:szCs w:val="18"/>
              </w:rPr>
            </w:pPr>
            <w:r w:rsidRPr="00AD1FB6">
              <w:rPr>
                <w:rFonts w:cs="Arial"/>
                <w:color w:val="000000"/>
                <w:sz w:val="18"/>
                <w:szCs w:val="18"/>
              </w:rPr>
              <w:t>Rescheduled</w:t>
            </w:r>
            <w:r>
              <w:rPr>
                <w:rFonts w:cs="Arial"/>
                <w:color w:val="000000"/>
                <w:sz w:val="18"/>
                <w:szCs w:val="18"/>
              </w:rPr>
              <w:t>/no progress</w:t>
            </w:r>
            <w:r w:rsidRPr="00AD1FB6">
              <w:rPr>
                <w:rFonts w:cs="Arial"/>
                <w:color w:val="000000"/>
                <w:sz w:val="18"/>
                <w:szCs w:val="18"/>
              </w:rPr>
              <w:t xml:space="preserve"> owing to impact of Covid</w:t>
            </w:r>
          </w:p>
        </w:tc>
      </w:tr>
      <w:bookmarkEnd w:id="1"/>
    </w:tbl>
    <w:p w14:paraId="4DB61439" w14:textId="77777777" w:rsidR="00293406" w:rsidRDefault="00293406" w:rsidP="00293406"/>
    <w:p w14:paraId="5D32BBF3" w14:textId="77777777" w:rsidR="00293406" w:rsidRDefault="00293406" w:rsidP="00293406"/>
    <w:tbl>
      <w:tblPr>
        <w:tblStyle w:val="TableGrid"/>
        <w:tblW w:w="8984" w:type="dxa"/>
        <w:tblLook w:val="04A0" w:firstRow="1" w:lastRow="0" w:firstColumn="1" w:lastColumn="0" w:noHBand="0" w:noVBand="1"/>
      </w:tblPr>
      <w:tblGrid>
        <w:gridCol w:w="1990"/>
        <w:gridCol w:w="3546"/>
        <w:gridCol w:w="1006"/>
        <w:gridCol w:w="711"/>
        <w:gridCol w:w="932"/>
        <w:gridCol w:w="793"/>
        <w:gridCol w:w="6"/>
      </w:tblGrid>
      <w:tr w:rsidR="00293406" w:rsidRPr="00E527B7" w14:paraId="03B80FD1" w14:textId="77777777" w:rsidTr="006435D9">
        <w:trPr>
          <w:trHeight w:val="416"/>
        </w:trPr>
        <w:tc>
          <w:tcPr>
            <w:tcW w:w="1699" w:type="dxa"/>
            <w:vMerge w:val="restart"/>
            <w:shd w:val="clear" w:color="auto" w:fill="8EAADB" w:themeFill="accent1" w:themeFillTint="99"/>
          </w:tcPr>
          <w:p w14:paraId="7E615308" w14:textId="77777777" w:rsidR="00293406" w:rsidRPr="007B6A41" w:rsidRDefault="00293406" w:rsidP="006435D9">
            <w:pPr>
              <w:rPr>
                <w:b/>
                <w:color w:val="1F4E79" w:themeColor="accent5" w:themeShade="80"/>
              </w:rPr>
            </w:pPr>
            <w:r w:rsidRPr="007B6A41">
              <w:rPr>
                <w:b/>
                <w:color w:val="1F4E79" w:themeColor="accent5" w:themeShade="80"/>
              </w:rPr>
              <w:t xml:space="preserve">Corporate </w:t>
            </w:r>
          </w:p>
          <w:p w14:paraId="76BB6079" w14:textId="77777777" w:rsidR="00293406" w:rsidRPr="007B6A41" w:rsidRDefault="00293406" w:rsidP="006435D9">
            <w:pPr>
              <w:rPr>
                <w:b/>
                <w:color w:val="1F4E79" w:themeColor="accent5" w:themeShade="80"/>
              </w:rPr>
            </w:pPr>
            <w:r w:rsidRPr="007B6A41">
              <w:rPr>
                <w:b/>
                <w:color w:val="1F4E79" w:themeColor="accent5" w:themeShade="80"/>
              </w:rPr>
              <w:t>Plan PEOPLE</w:t>
            </w:r>
          </w:p>
          <w:p w14:paraId="0D710ADB" w14:textId="77777777" w:rsidR="00293406" w:rsidRPr="007B6A41" w:rsidRDefault="00293406" w:rsidP="006435D9">
            <w:pPr>
              <w:rPr>
                <w:b/>
                <w:color w:val="1F4E79" w:themeColor="accent5" w:themeShade="80"/>
              </w:rPr>
            </w:pPr>
            <w:r w:rsidRPr="007B6A41">
              <w:rPr>
                <w:b/>
                <w:color w:val="1F4E79" w:themeColor="accent5" w:themeShade="80"/>
              </w:rPr>
              <w:t>priority</w:t>
            </w:r>
          </w:p>
        </w:tc>
        <w:tc>
          <w:tcPr>
            <w:tcW w:w="4843" w:type="dxa"/>
            <w:vMerge w:val="restart"/>
            <w:shd w:val="clear" w:color="auto" w:fill="8EAADB" w:themeFill="accent1" w:themeFillTint="99"/>
          </w:tcPr>
          <w:p w14:paraId="44BA21A4" w14:textId="77777777" w:rsidR="00293406" w:rsidRPr="007B6A41" w:rsidRDefault="00293406" w:rsidP="006435D9">
            <w:pPr>
              <w:rPr>
                <w:b/>
                <w:color w:val="1F4E79" w:themeColor="accent5" w:themeShade="80"/>
              </w:rPr>
            </w:pPr>
            <w:r w:rsidRPr="007B6A41">
              <w:rPr>
                <w:b/>
                <w:color w:val="1F4E79" w:themeColor="accent5" w:themeShade="80"/>
              </w:rPr>
              <w:t>Improvement Objective</w:t>
            </w:r>
          </w:p>
        </w:tc>
        <w:tc>
          <w:tcPr>
            <w:tcW w:w="2442" w:type="dxa"/>
            <w:gridSpan w:val="5"/>
            <w:shd w:val="clear" w:color="auto" w:fill="8EAADB" w:themeFill="accent1" w:themeFillTint="99"/>
          </w:tcPr>
          <w:p w14:paraId="33A95F41" w14:textId="77777777" w:rsidR="00293406" w:rsidRPr="007B6A41" w:rsidRDefault="00293406" w:rsidP="006435D9">
            <w:pPr>
              <w:keepNext/>
              <w:jc w:val="center"/>
              <w:rPr>
                <w:b/>
                <w:color w:val="1F4E79" w:themeColor="accent5" w:themeShade="80"/>
              </w:rPr>
            </w:pPr>
            <w:r w:rsidRPr="007B6A41">
              <w:rPr>
                <w:b/>
                <w:color w:val="1F4E79" w:themeColor="accent5" w:themeShade="80"/>
              </w:rPr>
              <w:t xml:space="preserve">No of measures </w:t>
            </w:r>
          </w:p>
        </w:tc>
      </w:tr>
      <w:tr w:rsidR="00293406" w:rsidRPr="00E527B7" w14:paraId="61F61625" w14:textId="77777777" w:rsidTr="006435D9">
        <w:trPr>
          <w:gridAfter w:val="1"/>
          <w:wAfter w:w="6" w:type="dxa"/>
          <w:trHeight w:val="706"/>
        </w:trPr>
        <w:tc>
          <w:tcPr>
            <w:tcW w:w="1699" w:type="dxa"/>
            <w:vMerge/>
            <w:shd w:val="clear" w:color="auto" w:fill="8EAADB" w:themeFill="accent1" w:themeFillTint="99"/>
          </w:tcPr>
          <w:p w14:paraId="4743782D" w14:textId="77777777" w:rsidR="00293406" w:rsidRDefault="00293406" w:rsidP="006435D9">
            <w:pPr>
              <w:rPr>
                <w:b/>
                <w:color w:val="FFFFFF" w:themeColor="background1"/>
              </w:rPr>
            </w:pPr>
          </w:p>
        </w:tc>
        <w:tc>
          <w:tcPr>
            <w:tcW w:w="4843" w:type="dxa"/>
            <w:vMerge/>
            <w:shd w:val="clear" w:color="auto" w:fill="8EAADB" w:themeFill="accent1" w:themeFillTint="99"/>
          </w:tcPr>
          <w:p w14:paraId="0266397B" w14:textId="77777777" w:rsidR="00293406" w:rsidRPr="00E527B7" w:rsidRDefault="00293406" w:rsidP="006435D9">
            <w:pPr>
              <w:rPr>
                <w:b/>
                <w:color w:val="FFFFFF" w:themeColor="background1"/>
              </w:rPr>
            </w:pPr>
          </w:p>
        </w:tc>
        <w:tc>
          <w:tcPr>
            <w:tcW w:w="544" w:type="dxa"/>
            <w:shd w:val="clear" w:color="auto" w:fill="8EAADB" w:themeFill="accent1" w:themeFillTint="99"/>
          </w:tcPr>
          <w:p w14:paraId="26B7E313" w14:textId="51299ADF" w:rsidR="00293406" w:rsidRPr="00BF23A3" w:rsidRDefault="007D3E38" w:rsidP="006435D9">
            <w:pPr>
              <w:jc w:val="center"/>
              <w:rPr>
                <w:rFonts w:ascii="Lucida Sans Unicode" w:hAnsi="Lucida Sans Unicode" w:cs="Lucida Sans Unicode"/>
                <w:noProof/>
                <w:color w:val="FFFFFF" w:themeColor="background1"/>
                <w:sz w:val="18"/>
                <w:szCs w:val="18"/>
              </w:rPr>
            </w:pPr>
            <w:r w:rsidRPr="007D3E38">
              <w:rPr>
                <w:rFonts w:ascii="Lucida Sans Unicode" w:hAnsi="Lucida Sans Unicode" w:cs="Lucida Sans Unicode"/>
                <w:noProof/>
                <w:sz w:val="18"/>
                <w:szCs w:val="18"/>
              </w:rPr>
              <w:t>Diamond</w:t>
            </w:r>
          </w:p>
        </w:tc>
        <w:tc>
          <w:tcPr>
            <w:tcW w:w="596" w:type="dxa"/>
            <w:shd w:val="clear" w:color="auto" w:fill="8EAADB" w:themeFill="accent1" w:themeFillTint="99"/>
            <w:vAlign w:val="center"/>
          </w:tcPr>
          <w:p w14:paraId="778F1D01" w14:textId="75CC3A01" w:rsidR="00293406" w:rsidRDefault="007D3E38" w:rsidP="006435D9">
            <w:pPr>
              <w:jc w:val="center"/>
              <w:rPr>
                <w:b/>
                <w:color w:val="FFFFFF" w:themeColor="background1"/>
              </w:rPr>
            </w:pPr>
            <w:r>
              <w:rPr>
                <w:rFonts w:ascii="Lucida Sans Unicode" w:hAnsi="Lucida Sans Unicode" w:cs="Lucida Sans Unicode"/>
                <w:noProof/>
                <w:color w:val="1D2828"/>
                <w:sz w:val="18"/>
                <w:szCs w:val="18"/>
              </w:rPr>
              <w:t>Red Circle</w:t>
            </w:r>
          </w:p>
        </w:tc>
        <w:tc>
          <w:tcPr>
            <w:tcW w:w="810" w:type="dxa"/>
            <w:shd w:val="clear" w:color="auto" w:fill="8EAADB" w:themeFill="accent1" w:themeFillTint="99"/>
            <w:vAlign w:val="center"/>
          </w:tcPr>
          <w:p w14:paraId="48589CAF" w14:textId="36DA29BB" w:rsidR="00293406" w:rsidRDefault="007D3E38" w:rsidP="006435D9">
            <w:pPr>
              <w:jc w:val="center"/>
              <w:rPr>
                <w:b/>
                <w:color w:val="FFFFFF" w:themeColor="background1"/>
              </w:rPr>
            </w:pPr>
            <w:r>
              <w:rPr>
                <w:rFonts w:ascii="Lucida Sans Unicode" w:eastAsia="Lucida Sans Unicode" w:hAnsi="Lucida Sans Unicode" w:cs="Lucida Sans Unicode"/>
                <w:noProof/>
                <w:color w:val="1D2828"/>
                <w:sz w:val="18"/>
              </w:rPr>
              <w:t>Yellow Triangle</w:t>
            </w:r>
          </w:p>
        </w:tc>
        <w:tc>
          <w:tcPr>
            <w:tcW w:w="486" w:type="dxa"/>
            <w:shd w:val="clear" w:color="auto" w:fill="8EAADB" w:themeFill="accent1" w:themeFillTint="99"/>
            <w:vAlign w:val="center"/>
          </w:tcPr>
          <w:p w14:paraId="0A7FC004" w14:textId="6A7FBE07" w:rsidR="00293406" w:rsidRDefault="007D3E38" w:rsidP="006435D9">
            <w:pPr>
              <w:jc w:val="center"/>
              <w:rPr>
                <w:b/>
                <w:color w:val="FFFFFF" w:themeColor="background1"/>
              </w:rPr>
            </w:pPr>
            <w:r>
              <w:rPr>
                <w:rFonts w:ascii="Lucida Sans Unicode" w:hAnsi="Lucida Sans Unicode" w:cs="Lucida Sans Unicode"/>
                <w:noProof/>
                <w:color w:val="1D2828"/>
                <w:sz w:val="18"/>
                <w:szCs w:val="18"/>
              </w:rPr>
              <w:t>Green Ticked Circle</w:t>
            </w:r>
          </w:p>
        </w:tc>
      </w:tr>
      <w:tr w:rsidR="00293406" w14:paraId="76A4C478" w14:textId="77777777" w:rsidTr="006435D9">
        <w:trPr>
          <w:gridAfter w:val="1"/>
          <w:wAfter w:w="6" w:type="dxa"/>
        </w:trPr>
        <w:tc>
          <w:tcPr>
            <w:tcW w:w="1699" w:type="dxa"/>
            <w:shd w:val="clear" w:color="auto" w:fill="8EAADB" w:themeFill="accent1" w:themeFillTint="99"/>
          </w:tcPr>
          <w:p w14:paraId="38BC683A" w14:textId="77777777" w:rsidR="00293406" w:rsidRPr="007B6A41" w:rsidRDefault="00293406" w:rsidP="006435D9">
            <w:pPr>
              <w:rPr>
                <w:b/>
                <w:color w:val="1F4E79" w:themeColor="accent5" w:themeShade="80"/>
              </w:rPr>
            </w:pPr>
            <w:r w:rsidRPr="007B6A41">
              <w:rPr>
                <w:b/>
                <w:color w:val="1F4E79" w:themeColor="accent5" w:themeShade="80"/>
              </w:rPr>
              <w:t>PROSPERITY</w:t>
            </w:r>
          </w:p>
        </w:tc>
        <w:tc>
          <w:tcPr>
            <w:tcW w:w="4843" w:type="dxa"/>
          </w:tcPr>
          <w:p w14:paraId="2EF74A4B" w14:textId="77777777" w:rsidR="00293406" w:rsidRPr="00A417C4" w:rsidRDefault="00293406" w:rsidP="00293406">
            <w:pPr>
              <w:numPr>
                <w:ilvl w:val="0"/>
                <w:numId w:val="1"/>
              </w:numPr>
              <w:suppressAutoHyphens w:val="0"/>
              <w:autoSpaceDN/>
              <w:spacing w:line="260" w:lineRule="atLeast"/>
              <w:ind w:left="358" w:hanging="358"/>
              <w:textAlignment w:val="auto"/>
              <w:rPr>
                <w:sz w:val="20"/>
              </w:rPr>
            </w:pPr>
            <w:r>
              <w:rPr>
                <w:rFonts w:eastAsia="Arial" w:cs="Arial"/>
                <w:sz w:val="20"/>
              </w:rPr>
              <w:t>We will grow the economy and create jobs</w:t>
            </w:r>
          </w:p>
        </w:tc>
        <w:tc>
          <w:tcPr>
            <w:tcW w:w="544" w:type="dxa"/>
            <w:shd w:val="clear" w:color="auto" w:fill="D0CECE" w:themeFill="background2" w:themeFillShade="E6"/>
            <w:vAlign w:val="center"/>
          </w:tcPr>
          <w:p w14:paraId="5FE9F530" w14:textId="77777777" w:rsidR="00293406" w:rsidRDefault="00293406" w:rsidP="006435D9">
            <w:pPr>
              <w:keepNext/>
              <w:jc w:val="center"/>
            </w:pPr>
          </w:p>
        </w:tc>
        <w:tc>
          <w:tcPr>
            <w:tcW w:w="596" w:type="dxa"/>
            <w:shd w:val="clear" w:color="auto" w:fill="D0CECE" w:themeFill="background2" w:themeFillShade="E6"/>
            <w:vAlign w:val="center"/>
          </w:tcPr>
          <w:p w14:paraId="2D701964" w14:textId="77777777" w:rsidR="00293406" w:rsidRDefault="00293406" w:rsidP="006435D9">
            <w:pPr>
              <w:keepNext/>
              <w:jc w:val="center"/>
            </w:pPr>
            <w:r>
              <w:t>-</w:t>
            </w:r>
          </w:p>
        </w:tc>
        <w:tc>
          <w:tcPr>
            <w:tcW w:w="810" w:type="dxa"/>
            <w:shd w:val="clear" w:color="auto" w:fill="D0CECE" w:themeFill="background2" w:themeFillShade="E6"/>
            <w:vAlign w:val="center"/>
          </w:tcPr>
          <w:p w14:paraId="408ADAD5" w14:textId="77777777" w:rsidR="00293406" w:rsidRDefault="00293406" w:rsidP="006435D9">
            <w:pPr>
              <w:keepNext/>
              <w:jc w:val="center"/>
            </w:pPr>
            <w:r>
              <w:t>6</w:t>
            </w:r>
          </w:p>
        </w:tc>
        <w:tc>
          <w:tcPr>
            <w:tcW w:w="486" w:type="dxa"/>
            <w:shd w:val="clear" w:color="auto" w:fill="D0CECE" w:themeFill="background2" w:themeFillShade="E6"/>
            <w:vAlign w:val="center"/>
          </w:tcPr>
          <w:p w14:paraId="29F9FE7D" w14:textId="77777777" w:rsidR="00293406" w:rsidRDefault="00293406" w:rsidP="006435D9">
            <w:pPr>
              <w:keepNext/>
              <w:jc w:val="center"/>
            </w:pPr>
            <w:r>
              <w:rPr>
                <w:noProof/>
              </w:rPr>
              <w:t>2</w:t>
            </w:r>
          </w:p>
        </w:tc>
      </w:tr>
      <w:tr w:rsidR="00293406" w14:paraId="25CF4572" w14:textId="77777777" w:rsidTr="006435D9">
        <w:trPr>
          <w:gridAfter w:val="1"/>
          <w:wAfter w:w="6" w:type="dxa"/>
          <w:trHeight w:val="544"/>
        </w:trPr>
        <w:tc>
          <w:tcPr>
            <w:tcW w:w="1699" w:type="dxa"/>
            <w:vMerge w:val="restart"/>
            <w:shd w:val="clear" w:color="auto" w:fill="8EAADB" w:themeFill="accent1" w:themeFillTint="99"/>
          </w:tcPr>
          <w:p w14:paraId="2A121F3D" w14:textId="77777777" w:rsidR="00293406" w:rsidRPr="007B6A41" w:rsidRDefault="00293406" w:rsidP="006435D9">
            <w:pPr>
              <w:rPr>
                <w:b/>
                <w:color w:val="1F4E79" w:themeColor="accent5" w:themeShade="80"/>
              </w:rPr>
            </w:pPr>
            <w:r w:rsidRPr="007B6A41">
              <w:rPr>
                <w:b/>
                <w:color w:val="1F4E79" w:themeColor="accent5" w:themeShade="80"/>
              </w:rPr>
              <w:t>ENVIRONMENT</w:t>
            </w:r>
          </w:p>
        </w:tc>
        <w:tc>
          <w:tcPr>
            <w:tcW w:w="4843" w:type="dxa"/>
            <w:vMerge w:val="restart"/>
          </w:tcPr>
          <w:p w14:paraId="14453384" w14:textId="77777777" w:rsidR="00293406" w:rsidRPr="0031129C" w:rsidRDefault="00293406" w:rsidP="00293406">
            <w:pPr>
              <w:numPr>
                <w:ilvl w:val="0"/>
                <w:numId w:val="1"/>
              </w:numPr>
              <w:suppressAutoHyphens w:val="0"/>
              <w:autoSpaceDN/>
              <w:ind w:left="357" w:hanging="357"/>
              <w:textAlignment w:val="auto"/>
              <w:rPr>
                <w:sz w:val="20"/>
              </w:rPr>
            </w:pPr>
            <w:r>
              <w:rPr>
                <w:sz w:val="20"/>
              </w:rPr>
              <w:t xml:space="preserve">We will improve the cleanliness of the streets in our borough by </w:t>
            </w:r>
            <w:r>
              <w:rPr>
                <w:sz w:val="20"/>
              </w:rPr>
              <w:lastRenderedPageBreak/>
              <w:t>targeting littering and dog fouling incidents</w:t>
            </w:r>
          </w:p>
          <w:p w14:paraId="3DD605F3" w14:textId="77777777" w:rsidR="00293406" w:rsidRPr="00247151" w:rsidRDefault="00293406" w:rsidP="00293406">
            <w:pPr>
              <w:numPr>
                <w:ilvl w:val="0"/>
                <w:numId w:val="1"/>
              </w:numPr>
              <w:suppressAutoHyphens w:val="0"/>
              <w:autoSpaceDN/>
              <w:ind w:left="357" w:hanging="357"/>
              <w:textAlignment w:val="auto"/>
              <w:rPr>
                <w:sz w:val="20"/>
              </w:rPr>
            </w:pPr>
            <w:r>
              <w:rPr>
                <w:rFonts w:eastAsia="Arial" w:cs="Arial"/>
                <w:sz w:val="20"/>
              </w:rPr>
              <w:t>We will improve recycling rates from Household Recycling Centres (HRCs)</w:t>
            </w:r>
          </w:p>
        </w:tc>
        <w:tc>
          <w:tcPr>
            <w:tcW w:w="544" w:type="dxa"/>
            <w:shd w:val="clear" w:color="auto" w:fill="D0CECE" w:themeFill="background2" w:themeFillShade="E6"/>
            <w:vAlign w:val="center"/>
          </w:tcPr>
          <w:p w14:paraId="56AF218E" w14:textId="77777777" w:rsidR="00293406" w:rsidRDefault="00293406" w:rsidP="006435D9">
            <w:pPr>
              <w:keepNext/>
              <w:jc w:val="center"/>
            </w:pPr>
            <w:r>
              <w:lastRenderedPageBreak/>
              <w:t>1</w:t>
            </w:r>
          </w:p>
        </w:tc>
        <w:tc>
          <w:tcPr>
            <w:tcW w:w="596" w:type="dxa"/>
            <w:tcBorders>
              <w:bottom w:val="single" w:sz="4" w:space="0" w:color="auto"/>
            </w:tcBorders>
            <w:shd w:val="clear" w:color="auto" w:fill="D0CECE" w:themeFill="background2" w:themeFillShade="E6"/>
            <w:vAlign w:val="center"/>
          </w:tcPr>
          <w:p w14:paraId="17A71C1B" w14:textId="77777777" w:rsidR="00293406" w:rsidRDefault="00293406" w:rsidP="006435D9">
            <w:pPr>
              <w:keepNext/>
              <w:jc w:val="center"/>
            </w:pPr>
          </w:p>
        </w:tc>
        <w:tc>
          <w:tcPr>
            <w:tcW w:w="810" w:type="dxa"/>
            <w:tcBorders>
              <w:bottom w:val="single" w:sz="4" w:space="0" w:color="auto"/>
            </w:tcBorders>
            <w:shd w:val="clear" w:color="auto" w:fill="D0CECE" w:themeFill="background2" w:themeFillShade="E6"/>
            <w:vAlign w:val="center"/>
          </w:tcPr>
          <w:p w14:paraId="00EDF148" w14:textId="77777777" w:rsidR="00293406" w:rsidRDefault="00293406" w:rsidP="006435D9">
            <w:pPr>
              <w:keepNext/>
              <w:jc w:val="center"/>
            </w:pPr>
            <w:r>
              <w:t>2</w:t>
            </w:r>
          </w:p>
        </w:tc>
        <w:tc>
          <w:tcPr>
            <w:tcW w:w="486" w:type="dxa"/>
            <w:tcBorders>
              <w:bottom w:val="single" w:sz="4" w:space="0" w:color="auto"/>
            </w:tcBorders>
            <w:shd w:val="clear" w:color="auto" w:fill="D0CECE" w:themeFill="background2" w:themeFillShade="E6"/>
            <w:vAlign w:val="center"/>
          </w:tcPr>
          <w:p w14:paraId="434E16D8" w14:textId="77777777" w:rsidR="00293406" w:rsidRDefault="00293406" w:rsidP="006435D9">
            <w:pPr>
              <w:keepNext/>
              <w:jc w:val="center"/>
            </w:pPr>
            <w:r>
              <w:t>-</w:t>
            </w:r>
          </w:p>
        </w:tc>
      </w:tr>
      <w:tr w:rsidR="00293406" w14:paraId="5A8420C4" w14:textId="77777777" w:rsidTr="006435D9">
        <w:trPr>
          <w:gridAfter w:val="1"/>
          <w:wAfter w:w="6" w:type="dxa"/>
          <w:trHeight w:val="572"/>
        </w:trPr>
        <w:tc>
          <w:tcPr>
            <w:tcW w:w="1699" w:type="dxa"/>
            <w:vMerge/>
            <w:tcBorders>
              <w:bottom w:val="single" w:sz="4" w:space="0" w:color="auto"/>
            </w:tcBorders>
            <w:shd w:val="clear" w:color="auto" w:fill="8EAADB" w:themeFill="accent1" w:themeFillTint="99"/>
          </w:tcPr>
          <w:p w14:paraId="1BA7F7B7" w14:textId="77777777" w:rsidR="00293406" w:rsidRPr="007B6A41" w:rsidRDefault="00293406" w:rsidP="006435D9">
            <w:pPr>
              <w:rPr>
                <w:b/>
                <w:color w:val="1F4E79" w:themeColor="accent5" w:themeShade="80"/>
              </w:rPr>
            </w:pPr>
          </w:p>
        </w:tc>
        <w:tc>
          <w:tcPr>
            <w:tcW w:w="4843" w:type="dxa"/>
            <w:vMerge/>
            <w:tcBorders>
              <w:bottom w:val="single" w:sz="4" w:space="0" w:color="auto"/>
            </w:tcBorders>
          </w:tcPr>
          <w:p w14:paraId="15D6DE08" w14:textId="77777777" w:rsidR="00293406" w:rsidRDefault="00293406" w:rsidP="00293406">
            <w:pPr>
              <w:numPr>
                <w:ilvl w:val="0"/>
                <w:numId w:val="1"/>
              </w:numPr>
              <w:suppressAutoHyphens w:val="0"/>
              <w:autoSpaceDN/>
              <w:ind w:left="357" w:hanging="357"/>
              <w:textAlignment w:val="auto"/>
              <w:rPr>
                <w:sz w:val="20"/>
              </w:rPr>
            </w:pPr>
          </w:p>
        </w:tc>
        <w:tc>
          <w:tcPr>
            <w:tcW w:w="544" w:type="dxa"/>
            <w:tcBorders>
              <w:bottom w:val="single" w:sz="4" w:space="0" w:color="auto"/>
            </w:tcBorders>
            <w:shd w:val="clear" w:color="auto" w:fill="D0CECE" w:themeFill="background2" w:themeFillShade="E6"/>
            <w:vAlign w:val="center"/>
          </w:tcPr>
          <w:p w14:paraId="6F10955F" w14:textId="77777777" w:rsidR="00293406" w:rsidRDefault="00293406" w:rsidP="006435D9">
            <w:pPr>
              <w:keepNext/>
              <w:jc w:val="center"/>
            </w:pPr>
          </w:p>
        </w:tc>
        <w:tc>
          <w:tcPr>
            <w:tcW w:w="596" w:type="dxa"/>
            <w:tcBorders>
              <w:bottom w:val="single" w:sz="4" w:space="0" w:color="auto"/>
            </w:tcBorders>
            <w:shd w:val="clear" w:color="auto" w:fill="D0CECE" w:themeFill="background2" w:themeFillShade="E6"/>
            <w:vAlign w:val="center"/>
          </w:tcPr>
          <w:p w14:paraId="6A3F4DC1" w14:textId="77777777" w:rsidR="00293406" w:rsidRDefault="00293406" w:rsidP="006435D9">
            <w:pPr>
              <w:keepNext/>
              <w:jc w:val="center"/>
            </w:pPr>
            <w:r>
              <w:t>-</w:t>
            </w:r>
          </w:p>
        </w:tc>
        <w:tc>
          <w:tcPr>
            <w:tcW w:w="810" w:type="dxa"/>
            <w:tcBorders>
              <w:bottom w:val="single" w:sz="4" w:space="0" w:color="auto"/>
            </w:tcBorders>
            <w:shd w:val="clear" w:color="auto" w:fill="D0CECE" w:themeFill="background2" w:themeFillShade="E6"/>
            <w:vAlign w:val="center"/>
          </w:tcPr>
          <w:p w14:paraId="1996C2DA" w14:textId="77777777" w:rsidR="00293406" w:rsidRDefault="00293406" w:rsidP="006435D9">
            <w:pPr>
              <w:keepNext/>
              <w:jc w:val="center"/>
            </w:pPr>
            <w:r>
              <w:t>1</w:t>
            </w:r>
          </w:p>
        </w:tc>
        <w:tc>
          <w:tcPr>
            <w:tcW w:w="486" w:type="dxa"/>
            <w:tcBorders>
              <w:bottom w:val="single" w:sz="4" w:space="0" w:color="auto"/>
            </w:tcBorders>
            <w:shd w:val="clear" w:color="auto" w:fill="D0CECE" w:themeFill="background2" w:themeFillShade="E6"/>
            <w:vAlign w:val="center"/>
          </w:tcPr>
          <w:p w14:paraId="47BDE196" w14:textId="77777777" w:rsidR="00293406" w:rsidRDefault="00293406" w:rsidP="006435D9">
            <w:pPr>
              <w:keepNext/>
              <w:jc w:val="center"/>
            </w:pPr>
            <w:r>
              <w:t>1</w:t>
            </w:r>
          </w:p>
        </w:tc>
      </w:tr>
      <w:tr w:rsidR="00293406" w14:paraId="363BFA8A" w14:textId="77777777" w:rsidTr="006435D9">
        <w:trPr>
          <w:gridAfter w:val="1"/>
          <w:wAfter w:w="6" w:type="dxa"/>
        </w:trPr>
        <w:tc>
          <w:tcPr>
            <w:tcW w:w="1699" w:type="dxa"/>
            <w:shd w:val="clear" w:color="auto" w:fill="8EAADB" w:themeFill="accent1" w:themeFillTint="99"/>
          </w:tcPr>
          <w:p w14:paraId="19E9E0EA" w14:textId="77777777" w:rsidR="00293406" w:rsidRPr="007B6A41" w:rsidRDefault="00293406" w:rsidP="006435D9">
            <w:pPr>
              <w:rPr>
                <w:b/>
                <w:color w:val="1F4E79" w:themeColor="accent5" w:themeShade="80"/>
              </w:rPr>
            </w:pPr>
            <w:r w:rsidRPr="007B6A41">
              <w:rPr>
                <w:b/>
                <w:color w:val="1F4E79" w:themeColor="accent5" w:themeShade="80"/>
              </w:rPr>
              <w:t>LIFE</w:t>
            </w:r>
          </w:p>
        </w:tc>
        <w:tc>
          <w:tcPr>
            <w:tcW w:w="4843" w:type="dxa"/>
          </w:tcPr>
          <w:p w14:paraId="3C661F17" w14:textId="77777777" w:rsidR="00293406" w:rsidRPr="002500F9" w:rsidRDefault="00293406" w:rsidP="00293406">
            <w:pPr>
              <w:numPr>
                <w:ilvl w:val="0"/>
                <w:numId w:val="1"/>
              </w:numPr>
              <w:suppressAutoHyphens w:val="0"/>
              <w:autoSpaceDN/>
              <w:spacing w:line="260" w:lineRule="atLeast"/>
              <w:ind w:left="358" w:hanging="358"/>
              <w:textAlignment w:val="auto"/>
              <w:rPr>
                <w:sz w:val="20"/>
              </w:rPr>
            </w:pPr>
            <w:r>
              <w:rPr>
                <w:rFonts w:cs="Arial"/>
                <w:sz w:val="20"/>
              </w:rPr>
              <w:t>We will support our businesses and residents to protect and improve their health and wellbeing</w:t>
            </w:r>
          </w:p>
        </w:tc>
        <w:tc>
          <w:tcPr>
            <w:tcW w:w="544" w:type="dxa"/>
            <w:shd w:val="clear" w:color="auto" w:fill="D0CECE" w:themeFill="background2" w:themeFillShade="E6"/>
            <w:vAlign w:val="center"/>
          </w:tcPr>
          <w:p w14:paraId="34C38408" w14:textId="77777777" w:rsidR="00293406" w:rsidRDefault="00293406" w:rsidP="006435D9">
            <w:pPr>
              <w:keepNext/>
              <w:jc w:val="center"/>
            </w:pPr>
            <w:r>
              <w:t>1</w:t>
            </w:r>
          </w:p>
        </w:tc>
        <w:tc>
          <w:tcPr>
            <w:tcW w:w="596" w:type="dxa"/>
            <w:shd w:val="clear" w:color="auto" w:fill="D0CECE" w:themeFill="background2" w:themeFillShade="E6"/>
            <w:vAlign w:val="center"/>
          </w:tcPr>
          <w:p w14:paraId="4BACF61B" w14:textId="77777777" w:rsidR="00293406" w:rsidRDefault="00293406" w:rsidP="006435D9">
            <w:pPr>
              <w:keepNext/>
              <w:jc w:val="center"/>
            </w:pPr>
            <w:r>
              <w:t>-</w:t>
            </w:r>
          </w:p>
        </w:tc>
        <w:tc>
          <w:tcPr>
            <w:tcW w:w="810" w:type="dxa"/>
            <w:shd w:val="clear" w:color="auto" w:fill="D0CECE" w:themeFill="background2" w:themeFillShade="E6"/>
            <w:vAlign w:val="center"/>
          </w:tcPr>
          <w:p w14:paraId="456A436C" w14:textId="77777777" w:rsidR="00293406" w:rsidRDefault="00293406" w:rsidP="006435D9">
            <w:pPr>
              <w:keepNext/>
              <w:jc w:val="center"/>
            </w:pPr>
            <w:r>
              <w:t>-</w:t>
            </w:r>
          </w:p>
        </w:tc>
        <w:tc>
          <w:tcPr>
            <w:tcW w:w="486" w:type="dxa"/>
            <w:shd w:val="clear" w:color="auto" w:fill="D0CECE" w:themeFill="background2" w:themeFillShade="E6"/>
            <w:vAlign w:val="center"/>
          </w:tcPr>
          <w:p w14:paraId="18A9695E" w14:textId="77777777" w:rsidR="00293406" w:rsidRDefault="00293406" w:rsidP="006435D9">
            <w:pPr>
              <w:keepNext/>
              <w:jc w:val="center"/>
            </w:pPr>
            <w:r>
              <w:t>2</w:t>
            </w:r>
          </w:p>
        </w:tc>
      </w:tr>
      <w:tr w:rsidR="00293406" w14:paraId="36C75B16" w14:textId="77777777" w:rsidTr="006435D9">
        <w:trPr>
          <w:gridAfter w:val="1"/>
          <w:wAfter w:w="6" w:type="dxa"/>
          <w:trHeight w:val="345"/>
        </w:trPr>
        <w:tc>
          <w:tcPr>
            <w:tcW w:w="1699" w:type="dxa"/>
            <w:shd w:val="clear" w:color="auto" w:fill="8EAADB" w:themeFill="accent1" w:themeFillTint="99"/>
          </w:tcPr>
          <w:p w14:paraId="36074D3C" w14:textId="77777777" w:rsidR="00293406" w:rsidRPr="007B6A41" w:rsidRDefault="00293406" w:rsidP="006435D9">
            <w:pPr>
              <w:rPr>
                <w:b/>
                <w:color w:val="1F4E79" w:themeColor="accent5" w:themeShade="80"/>
              </w:rPr>
            </w:pPr>
            <w:r w:rsidRPr="007B6A41">
              <w:rPr>
                <w:b/>
                <w:color w:val="1F4E79" w:themeColor="accent5" w:themeShade="80"/>
              </w:rPr>
              <w:t>EXCELLENCE</w:t>
            </w:r>
          </w:p>
        </w:tc>
        <w:tc>
          <w:tcPr>
            <w:tcW w:w="4843" w:type="dxa"/>
          </w:tcPr>
          <w:p w14:paraId="512ACD1D" w14:textId="77777777" w:rsidR="00293406" w:rsidRPr="0031129C" w:rsidRDefault="00293406" w:rsidP="00293406">
            <w:pPr>
              <w:numPr>
                <w:ilvl w:val="0"/>
                <w:numId w:val="1"/>
              </w:numPr>
              <w:suppressAutoHyphens w:val="0"/>
              <w:autoSpaceDN/>
              <w:spacing w:line="260" w:lineRule="atLeast"/>
              <w:ind w:left="358" w:hanging="358"/>
              <w:textAlignment w:val="auto"/>
              <w:rPr>
                <w:sz w:val="20"/>
              </w:rPr>
            </w:pPr>
            <w:r w:rsidRPr="0031129C">
              <w:rPr>
                <w:rFonts w:cs="Arial"/>
                <w:sz w:val="20"/>
              </w:rPr>
              <w:t xml:space="preserve">We will </w:t>
            </w:r>
            <w:r>
              <w:rPr>
                <w:rFonts w:cs="Arial"/>
                <w:sz w:val="20"/>
              </w:rPr>
              <w:t xml:space="preserve">use technology to drive change </w:t>
            </w:r>
          </w:p>
        </w:tc>
        <w:tc>
          <w:tcPr>
            <w:tcW w:w="544" w:type="dxa"/>
            <w:shd w:val="clear" w:color="auto" w:fill="D0CECE" w:themeFill="background2" w:themeFillShade="E6"/>
            <w:vAlign w:val="center"/>
          </w:tcPr>
          <w:p w14:paraId="720BB4F6" w14:textId="77777777" w:rsidR="00293406" w:rsidRDefault="00293406" w:rsidP="006435D9">
            <w:pPr>
              <w:keepNext/>
              <w:jc w:val="center"/>
            </w:pPr>
          </w:p>
        </w:tc>
        <w:tc>
          <w:tcPr>
            <w:tcW w:w="596" w:type="dxa"/>
            <w:shd w:val="clear" w:color="auto" w:fill="D0CECE" w:themeFill="background2" w:themeFillShade="E6"/>
            <w:vAlign w:val="center"/>
          </w:tcPr>
          <w:p w14:paraId="462A42FE" w14:textId="77777777" w:rsidR="00293406" w:rsidRDefault="00293406" w:rsidP="006435D9">
            <w:pPr>
              <w:keepNext/>
              <w:jc w:val="center"/>
            </w:pPr>
            <w:r>
              <w:t>-</w:t>
            </w:r>
          </w:p>
        </w:tc>
        <w:tc>
          <w:tcPr>
            <w:tcW w:w="810" w:type="dxa"/>
            <w:shd w:val="clear" w:color="auto" w:fill="D0CECE" w:themeFill="background2" w:themeFillShade="E6"/>
            <w:vAlign w:val="center"/>
          </w:tcPr>
          <w:p w14:paraId="5E58ED67" w14:textId="77777777" w:rsidR="00293406" w:rsidRDefault="00293406" w:rsidP="006435D9">
            <w:pPr>
              <w:keepNext/>
              <w:jc w:val="center"/>
            </w:pPr>
            <w:r>
              <w:t>2</w:t>
            </w:r>
          </w:p>
        </w:tc>
        <w:tc>
          <w:tcPr>
            <w:tcW w:w="486" w:type="dxa"/>
            <w:shd w:val="clear" w:color="auto" w:fill="D0CECE" w:themeFill="background2" w:themeFillShade="E6"/>
            <w:vAlign w:val="center"/>
          </w:tcPr>
          <w:p w14:paraId="14986E2C" w14:textId="77777777" w:rsidR="00293406" w:rsidRDefault="00293406" w:rsidP="006435D9">
            <w:pPr>
              <w:keepNext/>
              <w:jc w:val="center"/>
            </w:pPr>
            <w:r>
              <w:t>2</w:t>
            </w:r>
          </w:p>
        </w:tc>
      </w:tr>
      <w:tr w:rsidR="00293406" w14:paraId="591D5D40" w14:textId="77777777" w:rsidTr="006435D9">
        <w:trPr>
          <w:gridAfter w:val="1"/>
          <w:wAfter w:w="6" w:type="dxa"/>
          <w:trHeight w:val="345"/>
        </w:trPr>
        <w:tc>
          <w:tcPr>
            <w:tcW w:w="1699" w:type="dxa"/>
            <w:shd w:val="clear" w:color="auto" w:fill="8EAADB" w:themeFill="accent1" w:themeFillTint="99"/>
          </w:tcPr>
          <w:p w14:paraId="18FE3150" w14:textId="77777777" w:rsidR="00293406" w:rsidRPr="007B6A41" w:rsidRDefault="00293406" w:rsidP="006435D9">
            <w:pPr>
              <w:rPr>
                <w:b/>
                <w:color w:val="1F4E79" w:themeColor="accent5" w:themeShade="80"/>
              </w:rPr>
            </w:pPr>
            <w:r w:rsidRPr="007B6A41">
              <w:rPr>
                <w:b/>
                <w:color w:val="1F4E79" w:themeColor="accent5" w:themeShade="80"/>
              </w:rPr>
              <w:t>STATUTORY INDICATORS</w:t>
            </w:r>
          </w:p>
        </w:tc>
        <w:tc>
          <w:tcPr>
            <w:tcW w:w="4843" w:type="dxa"/>
          </w:tcPr>
          <w:p w14:paraId="6AB68720" w14:textId="77777777" w:rsidR="00293406" w:rsidRDefault="00293406" w:rsidP="00293406">
            <w:pPr>
              <w:numPr>
                <w:ilvl w:val="0"/>
                <w:numId w:val="1"/>
              </w:numPr>
              <w:suppressAutoHyphens w:val="0"/>
              <w:autoSpaceDN/>
              <w:spacing w:line="260" w:lineRule="atLeast"/>
              <w:ind w:left="358" w:hanging="358"/>
              <w:textAlignment w:val="auto"/>
              <w:rPr>
                <w:rFonts w:cs="Arial"/>
                <w:sz w:val="20"/>
              </w:rPr>
            </w:pPr>
            <w:r>
              <w:rPr>
                <w:rFonts w:cs="Arial"/>
                <w:sz w:val="20"/>
              </w:rPr>
              <w:t>Municipal Waste</w:t>
            </w:r>
          </w:p>
          <w:p w14:paraId="776AD83F" w14:textId="77777777" w:rsidR="00293406" w:rsidRDefault="00293406" w:rsidP="00293406">
            <w:pPr>
              <w:numPr>
                <w:ilvl w:val="0"/>
                <w:numId w:val="1"/>
              </w:numPr>
              <w:suppressAutoHyphens w:val="0"/>
              <w:autoSpaceDN/>
              <w:spacing w:line="260" w:lineRule="atLeast"/>
              <w:ind w:left="358" w:hanging="358"/>
              <w:textAlignment w:val="auto"/>
              <w:rPr>
                <w:rFonts w:cs="Arial"/>
                <w:sz w:val="20"/>
              </w:rPr>
            </w:pPr>
            <w:r>
              <w:rPr>
                <w:rFonts w:cs="Arial"/>
                <w:sz w:val="20"/>
              </w:rPr>
              <w:t>Economic Development</w:t>
            </w:r>
          </w:p>
          <w:p w14:paraId="58F6F23B" w14:textId="77777777" w:rsidR="00293406" w:rsidRDefault="00293406" w:rsidP="00293406">
            <w:pPr>
              <w:numPr>
                <w:ilvl w:val="0"/>
                <w:numId w:val="1"/>
              </w:numPr>
              <w:suppressAutoHyphens w:val="0"/>
              <w:autoSpaceDN/>
              <w:spacing w:line="260" w:lineRule="atLeast"/>
              <w:ind w:left="358" w:hanging="358"/>
              <w:textAlignment w:val="auto"/>
              <w:rPr>
                <w:rFonts w:cs="Arial"/>
                <w:sz w:val="20"/>
              </w:rPr>
            </w:pPr>
            <w:r>
              <w:rPr>
                <w:rFonts w:cs="Arial"/>
                <w:sz w:val="20"/>
              </w:rPr>
              <w:t>Planning</w:t>
            </w:r>
          </w:p>
        </w:tc>
        <w:tc>
          <w:tcPr>
            <w:tcW w:w="544" w:type="dxa"/>
            <w:shd w:val="clear" w:color="auto" w:fill="D0CECE" w:themeFill="background2" w:themeFillShade="E6"/>
            <w:vAlign w:val="center"/>
          </w:tcPr>
          <w:p w14:paraId="14B79954" w14:textId="77777777" w:rsidR="00293406" w:rsidRPr="00D22A2A" w:rsidRDefault="00293406" w:rsidP="006435D9">
            <w:pPr>
              <w:keepNext/>
              <w:jc w:val="center"/>
            </w:pPr>
          </w:p>
        </w:tc>
        <w:tc>
          <w:tcPr>
            <w:tcW w:w="596" w:type="dxa"/>
            <w:shd w:val="clear" w:color="auto" w:fill="D0CECE" w:themeFill="background2" w:themeFillShade="E6"/>
            <w:vAlign w:val="center"/>
          </w:tcPr>
          <w:p w14:paraId="6281E176"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5</w:t>
            </w:r>
          </w:p>
        </w:tc>
        <w:tc>
          <w:tcPr>
            <w:tcW w:w="810" w:type="dxa"/>
            <w:shd w:val="clear" w:color="auto" w:fill="D0CECE" w:themeFill="background2" w:themeFillShade="E6"/>
            <w:vAlign w:val="center"/>
          </w:tcPr>
          <w:p w14:paraId="2BB363AE"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2</w:t>
            </w:r>
          </w:p>
        </w:tc>
        <w:tc>
          <w:tcPr>
            <w:tcW w:w="486" w:type="dxa"/>
            <w:shd w:val="clear" w:color="auto" w:fill="D0CECE" w:themeFill="background2" w:themeFillShade="E6"/>
            <w:vAlign w:val="center"/>
          </w:tcPr>
          <w:p w14:paraId="1C03CEB3"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w:t>
            </w:r>
          </w:p>
        </w:tc>
      </w:tr>
      <w:tr w:rsidR="00293406" w14:paraId="68CCD5F9" w14:textId="77777777" w:rsidTr="006435D9">
        <w:trPr>
          <w:gridAfter w:val="1"/>
          <w:wAfter w:w="6" w:type="dxa"/>
          <w:trHeight w:val="327"/>
        </w:trPr>
        <w:tc>
          <w:tcPr>
            <w:tcW w:w="1699" w:type="dxa"/>
            <w:vMerge w:val="restart"/>
            <w:shd w:val="clear" w:color="auto" w:fill="8EAADB" w:themeFill="accent1" w:themeFillTint="99"/>
          </w:tcPr>
          <w:p w14:paraId="568F513E" w14:textId="77777777" w:rsidR="00293406" w:rsidRPr="007B6A41" w:rsidRDefault="00293406" w:rsidP="006435D9">
            <w:pPr>
              <w:rPr>
                <w:b/>
                <w:color w:val="1F4E79" w:themeColor="accent5" w:themeShade="80"/>
              </w:rPr>
            </w:pPr>
            <w:r w:rsidRPr="007B6A41">
              <w:rPr>
                <w:b/>
                <w:color w:val="1F4E79" w:themeColor="accent5" w:themeShade="80"/>
              </w:rPr>
              <w:t>SELF-IMPOSED</w:t>
            </w:r>
          </w:p>
          <w:p w14:paraId="532C8E11" w14:textId="77777777" w:rsidR="00293406" w:rsidRPr="007B6A41" w:rsidRDefault="00293406" w:rsidP="006435D9">
            <w:pPr>
              <w:rPr>
                <w:b/>
                <w:color w:val="1F4E79" w:themeColor="accent5" w:themeShade="80"/>
              </w:rPr>
            </w:pPr>
            <w:r w:rsidRPr="007B6A41">
              <w:rPr>
                <w:b/>
                <w:color w:val="1F4E79" w:themeColor="accent5" w:themeShade="80"/>
              </w:rPr>
              <w:t>INDICATORS</w:t>
            </w:r>
          </w:p>
        </w:tc>
        <w:tc>
          <w:tcPr>
            <w:tcW w:w="4843" w:type="dxa"/>
            <w:vMerge w:val="restart"/>
          </w:tcPr>
          <w:p w14:paraId="6F52F425" w14:textId="77777777" w:rsidR="00293406" w:rsidRDefault="00293406" w:rsidP="00293406">
            <w:pPr>
              <w:numPr>
                <w:ilvl w:val="0"/>
                <w:numId w:val="1"/>
              </w:numPr>
              <w:suppressAutoHyphens w:val="0"/>
              <w:autoSpaceDN/>
              <w:spacing w:line="260" w:lineRule="atLeast"/>
              <w:ind w:left="358" w:hanging="358"/>
              <w:textAlignment w:val="auto"/>
              <w:rPr>
                <w:rFonts w:cs="Arial"/>
                <w:sz w:val="20"/>
              </w:rPr>
            </w:pPr>
            <w:r>
              <w:rPr>
                <w:rFonts w:cs="Arial"/>
                <w:sz w:val="20"/>
              </w:rPr>
              <w:t>Resident Satisfaction</w:t>
            </w:r>
          </w:p>
          <w:p w14:paraId="5C6D24B4" w14:textId="77777777" w:rsidR="00293406" w:rsidRDefault="00293406" w:rsidP="00293406">
            <w:pPr>
              <w:numPr>
                <w:ilvl w:val="0"/>
                <w:numId w:val="1"/>
              </w:numPr>
              <w:suppressAutoHyphens w:val="0"/>
              <w:autoSpaceDN/>
              <w:spacing w:line="260" w:lineRule="atLeast"/>
              <w:ind w:left="358" w:hanging="358"/>
              <w:textAlignment w:val="auto"/>
              <w:rPr>
                <w:rFonts w:cs="Arial"/>
                <w:sz w:val="20"/>
              </w:rPr>
            </w:pPr>
            <w:r>
              <w:rPr>
                <w:rFonts w:cs="Arial"/>
                <w:sz w:val="20"/>
              </w:rPr>
              <w:t>Prompt Payment of Invoices</w:t>
            </w:r>
          </w:p>
          <w:p w14:paraId="6225F191" w14:textId="77777777" w:rsidR="00293406" w:rsidRDefault="00293406" w:rsidP="00293406">
            <w:pPr>
              <w:numPr>
                <w:ilvl w:val="0"/>
                <w:numId w:val="1"/>
              </w:numPr>
              <w:suppressAutoHyphens w:val="0"/>
              <w:autoSpaceDN/>
              <w:spacing w:line="260" w:lineRule="atLeast"/>
              <w:ind w:left="358" w:hanging="358"/>
              <w:textAlignment w:val="auto"/>
              <w:rPr>
                <w:rFonts w:cs="Arial"/>
                <w:sz w:val="20"/>
              </w:rPr>
            </w:pPr>
            <w:r>
              <w:rPr>
                <w:rFonts w:cs="Arial"/>
                <w:sz w:val="20"/>
              </w:rPr>
              <w:t>Average number of working days lost per employee</w:t>
            </w:r>
          </w:p>
          <w:p w14:paraId="64B14242" w14:textId="77777777" w:rsidR="00293406" w:rsidRDefault="00293406" w:rsidP="00293406">
            <w:pPr>
              <w:numPr>
                <w:ilvl w:val="0"/>
                <w:numId w:val="1"/>
              </w:numPr>
              <w:suppressAutoHyphens w:val="0"/>
              <w:autoSpaceDN/>
              <w:spacing w:line="260" w:lineRule="atLeast"/>
              <w:ind w:left="358" w:hanging="358"/>
              <w:textAlignment w:val="auto"/>
              <w:rPr>
                <w:rFonts w:cs="Arial"/>
                <w:sz w:val="20"/>
              </w:rPr>
            </w:pPr>
            <w:r>
              <w:rPr>
                <w:rFonts w:cs="Arial"/>
                <w:sz w:val="20"/>
              </w:rPr>
              <w:t>% staff attendance</w:t>
            </w:r>
          </w:p>
        </w:tc>
        <w:tc>
          <w:tcPr>
            <w:tcW w:w="544" w:type="dxa"/>
            <w:shd w:val="clear" w:color="auto" w:fill="D0CECE" w:themeFill="background2" w:themeFillShade="E6"/>
            <w:vAlign w:val="center"/>
          </w:tcPr>
          <w:p w14:paraId="7F47BE1B" w14:textId="77777777" w:rsidR="00293406" w:rsidRPr="00D22A2A" w:rsidRDefault="00293406" w:rsidP="006435D9">
            <w:pPr>
              <w:keepNext/>
              <w:jc w:val="center"/>
            </w:pPr>
            <w:r w:rsidRPr="00D22A2A">
              <w:t>-</w:t>
            </w:r>
          </w:p>
        </w:tc>
        <w:tc>
          <w:tcPr>
            <w:tcW w:w="596" w:type="dxa"/>
            <w:shd w:val="clear" w:color="auto" w:fill="D0CECE" w:themeFill="background2" w:themeFillShade="E6"/>
            <w:vAlign w:val="center"/>
          </w:tcPr>
          <w:p w14:paraId="7E5513BB"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w:t>
            </w:r>
          </w:p>
        </w:tc>
        <w:tc>
          <w:tcPr>
            <w:tcW w:w="810" w:type="dxa"/>
            <w:shd w:val="clear" w:color="auto" w:fill="D0CECE" w:themeFill="background2" w:themeFillShade="E6"/>
            <w:vAlign w:val="center"/>
          </w:tcPr>
          <w:p w14:paraId="20E2EBF0"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w:t>
            </w:r>
          </w:p>
        </w:tc>
        <w:tc>
          <w:tcPr>
            <w:tcW w:w="486" w:type="dxa"/>
            <w:shd w:val="clear" w:color="auto" w:fill="D0CECE" w:themeFill="background2" w:themeFillShade="E6"/>
            <w:vAlign w:val="center"/>
          </w:tcPr>
          <w:p w14:paraId="3C822B88"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1</w:t>
            </w:r>
          </w:p>
        </w:tc>
      </w:tr>
      <w:tr w:rsidR="00293406" w14:paraId="2A1CE4D4" w14:textId="77777777" w:rsidTr="006435D9">
        <w:trPr>
          <w:gridAfter w:val="1"/>
          <w:wAfter w:w="6" w:type="dxa"/>
          <w:trHeight w:val="326"/>
        </w:trPr>
        <w:tc>
          <w:tcPr>
            <w:tcW w:w="1699" w:type="dxa"/>
            <w:vMerge/>
            <w:shd w:val="clear" w:color="auto" w:fill="8EAADB" w:themeFill="accent1" w:themeFillTint="99"/>
          </w:tcPr>
          <w:p w14:paraId="15399BEF" w14:textId="77777777" w:rsidR="00293406" w:rsidRDefault="00293406" w:rsidP="006435D9">
            <w:pPr>
              <w:rPr>
                <w:b/>
                <w:color w:val="FFFFFF" w:themeColor="background1"/>
              </w:rPr>
            </w:pPr>
          </w:p>
        </w:tc>
        <w:tc>
          <w:tcPr>
            <w:tcW w:w="4843" w:type="dxa"/>
            <w:vMerge/>
          </w:tcPr>
          <w:p w14:paraId="5E1FD792" w14:textId="77777777" w:rsidR="00293406" w:rsidRDefault="00293406" w:rsidP="00293406">
            <w:pPr>
              <w:numPr>
                <w:ilvl w:val="0"/>
                <w:numId w:val="1"/>
              </w:numPr>
              <w:suppressAutoHyphens w:val="0"/>
              <w:autoSpaceDN/>
              <w:spacing w:line="260" w:lineRule="atLeast"/>
              <w:ind w:left="358" w:hanging="358"/>
              <w:textAlignment w:val="auto"/>
              <w:rPr>
                <w:rFonts w:cs="Arial"/>
                <w:sz w:val="20"/>
              </w:rPr>
            </w:pPr>
          </w:p>
        </w:tc>
        <w:tc>
          <w:tcPr>
            <w:tcW w:w="544" w:type="dxa"/>
            <w:shd w:val="clear" w:color="auto" w:fill="D0CECE" w:themeFill="background2" w:themeFillShade="E6"/>
            <w:vAlign w:val="center"/>
          </w:tcPr>
          <w:p w14:paraId="069DDB47" w14:textId="77777777" w:rsidR="00293406" w:rsidRPr="00D22A2A" w:rsidRDefault="00293406" w:rsidP="006435D9">
            <w:pPr>
              <w:keepNext/>
              <w:jc w:val="center"/>
            </w:pPr>
            <w:r w:rsidRPr="00D22A2A">
              <w:t>-</w:t>
            </w:r>
          </w:p>
        </w:tc>
        <w:tc>
          <w:tcPr>
            <w:tcW w:w="596" w:type="dxa"/>
            <w:shd w:val="clear" w:color="auto" w:fill="D0CECE" w:themeFill="background2" w:themeFillShade="E6"/>
            <w:vAlign w:val="center"/>
          </w:tcPr>
          <w:p w14:paraId="70F1E119"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w:t>
            </w:r>
          </w:p>
        </w:tc>
        <w:tc>
          <w:tcPr>
            <w:tcW w:w="810" w:type="dxa"/>
            <w:shd w:val="clear" w:color="auto" w:fill="D0CECE" w:themeFill="background2" w:themeFillShade="E6"/>
            <w:vAlign w:val="center"/>
          </w:tcPr>
          <w:p w14:paraId="0A555FAA"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w:t>
            </w:r>
          </w:p>
        </w:tc>
        <w:tc>
          <w:tcPr>
            <w:tcW w:w="486" w:type="dxa"/>
            <w:shd w:val="clear" w:color="auto" w:fill="D0CECE" w:themeFill="background2" w:themeFillShade="E6"/>
            <w:vAlign w:val="center"/>
          </w:tcPr>
          <w:p w14:paraId="0843BFAC"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3</w:t>
            </w:r>
          </w:p>
        </w:tc>
      </w:tr>
      <w:tr w:rsidR="00293406" w14:paraId="60EC2FF9" w14:textId="77777777" w:rsidTr="006435D9">
        <w:trPr>
          <w:gridAfter w:val="1"/>
          <w:wAfter w:w="6" w:type="dxa"/>
          <w:trHeight w:val="326"/>
        </w:trPr>
        <w:tc>
          <w:tcPr>
            <w:tcW w:w="1699" w:type="dxa"/>
            <w:vMerge/>
            <w:shd w:val="clear" w:color="auto" w:fill="8EAADB" w:themeFill="accent1" w:themeFillTint="99"/>
          </w:tcPr>
          <w:p w14:paraId="31836D76" w14:textId="77777777" w:rsidR="00293406" w:rsidRDefault="00293406" w:rsidP="006435D9">
            <w:pPr>
              <w:rPr>
                <w:b/>
                <w:color w:val="FFFFFF" w:themeColor="background1"/>
              </w:rPr>
            </w:pPr>
          </w:p>
        </w:tc>
        <w:tc>
          <w:tcPr>
            <w:tcW w:w="4843" w:type="dxa"/>
            <w:vMerge/>
          </w:tcPr>
          <w:p w14:paraId="1A0B168B" w14:textId="77777777" w:rsidR="00293406" w:rsidRDefault="00293406" w:rsidP="00293406">
            <w:pPr>
              <w:numPr>
                <w:ilvl w:val="0"/>
                <w:numId w:val="1"/>
              </w:numPr>
              <w:suppressAutoHyphens w:val="0"/>
              <w:autoSpaceDN/>
              <w:spacing w:line="260" w:lineRule="atLeast"/>
              <w:ind w:left="358" w:hanging="358"/>
              <w:textAlignment w:val="auto"/>
              <w:rPr>
                <w:rFonts w:cs="Arial"/>
                <w:sz w:val="20"/>
              </w:rPr>
            </w:pPr>
          </w:p>
        </w:tc>
        <w:tc>
          <w:tcPr>
            <w:tcW w:w="544" w:type="dxa"/>
            <w:shd w:val="clear" w:color="auto" w:fill="D0CECE" w:themeFill="background2" w:themeFillShade="E6"/>
            <w:vAlign w:val="center"/>
          </w:tcPr>
          <w:p w14:paraId="366CA1B2" w14:textId="77777777" w:rsidR="00293406" w:rsidRPr="00D22A2A" w:rsidRDefault="00293406" w:rsidP="006435D9">
            <w:pPr>
              <w:keepNext/>
              <w:jc w:val="center"/>
            </w:pPr>
            <w:r w:rsidRPr="00D22A2A">
              <w:t>-</w:t>
            </w:r>
          </w:p>
        </w:tc>
        <w:tc>
          <w:tcPr>
            <w:tcW w:w="596" w:type="dxa"/>
            <w:shd w:val="clear" w:color="auto" w:fill="D0CECE" w:themeFill="background2" w:themeFillShade="E6"/>
            <w:vAlign w:val="center"/>
          </w:tcPr>
          <w:p w14:paraId="00840348"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w:t>
            </w:r>
          </w:p>
        </w:tc>
        <w:tc>
          <w:tcPr>
            <w:tcW w:w="810" w:type="dxa"/>
            <w:shd w:val="clear" w:color="auto" w:fill="D0CECE" w:themeFill="background2" w:themeFillShade="E6"/>
            <w:vAlign w:val="center"/>
          </w:tcPr>
          <w:p w14:paraId="637E9DEC"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w:t>
            </w:r>
          </w:p>
        </w:tc>
        <w:tc>
          <w:tcPr>
            <w:tcW w:w="486" w:type="dxa"/>
            <w:shd w:val="clear" w:color="auto" w:fill="D0CECE" w:themeFill="background2" w:themeFillShade="E6"/>
            <w:vAlign w:val="center"/>
          </w:tcPr>
          <w:p w14:paraId="0B7D4C7E"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1</w:t>
            </w:r>
          </w:p>
        </w:tc>
      </w:tr>
      <w:tr w:rsidR="00293406" w14:paraId="17C4CC3E" w14:textId="77777777" w:rsidTr="006435D9">
        <w:trPr>
          <w:gridAfter w:val="1"/>
          <w:wAfter w:w="6" w:type="dxa"/>
          <w:trHeight w:val="145"/>
        </w:trPr>
        <w:tc>
          <w:tcPr>
            <w:tcW w:w="1699" w:type="dxa"/>
            <w:vMerge/>
            <w:shd w:val="clear" w:color="auto" w:fill="8EAADB" w:themeFill="accent1" w:themeFillTint="99"/>
          </w:tcPr>
          <w:p w14:paraId="5FF9581E" w14:textId="77777777" w:rsidR="00293406" w:rsidRDefault="00293406" w:rsidP="006435D9">
            <w:pPr>
              <w:rPr>
                <w:b/>
                <w:color w:val="FFFFFF" w:themeColor="background1"/>
              </w:rPr>
            </w:pPr>
          </w:p>
        </w:tc>
        <w:tc>
          <w:tcPr>
            <w:tcW w:w="4843" w:type="dxa"/>
            <w:vMerge/>
          </w:tcPr>
          <w:p w14:paraId="7BB66FFB" w14:textId="77777777" w:rsidR="00293406" w:rsidRDefault="00293406" w:rsidP="00293406">
            <w:pPr>
              <w:numPr>
                <w:ilvl w:val="0"/>
                <w:numId w:val="1"/>
              </w:numPr>
              <w:suppressAutoHyphens w:val="0"/>
              <w:autoSpaceDN/>
              <w:spacing w:line="260" w:lineRule="atLeast"/>
              <w:ind w:left="358" w:hanging="358"/>
              <w:textAlignment w:val="auto"/>
              <w:rPr>
                <w:rFonts w:cs="Arial"/>
                <w:sz w:val="20"/>
              </w:rPr>
            </w:pPr>
          </w:p>
        </w:tc>
        <w:tc>
          <w:tcPr>
            <w:tcW w:w="544" w:type="dxa"/>
            <w:shd w:val="clear" w:color="auto" w:fill="D0CECE" w:themeFill="background2" w:themeFillShade="E6"/>
            <w:vAlign w:val="center"/>
          </w:tcPr>
          <w:p w14:paraId="20F2DE68" w14:textId="77777777" w:rsidR="00293406" w:rsidRPr="00D22A2A" w:rsidRDefault="00293406" w:rsidP="006435D9">
            <w:pPr>
              <w:keepNext/>
              <w:jc w:val="center"/>
            </w:pPr>
            <w:r w:rsidRPr="00D22A2A">
              <w:t>-</w:t>
            </w:r>
          </w:p>
        </w:tc>
        <w:tc>
          <w:tcPr>
            <w:tcW w:w="596" w:type="dxa"/>
            <w:shd w:val="clear" w:color="auto" w:fill="D0CECE" w:themeFill="background2" w:themeFillShade="E6"/>
            <w:vAlign w:val="center"/>
          </w:tcPr>
          <w:p w14:paraId="204AF6C1"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w:t>
            </w:r>
          </w:p>
        </w:tc>
        <w:tc>
          <w:tcPr>
            <w:tcW w:w="810" w:type="dxa"/>
            <w:shd w:val="clear" w:color="auto" w:fill="D0CECE" w:themeFill="background2" w:themeFillShade="E6"/>
            <w:vAlign w:val="center"/>
          </w:tcPr>
          <w:p w14:paraId="76E8FBB6"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1</w:t>
            </w:r>
          </w:p>
        </w:tc>
        <w:tc>
          <w:tcPr>
            <w:tcW w:w="486" w:type="dxa"/>
            <w:shd w:val="clear" w:color="auto" w:fill="D0CECE" w:themeFill="background2" w:themeFillShade="E6"/>
            <w:vAlign w:val="center"/>
          </w:tcPr>
          <w:p w14:paraId="630D7EC2"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w:t>
            </w:r>
          </w:p>
        </w:tc>
      </w:tr>
      <w:tr w:rsidR="00293406" w14:paraId="1B6A5BD1" w14:textId="77777777" w:rsidTr="006435D9">
        <w:trPr>
          <w:gridAfter w:val="1"/>
          <w:wAfter w:w="6" w:type="dxa"/>
        </w:trPr>
        <w:tc>
          <w:tcPr>
            <w:tcW w:w="1699" w:type="dxa"/>
            <w:tcBorders>
              <w:left w:val="nil"/>
              <w:bottom w:val="nil"/>
            </w:tcBorders>
          </w:tcPr>
          <w:p w14:paraId="73DC3259" w14:textId="77777777" w:rsidR="00293406" w:rsidRPr="00E527B7" w:rsidRDefault="00293406" w:rsidP="006435D9">
            <w:pPr>
              <w:rPr>
                <w:b/>
                <w:color w:val="FFFFFF" w:themeColor="background1"/>
              </w:rPr>
            </w:pPr>
          </w:p>
        </w:tc>
        <w:tc>
          <w:tcPr>
            <w:tcW w:w="4843" w:type="dxa"/>
          </w:tcPr>
          <w:p w14:paraId="618479A4" w14:textId="77777777" w:rsidR="00293406" w:rsidRPr="007E4115" w:rsidRDefault="00293406" w:rsidP="006435D9">
            <w:pPr>
              <w:spacing w:before="60" w:after="60"/>
              <w:ind w:right="23"/>
              <w:jc w:val="right"/>
              <w:rPr>
                <w:rFonts w:eastAsia="Arial" w:cs="Arial"/>
                <w:b/>
              </w:rPr>
            </w:pPr>
            <w:r w:rsidRPr="007E4115">
              <w:rPr>
                <w:rFonts w:eastAsia="Arial" w:cs="Arial"/>
                <w:b/>
              </w:rPr>
              <w:t xml:space="preserve">OVERALL </w:t>
            </w:r>
          </w:p>
        </w:tc>
        <w:tc>
          <w:tcPr>
            <w:tcW w:w="544" w:type="dxa"/>
            <w:shd w:val="clear" w:color="auto" w:fill="D0CECE" w:themeFill="background2" w:themeFillShade="E6"/>
            <w:vAlign w:val="center"/>
          </w:tcPr>
          <w:p w14:paraId="323B656A"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2</w:t>
            </w:r>
          </w:p>
        </w:tc>
        <w:tc>
          <w:tcPr>
            <w:tcW w:w="596" w:type="dxa"/>
            <w:shd w:val="clear" w:color="auto" w:fill="D0CECE" w:themeFill="background2" w:themeFillShade="E6"/>
            <w:vAlign w:val="center"/>
          </w:tcPr>
          <w:p w14:paraId="2BAE6F5F"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5</w:t>
            </w:r>
          </w:p>
        </w:tc>
        <w:tc>
          <w:tcPr>
            <w:tcW w:w="810" w:type="dxa"/>
            <w:shd w:val="clear" w:color="auto" w:fill="D0CECE" w:themeFill="background2" w:themeFillShade="E6"/>
            <w:vAlign w:val="center"/>
          </w:tcPr>
          <w:p w14:paraId="5DF35D83"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14</w:t>
            </w:r>
          </w:p>
        </w:tc>
        <w:tc>
          <w:tcPr>
            <w:tcW w:w="486" w:type="dxa"/>
            <w:shd w:val="clear" w:color="auto" w:fill="D0CECE" w:themeFill="background2" w:themeFillShade="E6"/>
            <w:vAlign w:val="center"/>
          </w:tcPr>
          <w:p w14:paraId="5C5747CD" w14:textId="77777777" w:rsidR="00293406" w:rsidRDefault="00293406" w:rsidP="006435D9">
            <w:pPr>
              <w:keepNext/>
              <w:jc w:val="center"/>
              <w:rPr>
                <w:rFonts w:ascii="Lucida Sans Unicode" w:eastAsia="Lucida Sans Unicode" w:hAnsi="Lucida Sans Unicode" w:cs="Lucida Sans Unicode"/>
                <w:noProof/>
                <w:color w:val="1D2828"/>
                <w:sz w:val="18"/>
                <w:lang w:eastAsia="en-GB"/>
              </w:rPr>
            </w:pPr>
            <w:r>
              <w:rPr>
                <w:rFonts w:ascii="Lucida Sans Unicode" w:eastAsia="Lucida Sans Unicode" w:hAnsi="Lucida Sans Unicode" w:cs="Lucida Sans Unicode"/>
                <w:noProof/>
                <w:color w:val="1D2828"/>
                <w:sz w:val="18"/>
                <w:lang w:eastAsia="en-GB"/>
              </w:rPr>
              <w:t>12</w:t>
            </w:r>
          </w:p>
        </w:tc>
      </w:tr>
    </w:tbl>
    <w:p w14:paraId="5A511A52" w14:textId="77777777" w:rsidR="00293406" w:rsidRDefault="00293406" w:rsidP="00293406">
      <w:pPr>
        <w:rPr>
          <w:rFonts w:cs="Arial"/>
        </w:rPr>
      </w:pPr>
    </w:p>
    <w:p w14:paraId="746B9ADF" w14:textId="70FA64E8" w:rsidR="00293406" w:rsidRDefault="00293406" w:rsidP="00111C5B">
      <w:pPr>
        <w:ind w:left="62"/>
        <w:rPr>
          <w:lang w:val="en-US"/>
        </w:rPr>
      </w:pPr>
      <w:r w:rsidRPr="00F044DF">
        <w:rPr>
          <w:lang w:val="en-US"/>
        </w:rPr>
        <w:t>Detailed information on progress against each of the measures c</w:t>
      </w:r>
      <w:r w:rsidR="00111C5B">
        <w:rPr>
          <w:lang w:val="en-US"/>
        </w:rPr>
        <w:t xml:space="preserve">ould </w:t>
      </w:r>
      <w:r w:rsidRPr="00F044DF">
        <w:rPr>
          <w:lang w:val="en-US"/>
        </w:rPr>
        <w:t xml:space="preserve">be found in </w:t>
      </w:r>
      <w:r w:rsidR="00111C5B">
        <w:rPr>
          <w:lang w:val="en-US"/>
        </w:rPr>
        <w:t>and ap</w:t>
      </w:r>
      <w:r w:rsidRPr="00F044DF">
        <w:rPr>
          <w:lang w:val="en-US"/>
        </w:rPr>
        <w:t xml:space="preserve">pendix to the report.  Information on </w:t>
      </w:r>
      <w:r w:rsidR="00111C5B">
        <w:rPr>
          <w:lang w:val="en-US"/>
        </w:rPr>
        <w:t xml:space="preserve">the Council’s </w:t>
      </w:r>
      <w:r w:rsidRPr="00F044DF">
        <w:rPr>
          <w:lang w:val="en-US"/>
        </w:rPr>
        <w:t>performance against the PIP 2021/2022 c</w:t>
      </w:r>
      <w:r w:rsidR="00111C5B">
        <w:rPr>
          <w:lang w:val="en-US"/>
        </w:rPr>
        <w:t xml:space="preserve">ould </w:t>
      </w:r>
      <w:r w:rsidRPr="00F044DF">
        <w:rPr>
          <w:lang w:val="en-US"/>
        </w:rPr>
        <w:t xml:space="preserve">also be found on the Council’s </w:t>
      </w:r>
      <w:hyperlink r:id="rId11" w:history="1">
        <w:r w:rsidRPr="00F044DF">
          <w:rPr>
            <w:rStyle w:val="Hyperlink"/>
            <w:lang w:val="en-US"/>
          </w:rPr>
          <w:t>website</w:t>
        </w:r>
      </w:hyperlink>
      <w:r w:rsidRPr="00F044DF">
        <w:rPr>
          <w:lang w:val="en-US"/>
        </w:rPr>
        <w:t xml:space="preserve"> following ratification of th</w:t>
      </w:r>
      <w:r w:rsidR="00111C5B">
        <w:rPr>
          <w:lang w:val="en-US"/>
        </w:rPr>
        <w:t>e</w:t>
      </w:r>
      <w:r w:rsidRPr="00F044DF">
        <w:rPr>
          <w:lang w:val="en-US"/>
        </w:rPr>
        <w:t xml:space="preserve"> report.</w:t>
      </w:r>
    </w:p>
    <w:p w14:paraId="50FE11E4" w14:textId="3E012A2D" w:rsidR="00111C5B" w:rsidRDefault="00111C5B" w:rsidP="00111C5B">
      <w:pPr>
        <w:ind w:left="62"/>
        <w:rPr>
          <w:lang w:val="en-US"/>
        </w:rPr>
      </w:pPr>
    </w:p>
    <w:p w14:paraId="4DBBCBBA" w14:textId="64A9BF5B" w:rsidR="00111C5B" w:rsidRDefault="00111C5B" w:rsidP="00111C5B">
      <w:pPr>
        <w:ind w:left="62"/>
        <w:rPr>
          <w:lang w:val="en-US"/>
        </w:rPr>
      </w:pPr>
      <w:r>
        <w:rPr>
          <w:lang w:val="en-US"/>
        </w:rPr>
        <w:t xml:space="preserve">RECOMMENDED that the report is noted.   </w:t>
      </w:r>
    </w:p>
    <w:p w14:paraId="5F1EDFD2" w14:textId="1FF8FAE4" w:rsidR="00AE3FFF" w:rsidRDefault="00AE3FFF" w:rsidP="00111C5B">
      <w:pPr>
        <w:ind w:left="62"/>
        <w:rPr>
          <w:lang w:val="en-US"/>
        </w:rPr>
      </w:pPr>
    </w:p>
    <w:p w14:paraId="28093507" w14:textId="5A524090" w:rsidR="006F312B" w:rsidRDefault="007D6E26" w:rsidP="00111C5B">
      <w:pPr>
        <w:ind w:left="62"/>
        <w:rPr>
          <w:lang w:val="en-US"/>
        </w:rPr>
      </w:pPr>
      <w:r>
        <w:rPr>
          <w:lang w:val="en-US"/>
        </w:rPr>
        <w:t>Councillor</w:t>
      </w:r>
      <w:r w:rsidR="00AE3FFF">
        <w:rPr>
          <w:lang w:val="en-US"/>
        </w:rPr>
        <w:t xml:space="preserve"> Greer </w:t>
      </w:r>
      <w:r w:rsidR="006F312B">
        <w:rPr>
          <w:lang w:val="en-US"/>
        </w:rPr>
        <w:t xml:space="preserve">made an </w:t>
      </w:r>
      <w:r w:rsidR="00AE3FFF">
        <w:rPr>
          <w:lang w:val="en-US"/>
        </w:rPr>
        <w:t xml:space="preserve">observation </w:t>
      </w:r>
      <w:r w:rsidR="006F312B">
        <w:rPr>
          <w:lang w:val="en-US"/>
        </w:rPr>
        <w:t>in relation to the high tonnage that the Council was sending to landfill and she was aware that the Director of Environment was discussing that with party groups a</w:t>
      </w:r>
      <w:r w:rsidR="009C492A">
        <w:rPr>
          <w:lang w:val="en-US"/>
        </w:rPr>
        <w:t xml:space="preserve">long with </w:t>
      </w:r>
      <w:r w:rsidR="006F312B">
        <w:rPr>
          <w:lang w:val="en-US"/>
        </w:rPr>
        <w:t xml:space="preserve">potential solutions to that problem.  She asked when further information would be brought back to the Environment Committee.  The Chief Executive reported that consultations would take place over the coming weeks with a view to bringing back a report to the </w:t>
      </w:r>
      <w:r w:rsidR="00EA3A22">
        <w:rPr>
          <w:lang w:val="en-US"/>
        </w:rPr>
        <w:t xml:space="preserve">Environment </w:t>
      </w:r>
      <w:r w:rsidR="006F312B">
        <w:rPr>
          <w:lang w:val="en-US"/>
        </w:rPr>
        <w:t xml:space="preserve">Committee in September.  </w:t>
      </w:r>
    </w:p>
    <w:p w14:paraId="43CA81BE" w14:textId="77777777" w:rsidR="006F312B" w:rsidRDefault="006F312B" w:rsidP="00111C5B">
      <w:pPr>
        <w:ind w:left="62"/>
        <w:rPr>
          <w:lang w:val="en-US"/>
        </w:rPr>
      </w:pPr>
    </w:p>
    <w:p w14:paraId="6C38E437" w14:textId="2B629479" w:rsidR="001F1ECF" w:rsidRPr="001F1ECF" w:rsidRDefault="001F1ECF" w:rsidP="001F1ECF">
      <w:pPr>
        <w:rPr>
          <w:b/>
        </w:rPr>
      </w:pPr>
      <w:r>
        <w:rPr>
          <w:b/>
        </w:rPr>
        <w:t>AGREED TO RECOMMEND, on the proposal of</w:t>
      </w:r>
      <w:r w:rsidR="00C47246">
        <w:rPr>
          <w:b/>
        </w:rPr>
        <w:t xml:space="preserve"> </w:t>
      </w:r>
      <w:r w:rsidR="000D72DE">
        <w:rPr>
          <w:b/>
        </w:rPr>
        <w:t>Alderman Armstrong-Cotter,</w:t>
      </w:r>
      <w:r>
        <w:rPr>
          <w:b/>
        </w:rPr>
        <w:t xml:space="preserve"> seconded by </w:t>
      </w:r>
      <w:r w:rsidR="000D72DE">
        <w:rPr>
          <w:b/>
        </w:rPr>
        <w:t>Councillor Greer</w:t>
      </w:r>
      <w:r>
        <w:rPr>
          <w:b/>
        </w:rPr>
        <w:t>, that the recommendation be adopted.</w:t>
      </w:r>
    </w:p>
    <w:p w14:paraId="4DE7FA55" w14:textId="77777777" w:rsidR="00823D43" w:rsidRDefault="00823D43" w:rsidP="00823D43"/>
    <w:p w14:paraId="5BB54946" w14:textId="4B965DA2" w:rsidR="001F1ECF" w:rsidRPr="001F1ECF" w:rsidRDefault="00746CE0" w:rsidP="000766E9">
      <w:pPr>
        <w:pStyle w:val="Heading1"/>
      </w:pPr>
      <w:r w:rsidRPr="000766E9">
        <w:rPr>
          <w:u w:val="none"/>
        </w:rPr>
        <w:t>7</w:t>
      </w:r>
      <w:r w:rsidR="00823D43" w:rsidRPr="000766E9">
        <w:rPr>
          <w:u w:val="none"/>
        </w:rPr>
        <w:t>.</w:t>
      </w:r>
      <w:r w:rsidR="00823D43" w:rsidRPr="000766E9">
        <w:rPr>
          <w:u w:val="none"/>
        </w:rPr>
        <w:tab/>
      </w:r>
      <w:r w:rsidR="00E90A02">
        <w:t xml:space="preserve">corporate governance </w:t>
      </w:r>
    </w:p>
    <w:p w14:paraId="0DD2CCB2" w14:textId="54C8FAFD" w:rsidR="00823D43" w:rsidRPr="000228CA" w:rsidRDefault="00823D43" w:rsidP="000766E9"/>
    <w:p w14:paraId="6B037E29" w14:textId="31F392B8" w:rsidR="00823D43" w:rsidRPr="00A048A9" w:rsidRDefault="00E90A02" w:rsidP="00976E03">
      <w:pPr>
        <w:pStyle w:val="Heading2"/>
        <w:numPr>
          <w:ilvl w:val="0"/>
          <w:numId w:val="44"/>
        </w:numPr>
        <w:ind w:hanging="720"/>
      </w:pPr>
      <w:r>
        <w:t>Annual Statements of Assurance</w:t>
      </w:r>
    </w:p>
    <w:p w14:paraId="4052B24D" w14:textId="77777777" w:rsidR="001F1ECF" w:rsidRDefault="001F1ECF" w:rsidP="001F1ECF">
      <w:pPr>
        <w:rPr>
          <w:b/>
          <w:bCs/>
          <w:u w:val="single"/>
        </w:rPr>
      </w:pPr>
    </w:p>
    <w:p w14:paraId="5A6916AA" w14:textId="0EB8AF9D" w:rsidR="006F312B" w:rsidRDefault="001F1ECF" w:rsidP="00D92610">
      <w:r>
        <w:t xml:space="preserve">PREVIOUSLY CIRCULATED:- Report </w:t>
      </w:r>
      <w:r w:rsidR="00A048A9">
        <w:t xml:space="preserve">from Director of </w:t>
      </w:r>
      <w:r w:rsidR="00111C5B">
        <w:t xml:space="preserve">Organisational Development and Administration detailing that </w:t>
      </w:r>
      <w:r w:rsidR="008542AB">
        <w:t>i</w:t>
      </w:r>
      <w:r w:rsidR="00111C5B">
        <w:rPr>
          <w:rFonts w:cs="Arial"/>
        </w:rPr>
        <w:t>n accordance with the Council’s Risk Management Strategy</w:t>
      </w:r>
      <w:r w:rsidR="003836E4">
        <w:rPr>
          <w:rFonts w:cs="Arial"/>
        </w:rPr>
        <w:t>,</w:t>
      </w:r>
      <w:r w:rsidR="00111C5B">
        <w:rPr>
          <w:rFonts w:cs="Arial"/>
        </w:rPr>
        <w:t xml:space="preserve"> Heads of Service </w:t>
      </w:r>
      <w:r w:rsidR="008542AB">
        <w:rPr>
          <w:rFonts w:cs="Arial"/>
        </w:rPr>
        <w:t>we</w:t>
      </w:r>
      <w:r w:rsidR="00111C5B">
        <w:rPr>
          <w:rFonts w:cs="Arial"/>
        </w:rPr>
        <w:t xml:space="preserve">re required to provide Statements of Assurance.  </w:t>
      </w:r>
      <w:r w:rsidR="00111C5B">
        <w:t>Assurance Statements comprise</w:t>
      </w:r>
      <w:r w:rsidR="008542AB">
        <w:t>d</w:t>
      </w:r>
      <w:r w:rsidR="00111C5B">
        <w:t xml:space="preserve"> 4 main sections to be completed by each Head of Service following consultation with each of their Service Units</w:t>
      </w:r>
      <w:r w:rsidR="008542AB">
        <w:t xml:space="preserve">.  </w:t>
      </w:r>
      <w:r w:rsidR="00111C5B">
        <w:t>Period of this report, 1 October 2021 - 31 March 2022.  One statement for remain</w:t>
      </w:r>
      <w:r w:rsidR="008542AB">
        <w:t>ed</w:t>
      </w:r>
      <w:r w:rsidR="00111C5B">
        <w:t xml:space="preserve"> outstanding.</w:t>
      </w:r>
    </w:p>
    <w:p w14:paraId="0B2F036B" w14:textId="77777777" w:rsidR="00D92610" w:rsidRDefault="00D92610" w:rsidP="00D92610"/>
    <w:p w14:paraId="73E1B3DB" w14:textId="242E104E" w:rsidR="00111C5B" w:rsidRDefault="00111C5B" w:rsidP="00D92610">
      <w:pPr>
        <w:rPr>
          <w:rFonts w:cs="Arial"/>
          <w:b/>
          <w:sz w:val="28"/>
          <w:szCs w:val="28"/>
        </w:rPr>
      </w:pPr>
      <w:r w:rsidRPr="00997414">
        <w:rPr>
          <w:rFonts w:cs="Arial"/>
          <w:b/>
          <w:sz w:val="28"/>
          <w:szCs w:val="28"/>
        </w:rPr>
        <w:t>Findings</w:t>
      </w:r>
    </w:p>
    <w:p w14:paraId="16345528" w14:textId="77777777" w:rsidR="00976E03" w:rsidRPr="00976E03" w:rsidRDefault="00976E03" w:rsidP="00D92610">
      <w:pPr>
        <w:rPr>
          <w:rFonts w:cs="Arial"/>
          <w:b/>
        </w:rPr>
      </w:pPr>
    </w:p>
    <w:p w14:paraId="34BDBD0A" w14:textId="77777777" w:rsidR="00111C5B" w:rsidRPr="005879FB" w:rsidRDefault="00111C5B" w:rsidP="00D92610">
      <w:pPr>
        <w:outlineLvl w:val="0"/>
        <w:rPr>
          <w:rFonts w:cs="Arial"/>
          <w:b/>
          <w:u w:val="single"/>
        </w:rPr>
      </w:pPr>
      <w:r w:rsidRPr="005879FB">
        <w:rPr>
          <w:rFonts w:cs="Arial"/>
          <w:b/>
          <w:u w:val="single"/>
        </w:rPr>
        <w:t>General – Identification of Risk, Monitoring  and Control measures</w:t>
      </w:r>
    </w:p>
    <w:p w14:paraId="6E09F26F" w14:textId="3A55C2F5" w:rsidR="00111C5B" w:rsidRPr="005879FB" w:rsidRDefault="00111C5B" w:rsidP="00D92610">
      <w:pPr>
        <w:rPr>
          <w:rFonts w:cs="Arial"/>
        </w:rPr>
      </w:pPr>
      <w:r w:rsidRPr="005879FB">
        <w:rPr>
          <w:rFonts w:cs="Arial"/>
        </w:rPr>
        <w:t>No key issues ha</w:t>
      </w:r>
      <w:r w:rsidR="00CB2FD2">
        <w:rPr>
          <w:rFonts w:cs="Arial"/>
        </w:rPr>
        <w:t>d</w:t>
      </w:r>
      <w:r w:rsidRPr="005879FB">
        <w:rPr>
          <w:rFonts w:cs="Arial"/>
        </w:rPr>
        <w:t xml:space="preserve"> been declared as not having appropriate internal controls in place. </w:t>
      </w:r>
      <w:r w:rsidR="00CB2FD2">
        <w:rPr>
          <w:rFonts w:cs="Arial"/>
        </w:rPr>
        <w:t xml:space="preserve"> </w:t>
      </w:r>
      <w:r w:rsidRPr="005879FB">
        <w:rPr>
          <w:rFonts w:cs="Arial"/>
        </w:rPr>
        <w:t>All Services ha</w:t>
      </w:r>
      <w:r w:rsidR="00CB2FD2">
        <w:rPr>
          <w:rFonts w:cs="Arial"/>
        </w:rPr>
        <w:t>d</w:t>
      </w:r>
      <w:r w:rsidRPr="005879FB">
        <w:rPr>
          <w:rFonts w:cs="Arial"/>
        </w:rPr>
        <w:t xml:space="preserve"> confirmed that any risks identified ha</w:t>
      </w:r>
      <w:r w:rsidR="00CB2FD2">
        <w:rPr>
          <w:rFonts w:cs="Arial"/>
        </w:rPr>
        <w:t>d</w:t>
      </w:r>
      <w:r w:rsidRPr="005879FB">
        <w:rPr>
          <w:rFonts w:cs="Arial"/>
        </w:rPr>
        <w:t xml:space="preserve"> appropriate internal controls and any further actions taken, or to be taken, to adequately mitigate or resolve the risk ha</w:t>
      </w:r>
      <w:r w:rsidR="00CB2FD2">
        <w:rPr>
          <w:rFonts w:cs="Arial"/>
        </w:rPr>
        <w:t>d</w:t>
      </w:r>
      <w:r w:rsidRPr="005879FB">
        <w:rPr>
          <w:rFonts w:cs="Arial"/>
        </w:rPr>
        <w:t xml:space="preserve"> been identified.</w:t>
      </w:r>
    </w:p>
    <w:p w14:paraId="0EA6894F" w14:textId="77777777" w:rsidR="00111C5B" w:rsidRPr="00A00169" w:rsidRDefault="00111C5B" w:rsidP="00111C5B">
      <w:pPr>
        <w:rPr>
          <w:rFonts w:cs="Arial"/>
          <w:highlight w:val="yellow"/>
        </w:rPr>
      </w:pPr>
    </w:p>
    <w:p w14:paraId="25EE4E47" w14:textId="77777777" w:rsidR="00111C5B" w:rsidRPr="00CB2FD2" w:rsidRDefault="00111C5B" w:rsidP="00111C5B">
      <w:pPr>
        <w:rPr>
          <w:b/>
          <w:u w:val="single"/>
        </w:rPr>
      </w:pPr>
      <w:r w:rsidRPr="00CB2FD2">
        <w:rPr>
          <w:b/>
          <w:u w:val="single"/>
        </w:rPr>
        <w:t>Brexit and COVID 19 Pandemic Impacts</w:t>
      </w:r>
    </w:p>
    <w:p w14:paraId="423DC492" w14:textId="72542A4A" w:rsidR="00111C5B" w:rsidRPr="00A71DC7" w:rsidRDefault="00111C5B" w:rsidP="00111C5B">
      <w:r w:rsidRPr="009F436B">
        <w:t>The impacts of both th</w:t>
      </w:r>
      <w:r w:rsidR="00CB2FD2">
        <w:t>o</w:t>
      </w:r>
      <w:r w:rsidRPr="009F436B">
        <w:t>se issues ha</w:t>
      </w:r>
      <w:r w:rsidR="00CB2FD2">
        <w:t>d</w:t>
      </w:r>
      <w:r w:rsidRPr="009F436B">
        <w:t xml:space="preserve"> been previously reported</w:t>
      </w:r>
      <w:r w:rsidR="00CB2FD2">
        <w:t xml:space="preserve">.  </w:t>
      </w:r>
      <w:r w:rsidRPr="009F436B">
        <w:t>Actual and potential impacts, primarily financial and demands affecting staff</w:t>
      </w:r>
      <w:r>
        <w:t xml:space="preserve">, </w:t>
      </w:r>
      <w:r w:rsidRPr="009F436B">
        <w:t xml:space="preserve">and/or </w:t>
      </w:r>
      <w:r>
        <w:t>s</w:t>
      </w:r>
      <w:r w:rsidRPr="009F436B">
        <w:t xml:space="preserve">ervice delivery, </w:t>
      </w:r>
      <w:r w:rsidR="00CB2FD2">
        <w:t>we</w:t>
      </w:r>
      <w:r w:rsidRPr="009F436B">
        <w:t xml:space="preserve">re reported across the Statements of Assurance. </w:t>
      </w:r>
      <w:r>
        <w:t xml:space="preserve"> </w:t>
      </w:r>
    </w:p>
    <w:p w14:paraId="56AAF984" w14:textId="77777777" w:rsidR="00111C5B" w:rsidRPr="00A00169" w:rsidRDefault="00111C5B" w:rsidP="00111C5B">
      <w:pPr>
        <w:rPr>
          <w:highlight w:val="yellow"/>
        </w:rPr>
      </w:pPr>
    </w:p>
    <w:p w14:paraId="78332D0B" w14:textId="77777777" w:rsidR="00111C5B" w:rsidRPr="00997414" w:rsidRDefault="00111C5B" w:rsidP="00111C5B">
      <w:pPr>
        <w:outlineLvl w:val="0"/>
        <w:rPr>
          <w:rFonts w:cs="Arial"/>
          <w:b/>
          <w:u w:val="single"/>
        </w:rPr>
      </w:pPr>
      <w:r w:rsidRPr="00997414">
        <w:rPr>
          <w:rFonts w:cs="Arial"/>
          <w:b/>
          <w:u w:val="single"/>
        </w:rPr>
        <w:t xml:space="preserve">Section 1 – Strategic and Operational Risk Management </w:t>
      </w:r>
    </w:p>
    <w:p w14:paraId="5E53F502" w14:textId="48DFF4AC" w:rsidR="00111C5B" w:rsidRDefault="00111C5B" w:rsidP="00111C5B">
      <w:pPr>
        <w:rPr>
          <w:rFonts w:cs="Arial"/>
        </w:rPr>
      </w:pPr>
      <w:r>
        <w:t>Services report</w:t>
      </w:r>
      <w:r w:rsidR="00CB2FD2">
        <w:t>ed</w:t>
      </w:r>
      <w:r>
        <w:t xml:space="preserve"> </w:t>
      </w:r>
      <w:r>
        <w:rPr>
          <w:rFonts w:cs="Arial"/>
        </w:rPr>
        <w:t xml:space="preserve">appropriate controls </w:t>
      </w:r>
      <w:r w:rsidR="00CB2FD2">
        <w:rPr>
          <w:rFonts w:cs="Arial"/>
        </w:rPr>
        <w:t>we</w:t>
      </w:r>
      <w:r>
        <w:rPr>
          <w:rFonts w:cs="Arial"/>
        </w:rPr>
        <w:t>re currently in place and ha</w:t>
      </w:r>
      <w:r w:rsidR="00CB2FD2">
        <w:rPr>
          <w:rFonts w:cs="Arial"/>
        </w:rPr>
        <w:t>d</w:t>
      </w:r>
      <w:r>
        <w:rPr>
          <w:rFonts w:cs="Arial"/>
        </w:rPr>
        <w:t xml:space="preserve"> identified satisfactory actions to review, monitor, control, mitigate and resolve issues, where appropriate. </w:t>
      </w:r>
    </w:p>
    <w:p w14:paraId="55EB2ADD" w14:textId="77777777" w:rsidR="00111C5B" w:rsidRDefault="00111C5B" w:rsidP="00111C5B">
      <w:pPr>
        <w:rPr>
          <w:rFonts w:cs="Arial"/>
        </w:rPr>
      </w:pPr>
    </w:p>
    <w:p w14:paraId="39D831A8" w14:textId="6195F20A" w:rsidR="00111C5B" w:rsidRDefault="00111C5B" w:rsidP="00111C5B">
      <w:pPr>
        <w:rPr>
          <w:rFonts w:cs="Arial"/>
        </w:rPr>
      </w:pPr>
      <w:r>
        <w:rPr>
          <w:rFonts w:cs="Arial"/>
        </w:rPr>
        <w:t>The Waste and Cleansing Service ha</w:t>
      </w:r>
      <w:r w:rsidR="00CB2FD2">
        <w:rPr>
          <w:rFonts w:cs="Arial"/>
        </w:rPr>
        <w:t>d</w:t>
      </w:r>
      <w:r>
        <w:rPr>
          <w:rFonts w:cs="Arial"/>
        </w:rPr>
        <w:t xml:space="preserve"> reported that a significant financial liability risk remain</w:t>
      </w:r>
      <w:r w:rsidR="00CB2FD2">
        <w:rPr>
          <w:rFonts w:cs="Arial"/>
        </w:rPr>
        <w:t>ed</w:t>
      </w:r>
      <w:r>
        <w:rPr>
          <w:rFonts w:cs="Arial"/>
        </w:rPr>
        <w:t xml:space="preserve"> if the bidding process for the Residual Waste Treatment project </w:t>
      </w:r>
      <w:r w:rsidR="00CB2FD2">
        <w:rPr>
          <w:rFonts w:cs="Arial"/>
        </w:rPr>
        <w:t>wa</w:t>
      </w:r>
      <w:r>
        <w:rPr>
          <w:rFonts w:cs="Arial"/>
        </w:rPr>
        <w:t xml:space="preserve">s collapsed by the client (arc21). Planning permission was recently refused by the DFI Minister and legal advice </w:t>
      </w:r>
      <w:r w:rsidR="00CB2FD2">
        <w:rPr>
          <w:rFonts w:cs="Arial"/>
        </w:rPr>
        <w:t>wa</w:t>
      </w:r>
      <w:r>
        <w:rPr>
          <w:rFonts w:cs="Arial"/>
        </w:rPr>
        <w:t>s currently being sought on whether to challenge the validity of the decision</w:t>
      </w:r>
      <w:r w:rsidR="00CB2FD2">
        <w:rPr>
          <w:rFonts w:cs="Arial"/>
        </w:rPr>
        <w:t xml:space="preserve">.  </w:t>
      </w:r>
      <w:r>
        <w:rPr>
          <w:rFonts w:cs="Arial"/>
        </w:rPr>
        <w:t>All of th</w:t>
      </w:r>
      <w:r w:rsidR="00CB2FD2">
        <w:rPr>
          <w:rFonts w:cs="Arial"/>
        </w:rPr>
        <w:t>at</w:t>
      </w:r>
      <w:r>
        <w:rPr>
          <w:rFonts w:cs="Arial"/>
        </w:rPr>
        <w:t xml:space="preserve"> ha</w:t>
      </w:r>
      <w:r w:rsidR="00CB2FD2">
        <w:rPr>
          <w:rFonts w:cs="Arial"/>
        </w:rPr>
        <w:t>d</w:t>
      </w:r>
      <w:r>
        <w:rPr>
          <w:rFonts w:cs="Arial"/>
        </w:rPr>
        <w:t xml:space="preserve"> significant implications for the future of arc21, in terms of delivering infrastructure for member councils.</w:t>
      </w:r>
    </w:p>
    <w:p w14:paraId="35F5DDE9" w14:textId="77777777" w:rsidR="00111C5B" w:rsidRDefault="00111C5B" w:rsidP="00111C5B">
      <w:pPr>
        <w:rPr>
          <w:rFonts w:cs="Arial"/>
        </w:rPr>
      </w:pPr>
    </w:p>
    <w:p w14:paraId="344F125B" w14:textId="72062466" w:rsidR="00111C5B" w:rsidRDefault="00111C5B" w:rsidP="00111C5B">
      <w:pPr>
        <w:rPr>
          <w:rFonts w:cs="Arial"/>
        </w:rPr>
      </w:pPr>
      <w:r w:rsidRPr="00655754">
        <w:rPr>
          <w:rFonts w:cs="Arial"/>
        </w:rPr>
        <w:t>The Leisure Service ha</w:t>
      </w:r>
      <w:r w:rsidR="00CB2FD2">
        <w:rPr>
          <w:rFonts w:cs="Arial"/>
        </w:rPr>
        <w:t>d</w:t>
      </w:r>
      <w:r w:rsidRPr="00655754">
        <w:rPr>
          <w:rFonts w:cs="Arial"/>
        </w:rPr>
        <w:t xml:space="preserve"> reported that the current insourcing exercise being undertaken for North Down Leisure </w:t>
      </w:r>
      <w:r w:rsidR="00CB2FD2">
        <w:rPr>
          <w:rFonts w:cs="Arial"/>
        </w:rPr>
        <w:t>wa</w:t>
      </w:r>
      <w:r w:rsidRPr="00655754">
        <w:rPr>
          <w:rFonts w:cs="Arial"/>
        </w:rPr>
        <w:t xml:space="preserve">s greatly adding to the workload of the management team. </w:t>
      </w:r>
      <w:r w:rsidR="00CB2FD2">
        <w:rPr>
          <w:rFonts w:cs="Arial"/>
        </w:rPr>
        <w:t xml:space="preserve"> </w:t>
      </w:r>
      <w:r w:rsidRPr="00655754">
        <w:rPr>
          <w:rFonts w:cs="Arial"/>
        </w:rPr>
        <w:t>Additional leisure and human resourcing staff ha</w:t>
      </w:r>
      <w:r w:rsidR="00CB2FD2">
        <w:rPr>
          <w:rFonts w:cs="Arial"/>
        </w:rPr>
        <w:t>d</w:t>
      </w:r>
      <w:r w:rsidRPr="00655754">
        <w:rPr>
          <w:rFonts w:cs="Arial"/>
        </w:rPr>
        <w:t xml:space="preserve"> been recruited along with the retention of specialist consultancy services to assist in th</w:t>
      </w:r>
      <w:r w:rsidR="00CB2FD2">
        <w:rPr>
          <w:rFonts w:cs="Arial"/>
        </w:rPr>
        <w:t>at</w:t>
      </w:r>
      <w:r w:rsidRPr="00655754">
        <w:rPr>
          <w:rFonts w:cs="Arial"/>
        </w:rPr>
        <w:t xml:space="preserve"> process.</w:t>
      </w:r>
    </w:p>
    <w:p w14:paraId="587FF750" w14:textId="77777777" w:rsidR="00111C5B" w:rsidRDefault="00111C5B" w:rsidP="00111C5B">
      <w:pPr>
        <w:rPr>
          <w:rFonts w:cs="Arial"/>
        </w:rPr>
      </w:pPr>
    </w:p>
    <w:p w14:paraId="403F9220" w14:textId="77777777" w:rsidR="00111C5B" w:rsidRPr="00997414" w:rsidRDefault="00111C5B" w:rsidP="00111C5B">
      <w:pPr>
        <w:outlineLvl w:val="0"/>
        <w:rPr>
          <w:rFonts w:cs="Arial"/>
          <w:b/>
          <w:u w:val="single"/>
        </w:rPr>
      </w:pPr>
      <w:r w:rsidRPr="00997414">
        <w:rPr>
          <w:rFonts w:cs="Arial"/>
          <w:b/>
          <w:u w:val="single"/>
        </w:rPr>
        <w:t>Section 2 – Internal Control</w:t>
      </w:r>
    </w:p>
    <w:p w14:paraId="61D5BC33" w14:textId="74F83435" w:rsidR="00111C5B" w:rsidRDefault="00111C5B" w:rsidP="00111C5B">
      <w:pPr>
        <w:rPr>
          <w:rFonts w:cs="Arial"/>
        </w:rPr>
      </w:pPr>
      <w:r>
        <w:rPr>
          <w:rFonts w:cs="Arial"/>
        </w:rPr>
        <w:t xml:space="preserve">Generally, there </w:t>
      </w:r>
      <w:r w:rsidR="00CB2FD2">
        <w:rPr>
          <w:rFonts w:cs="Arial"/>
        </w:rPr>
        <w:t>we</w:t>
      </w:r>
      <w:r>
        <w:rPr>
          <w:rFonts w:cs="Arial"/>
        </w:rPr>
        <w:t xml:space="preserve">re no key issues arising to cause significant concern or requiring immediate action. </w:t>
      </w:r>
    </w:p>
    <w:p w14:paraId="5FA1E3EA" w14:textId="77777777" w:rsidR="00111C5B" w:rsidRDefault="00111C5B" w:rsidP="00111C5B">
      <w:pPr>
        <w:rPr>
          <w:rFonts w:cs="Arial"/>
        </w:rPr>
      </w:pPr>
    </w:p>
    <w:p w14:paraId="60B17DB8" w14:textId="70625F45" w:rsidR="00111C5B" w:rsidRDefault="00111C5B" w:rsidP="00111C5B">
      <w:r>
        <w:rPr>
          <w:rFonts w:cs="Arial"/>
        </w:rPr>
        <w:t xml:space="preserve">Progress on Audit findings </w:t>
      </w:r>
      <w:r w:rsidR="00CB2FD2">
        <w:rPr>
          <w:rFonts w:cs="Arial"/>
        </w:rPr>
        <w:t>was</w:t>
      </w:r>
      <w:r>
        <w:rPr>
          <w:rFonts w:cs="Arial"/>
        </w:rPr>
        <w:t xml:space="preserve"> reported to </w:t>
      </w:r>
      <w:r w:rsidR="00B31F10">
        <w:rPr>
          <w:rFonts w:cs="Arial"/>
        </w:rPr>
        <w:t xml:space="preserve">the </w:t>
      </w:r>
      <w:r>
        <w:rPr>
          <w:rFonts w:cs="Arial"/>
        </w:rPr>
        <w:t xml:space="preserve">Committee separately, although they </w:t>
      </w:r>
      <w:r w:rsidR="00CB2FD2">
        <w:rPr>
          <w:rFonts w:cs="Arial"/>
        </w:rPr>
        <w:t>we</w:t>
      </w:r>
      <w:r>
        <w:rPr>
          <w:rFonts w:cs="Arial"/>
        </w:rPr>
        <w:t>re reflected in the Assurance Statements.  Services ha</w:t>
      </w:r>
      <w:r w:rsidR="00CB2FD2">
        <w:rPr>
          <w:rFonts w:cs="Arial"/>
        </w:rPr>
        <w:t>d</w:t>
      </w:r>
      <w:r>
        <w:rPr>
          <w:rFonts w:cs="Arial"/>
        </w:rPr>
        <w:t xml:space="preserve"> recorded progress and plans to complete outstanding audit actions.  </w:t>
      </w:r>
      <w:r>
        <w:t xml:space="preserve">Outstanding audit recommendations for </w:t>
      </w:r>
      <w:r w:rsidRPr="001E2994">
        <w:t>four</w:t>
      </w:r>
      <w:r>
        <w:t xml:space="preserve"> services </w:t>
      </w:r>
      <w:r w:rsidR="00CB2FD2">
        <w:t>we</w:t>
      </w:r>
      <w:r>
        <w:t xml:space="preserve">re noted here. </w:t>
      </w:r>
    </w:p>
    <w:p w14:paraId="1430E366" w14:textId="77777777" w:rsidR="00111C5B" w:rsidRDefault="00111C5B" w:rsidP="00111C5B"/>
    <w:p w14:paraId="32907495" w14:textId="4546596E" w:rsidR="00111C5B" w:rsidRDefault="00111C5B" w:rsidP="00111C5B">
      <w:r>
        <w:t>The Communications and Marketing Service unit ha</w:t>
      </w:r>
      <w:r w:rsidR="00CB2FD2">
        <w:t>d</w:t>
      </w:r>
      <w:r>
        <w:t xml:space="preserve"> two outstanding Priority 2 findings and one outstanding Priority 3 finding related to the Social Media Audit conducted in 2021, </w:t>
      </w:r>
      <w:r w:rsidR="00CB2FD2">
        <w:t xml:space="preserve">and </w:t>
      </w:r>
      <w:r>
        <w:t>th</w:t>
      </w:r>
      <w:r w:rsidR="00CB2FD2">
        <w:t>o</w:t>
      </w:r>
      <w:r>
        <w:t xml:space="preserve">se </w:t>
      </w:r>
      <w:r w:rsidR="00CB2FD2">
        <w:t>we</w:t>
      </w:r>
      <w:r>
        <w:t>re being addressed.</w:t>
      </w:r>
    </w:p>
    <w:p w14:paraId="6AD53844" w14:textId="77777777" w:rsidR="00111C5B" w:rsidRDefault="00111C5B" w:rsidP="00111C5B"/>
    <w:p w14:paraId="10DC7521" w14:textId="202E8111" w:rsidR="00111C5B" w:rsidRDefault="00111C5B" w:rsidP="00111C5B">
      <w:r>
        <w:t>Strategic Transformation and Performance ha</w:t>
      </w:r>
      <w:r w:rsidR="00B31F10">
        <w:t>d</w:t>
      </w:r>
      <w:r>
        <w:t xml:space="preserve"> three Priority 1 findings, two Priority 2 findings and four Priority 3 findings raised by the Business Continuity and Disaster Recovery Audit and the Business Technology Audit, all th</w:t>
      </w:r>
      <w:r w:rsidR="00B31F10">
        <w:t>o</w:t>
      </w:r>
      <w:r>
        <w:t xml:space="preserve">se findings </w:t>
      </w:r>
      <w:r w:rsidR="00B31F10">
        <w:t>we</w:t>
      </w:r>
      <w:r>
        <w:t>re being progressed through an action plan.</w:t>
      </w:r>
    </w:p>
    <w:p w14:paraId="7486202B" w14:textId="77777777" w:rsidR="00111C5B" w:rsidRDefault="00111C5B" w:rsidP="00111C5B"/>
    <w:p w14:paraId="588CFFC4" w14:textId="22074FD5" w:rsidR="00111C5B" w:rsidRDefault="00111C5B" w:rsidP="00111C5B">
      <w:pPr>
        <w:rPr>
          <w:rFonts w:cs="Arial"/>
        </w:rPr>
      </w:pPr>
      <w:r>
        <w:t>Community and Culture Service ha</w:t>
      </w:r>
      <w:r w:rsidR="00B31F10">
        <w:t>d</w:t>
      </w:r>
      <w:r>
        <w:t xml:space="preserve"> two priority 2 findings related to improving the documentation for PCSP grant claims with regards to when a non-standard </w:t>
      </w:r>
      <w:r>
        <w:lastRenderedPageBreak/>
        <w:t xml:space="preserve">approach to grant claims </w:t>
      </w:r>
      <w:r w:rsidR="00B31F10">
        <w:t>wa</w:t>
      </w:r>
      <w:r>
        <w:t xml:space="preserve">s appropriate and to ensure that management approval </w:t>
      </w:r>
      <w:r w:rsidR="00B31F10">
        <w:t>wa</w:t>
      </w:r>
      <w:r>
        <w:t>s documented for variations in grant claim timetables</w:t>
      </w:r>
      <w:r w:rsidRPr="002C2F7B">
        <w:rPr>
          <w:rFonts w:cs="Arial"/>
        </w:rPr>
        <w:t xml:space="preserve">. </w:t>
      </w:r>
      <w:r w:rsidR="00B31F10">
        <w:rPr>
          <w:rFonts w:cs="Arial"/>
        </w:rPr>
        <w:t xml:space="preserve"> </w:t>
      </w:r>
      <w:r>
        <w:rPr>
          <w:rFonts w:cs="Arial"/>
        </w:rPr>
        <w:t>In addition, the Service also ha</w:t>
      </w:r>
      <w:r w:rsidR="00B31F10">
        <w:rPr>
          <w:rFonts w:cs="Arial"/>
        </w:rPr>
        <w:t>d</w:t>
      </w:r>
      <w:r>
        <w:rPr>
          <w:rFonts w:cs="Arial"/>
        </w:rPr>
        <w:t xml:space="preserve"> 8 priority 3 findings outstanding to be implemented.</w:t>
      </w:r>
    </w:p>
    <w:p w14:paraId="343CDCA5" w14:textId="77777777" w:rsidR="00111C5B" w:rsidRDefault="00111C5B" w:rsidP="00111C5B">
      <w:pPr>
        <w:rPr>
          <w:rFonts w:cs="Arial"/>
        </w:rPr>
      </w:pPr>
    </w:p>
    <w:p w14:paraId="1DE962A3" w14:textId="2BB80380" w:rsidR="00111C5B" w:rsidRDefault="00111C5B" w:rsidP="00111C5B">
      <w:r>
        <w:t>Finance Service ha</w:t>
      </w:r>
      <w:r w:rsidR="00B31F10">
        <w:t>d</w:t>
      </w:r>
      <w:r>
        <w:t xml:space="preserve"> recorded one outstanding Priority 1 Audit finding relating to the provision of an Asset Management Policy, in addition there </w:t>
      </w:r>
      <w:r w:rsidR="00B31F10">
        <w:t>we</w:t>
      </w:r>
      <w:r>
        <w:t>re seven Priority 2 findings and two Priority 3 findings which ha</w:t>
      </w:r>
      <w:r w:rsidR="00B31F10">
        <w:t>d</w:t>
      </w:r>
      <w:r>
        <w:t xml:space="preserve"> not been able to be progressed due to the Covid-19 response and a lack of staff resources to influence policy review and development.  In addition to th</w:t>
      </w:r>
      <w:r w:rsidR="00B31F10">
        <w:t>o</w:t>
      </w:r>
      <w:r>
        <w:t xml:space="preserve">se there </w:t>
      </w:r>
      <w:r w:rsidR="00B31F10">
        <w:t>we</w:t>
      </w:r>
      <w:r>
        <w:t>re four Priority 2 recommendations and seven Priority 3 findings, progress and plans for completion of th</w:t>
      </w:r>
      <w:r w:rsidR="00FE03ED">
        <w:t>o</w:t>
      </w:r>
      <w:r>
        <w:t xml:space="preserve">se </w:t>
      </w:r>
      <w:r w:rsidR="00FE03ED">
        <w:t>we</w:t>
      </w:r>
      <w:r>
        <w:t>re recorded.</w:t>
      </w:r>
    </w:p>
    <w:p w14:paraId="1D79BFA3" w14:textId="77777777" w:rsidR="00111C5B" w:rsidRDefault="00111C5B" w:rsidP="00111C5B"/>
    <w:p w14:paraId="62B9A16F" w14:textId="5BEC03E1" w:rsidR="00111C5B" w:rsidRDefault="00111C5B" w:rsidP="00111C5B">
      <w:r>
        <w:t>Finance Service ha</w:t>
      </w:r>
      <w:r w:rsidR="00FE03ED">
        <w:t>d</w:t>
      </w:r>
      <w:r>
        <w:t xml:space="preserve"> also noted the absence of new Finance polices as a factor contributing to Internal Control risk.  A business case ha</w:t>
      </w:r>
      <w:r w:rsidR="00FE03ED">
        <w:t>d</w:t>
      </w:r>
      <w:r>
        <w:t xml:space="preserve"> been submitted for additional staffing to progress th</w:t>
      </w:r>
      <w:r w:rsidR="00FE03ED">
        <w:t>o</w:t>
      </w:r>
      <w:r>
        <w:t>se policies.</w:t>
      </w:r>
    </w:p>
    <w:p w14:paraId="06731BA2" w14:textId="77777777" w:rsidR="00111C5B" w:rsidRDefault="00111C5B" w:rsidP="00111C5B"/>
    <w:p w14:paraId="08F7D672" w14:textId="77777777" w:rsidR="00111C5B" w:rsidRPr="003C22BB" w:rsidRDefault="00111C5B" w:rsidP="00111C5B">
      <w:pPr>
        <w:outlineLvl w:val="0"/>
        <w:rPr>
          <w:b/>
          <w:u w:val="single"/>
        </w:rPr>
      </w:pPr>
      <w:r w:rsidRPr="003C22BB">
        <w:rPr>
          <w:b/>
          <w:u w:val="single"/>
        </w:rPr>
        <w:t>Section 3 – Governance</w:t>
      </w:r>
    </w:p>
    <w:p w14:paraId="26EA768F" w14:textId="3850AB01" w:rsidR="00111C5B" w:rsidRDefault="00111C5B" w:rsidP="00111C5B">
      <w:r>
        <w:t>Administration ha</w:t>
      </w:r>
      <w:r w:rsidR="00FE03ED">
        <w:t>d</w:t>
      </w:r>
      <w:r>
        <w:t xml:space="preserve"> reported that complaints monitoring ha</w:t>
      </w:r>
      <w:r w:rsidR="00FE03ED">
        <w:t>d</w:t>
      </w:r>
      <w:r>
        <w:t xml:space="preserve"> revealed that information </w:t>
      </w:r>
      <w:r w:rsidR="00FE03ED">
        <w:t>wa</w:t>
      </w:r>
      <w:r>
        <w:t xml:space="preserve">s not always being appropriately </w:t>
      </w:r>
      <w:r w:rsidRPr="00E9656B">
        <w:t>captured and that, despite formal procedures being in place, officers d</w:t>
      </w:r>
      <w:r w:rsidR="00FE03ED">
        <w:t>id</w:t>
      </w:r>
      <w:r w:rsidRPr="00E9656B">
        <w:t xml:space="preserve"> not meet the expected standards in terms of response times and responsibilities.</w:t>
      </w:r>
      <w:r>
        <w:t xml:space="preserve"> </w:t>
      </w:r>
      <w:r w:rsidR="00FE03ED">
        <w:t xml:space="preserve"> </w:t>
      </w:r>
      <w:r>
        <w:t xml:space="preserve">An action plan </w:t>
      </w:r>
      <w:r w:rsidR="00FE03ED">
        <w:t>wa</w:t>
      </w:r>
      <w:r>
        <w:t>s in place to address th</w:t>
      </w:r>
      <w:r w:rsidR="00FE03ED">
        <w:t>at</w:t>
      </w:r>
      <w:r>
        <w:t xml:space="preserve"> with the increased roll-out of the Te-Care software.</w:t>
      </w:r>
    </w:p>
    <w:p w14:paraId="0BD306B2" w14:textId="77777777" w:rsidR="00111C5B" w:rsidRDefault="00111C5B" w:rsidP="00111C5B"/>
    <w:p w14:paraId="39B49DBA" w14:textId="1E19BB19" w:rsidR="00111C5B" w:rsidRDefault="00111C5B" w:rsidP="00111C5B">
      <w:r>
        <w:t>Assets and Property Services ha</w:t>
      </w:r>
      <w:r w:rsidR="00934575">
        <w:t>d</w:t>
      </w:r>
      <w:r>
        <w:t xml:space="preserve"> reported that due to the recent high volatility in fuel </w:t>
      </w:r>
      <w:r w:rsidRPr="00B63363">
        <w:t>prices a “deemed contract” was</w:t>
      </w:r>
      <w:r>
        <w:t xml:space="preserve"> set up with suppliers in a collective action by councils to secure supply and attempt to achieve a price certainty as far as </w:t>
      </w:r>
      <w:r w:rsidR="00934575">
        <w:t>wa</w:t>
      </w:r>
      <w:r>
        <w:t xml:space="preserve">s practical. Significant overspend </w:t>
      </w:r>
      <w:r w:rsidR="00934575">
        <w:t>wa</w:t>
      </w:r>
      <w:r>
        <w:t>s expected, officers w</w:t>
      </w:r>
      <w:r w:rsidR="00934575">
        <w:t xml:space="preserve">ould </w:t>
      </w:r>
      <w:r>
        <w:t>continue to report to Council on th</w:t>
      </w:r>
      <w:r w:rsidR="00934575">
        <w:t>at</w:t>
      </w:r>
      <w:r>
        <w:t xml:space="preserve"> and explore options. </w:t>
      </w:r>
      <w:r w:rsidR="00934575">
        <w:t xml:space="preserve"> </w:t>
      </w:r>
      <w:r>
        <w:t>In addition, due to unexpected market conditions the sale of electricity from the wind turbine in Balloo Wood Bangor was extended beyond the tender period, the tender w</w:t>
      </w:r>
      <w:r w:rsidR="00934575">
        <w:t>ould b</w:t>
      </w:r>
      <w:r>
        <w:t xml:space="preserve">e revised. </w:t>
      </w:r>
    </w:p>
    <w:p w14:paraId="6113B1D9" w14:textId="77777777" w:rsidR="00111C5B" w:rsidRDefault="00111C5B" w:rsidP="00111C5B"/>
    <w:p w14:paraId="4B9AC466" w14:textId="0BCB02FE" w:rsidR="00111C5B" w:rsidRDefault="00111C5B" w:rsidP="00111C5B">
      <w:r>
        <w:t>The Service ha</w:t>
      </w:r>
      <w:r w:rsidR="00934575">
        <w:t>d</w:t>
      </w:r>
      <w:r>
        <w:t xml:space="preserve"> also reported that due to the pandemic several vehicles were hired from a local business to support waste collections and other activities, th</w:t>
      </w:r>
      <w:r w:rsidR="00934575">
        <w:t>o</w:t>
      </w:r>
      <w:r>
        <w:t>se were hired without the value of the contract being known at the time, but th</w:t>
      </w:r>
      <w:r w:rsidR="00934575">
        <w:t>o</w:t>
      </w:r>
      <w:r>
        <w:t>se vehicles ha</w:t>
      </w:r>
      <w:r w:rsidR="00934575">
        <w:t>d</w:t>
      </w:r>
      <w:r>
        <w:t xml:space="preserve"> continued to require use for much longer than planned due to the health and safety implications of Covid-19 on operations.</w:t>
      </w:r>
    </w:p>
    <w:p w14:paraId="0B6D4C7B" w14:textId="77777777" w:rsidR="00111C5B" w:rsidRDefault="00111C5B" w:rsidP="00111C5B"/>
    <w:p w14:paraId="7B1BD2D6" w14:textId="2DBC3113" w:rsidR="00111C5B" w:rsidRDefault="00111C5B" w:rsidP="00111C5B">
      <w:r>
        <w:t>The Leisure Service ha</w:t>
      </w:r>
      <w:r w:rsidR="00934575">
        <w:t>d</w:t>
      </w:r>
      <w:r>
        <w:t xml:space="preserve"> reported that the insourcing of the North Down Leisure Services may introduce legal or financial issues which ha</w:t>
      </w:r>
      <w:r w:rsidR="00934575">
        <w:t>d</w:t>
      </w:r>
      <w:r>
        <w:t xml:space="preserve"> not been foreseen. To mitigate th</w:t>
      </w:r>
      <w:r w:rsidR="00934575">
        <w:t>at</w:t>
      </w:r>
      <w:r>
        <w:t xml:space="preserve"> the insourcing team ha</w:t>
      </w:r>
      <w:r w:rsidR="00934575">
        <w:t>d</w:t>
      </w:r>
      <w:r>
        <w:t xml:space="preserve"> been made up of officers from across multiple sections of the Council for the greatest breadth of experience available to work on th</w:t>
      </w:r>
      <w:r w:rsidR="00934575">
        <w:t>at</w:t>
      </w:r>
      <w:r>
        <w:t xml:space="preserve">. </w:t>
      </w:r>
      <w:r w:rsidRPr="00072BCC">
        <w:t xml:space="preserve">The loss of income claims submitted by the current operator </w:t>
      </w:r>
      <w:r w:rsidR="00934575">
        <w:t>we</w:t>
      </w:r>
      <w:r w:rsidRPr="00072BCC">
        <w:t>re being independently reviewed by an external contractor to make a</w:t>
      </w:r>
      <w:r w:rsidR="00934575">
        <w:t>n</w:t>
      </w:r>
      <w:r w:rsidRPr="00072BCC">
        <w:t xml:space="preserve"> assessment as to the validity of th</w:t>
      </w:r>
      <w:r w:rsidR="00934575">
        <w:t>o</w:t>
      </w:r>
      <w:r w:rsidRPr="00072BCC">
        <w:t>se claims.</w:t>
      </w:r>
      <w:r>
        <w:t xml:space="preserve"> </w:t>
      </w:r>
    </w:p>
    <w:p w14:paraId="757458DF" w14:textId="77777777" w:rsidR="00111C5B" w:rsidRDefault="00111C5B" w:rsidP="00111C5B"/>
    <w:p w14:paraId="0B824A0B" w14:textId="44CE7DE3" w:rsidR="00111C5B" w:rsidRDefault="00111C5B" w:rsidP="00111C5B">
      <w:r>
        <w:t>In addition, the Leisure Service ha</w:t>
      </w:r>
      <w:r w:rsidR="00934575">
        <w:t>d</w:t>
      </w:r>
      <w:r>
        <w:t xml:space="preserve"> reported that the current difficulties recruiting staff </w:t>
      </w:r>
      <w:r w:rsidR="00934575">
        <w:t>were</w:t>
      </w:r>
      <w:r>
        <w:t xml:space="preserve"> leading to staffing shortfalls, should th</w:t>
      </w:r>
      <w:r w:rsidR="00934575">
        <w:t>at</w:t>
      </w:r>
      <w:r>
        <w:t xml:space="preserve"> continue there </w:t>
      </w:r>
      <w:r w:rsidR="00934575">
        <w:t>wa</w:t>
      </w:r>
      <w:r>
        <w:t xml:space="preserve">s the possibility of reduction </w:t>
      </w:r>
      <w:r w:rsidRPr="00B63363">
        <w:t>in facility opening hours</w:t>
      </w:r>
      <w:r>
        <w:t xml:space="preserve"> and associated financial impact.</w:t>
      </w:r>
    </w:p>
    <w:p w14:paraId="205F322F" w14:textId="77777777" w:rsidR="00111C5B" w:rsidRDefault="00111C5B" w:rsidP="00111C5B"/>
    <w:p w14:paraId="7F14F2A9" w14:textId="46B56249" w:rsidR="00111C5B" w:rsidRDefault="00111C5B" w:rsidP="00111C5B">
      <w:r>
        <w:rPr>
          <w:rFonts w:cs="Arial"/>
        </w:rPr>
        <w:t>Environmental Health Protection and Development ha</w:t>
      </w:r>
      <w:r w:rsidR="00934575">
        <w:rPr>
          <w:rFonts w:cs="Arial"/>
        </w:rPr>
        <w:t>d</w:t>
      </w:r>
      <w:r>
        <w:rPr>
          <w:rFonts w:cs="Arial"/>
        </w:rPr>
        <w:t xml:space="preserve"> again reported potentially significant legal and financial issues due to the demand on the Service both in </w:t>
      </w:r>
      <w:r>
        <w:rPr>
          <w:rFonts w:cs="Arial"/>
        </w:rPr>
        <w:lastRenderedPageBreak/>
        <w:t xml:space="preserve">relation to Covid-19 and the implementation of the Northern Ireland Protocol. In addition, the Service </w:t>
      </w:r>
      <w:r w:rsidR="00934575">
        <w:rPr>
          <w:rFonts w:cs="Arial"/>
        </w:rPr>
        <w:t>wa</w:t>
      </w:r>
      <w:r>
        <w:rPr>
          <w:rFonts w:cs="Arial"/>
        </w:rPr>
        <w:t xml:space="preserve">s reporting a difficulty recruiting and retaining environmental health staff, both for front facing and support staff which combined with the other pressures may hinder </w:t>
      </w:r>
      <w:r w:rsidR="00934575">
        <w:rPr>
          <w:rFonts w:cs="Arial"/>
        </w:rPr>
        <w:t xml:space="preserve">the </w:t>
      </w:r>
      <w:r>
        <w:rPr>
          <w:rFonts w:cs="Arial"/>
        </w:rPr>
        <w:t>Council’s ability to deliver on statutory requirements.</w:t>
      </w:r>
    </w:p>
    <w:p w14:paraId="61AE496F" w14:textId="77777777" w:rsidR="00111C5B" w:rsidRDefault="00111C5B" w:rsidP="00111C5B"/>
    <w:p w14:paraId="764413E4" w14:textId="3CC586CE" w:rsidR="00111C5B" w:rsidRDefault="00111C5B" w:rsidP="00111C5B">
      <w:r>
        <w:t>The Finance Service ha</w:t>
      </w:r>
      <w:r w:rsidR="00934575">
        <w:t>d</w:t>
      </w:r>
      <w:r>
        <w:t xml:space="preserve"> reported that the issues of the interaction of overtime and holiday pay </w:t>
      </w:r>
      <w:r w:rsidR="00934575">
        <w:t>we</w:t>
      </w:r>
      <w:r>
        <w:t>re still unresolved as well as the implications of the McCloud and Sargent court cases, whilst being accounted for in financial statements for year end March 2022 ha</w:t>
      </w:r>
      <w:r w:rsidR="00934575">
        <w:t>d</w:t>
      </w:r>
      <w:r>
        <w:t xml:space="preserve"> not been fully accounted for in employer pension contribution rates.</w:t>
      </w:r>
    </w:p>
    <w:p w14:paraId="2CBC199A" w14:textId="77777777" w:rsidR="00111C5B" w:rsidRDefault="00111C5B" w:rsidP="00111C5B"/>
    <w:p w14:paraId="472EE184" w14:textId="0FCE14DB" w:rsidR="00111C5B" w:rsidRDefault="00111C5B" w:rsidP="00111C5B">
      <w:r>
        <w:t>In addition, the Service ha</w:t>
      </w:r>
      <w:r w:rsidR="00934575">
        <w:t>d</w:t>
      </w:r>
      <w:r>
        <w:t xml:space="preserve"> reported that an attempted fraud was discovered on 13 April 2022, th</w:t>
      </w:r>
      <w:r w:rsidR="00934575">
        <w:t>at</w:t>
      </w:r>
      <w:r>
        <w:t xml:space="preserve"> was reported to the Northern Ireland Audit Office and the Department for Communities, no loss was incurred by </w:t>
      </w:r>
      <w:r w:rsidR="00934575">
        <w:t xml:space="preserve">the </w:t>
      </w:r>
      <w:r>
        <w:t>Council.</w:t>
      </w:r>
    </w:p>
    <w:p w14:paraId="6C8E641C" w14:textId="77777777" w:rsidR="00111C5B" w:rsidRDefault="00111C5B" w:rsidP="00111C5B"/>
    <w:p w14:paraId="2DA37A3D" w14:textId="563B8DEB" w:rsidR="00111C5B" w:rsidRPr="00934575" w:rsidRDefault="00111C5B" w:rsidP="00111C5B">
      <w:pPr>
        <w:rPr>
          <w:rFonts w:cs="Arial"/>
        </w:rPr>
      </w:pPr>
      <w:r w:rsidRPr="00934575">
        <w:rPr>
          <w:rFonts w:cs="Arial"/>
        </w:rPr>
        <w:t>The Parks and Cemeteries Service ha</w:t>
      </w:r>
      <w:r w:rsidR="00934575">
        <w:rPr>
          <w:rFonts w:cs="Arial"/>
        </w:rPr>
        <w:t>d</w:t>
      </w:r>
      <w:r w:rsidRPr="00934575">
        <w:rPr>
          <w:rFonts w:cs="Arial"/>
        </w:rPr>
        <w:t xml:space="preserve"> reported that there w</w:t>
      </w:r>
      <w:r w:rsidR="00934575">
        <w:rPr>
          <w:rFonts w:cs="Arial"/>
        </w:rPr>
        <w:t xml:space="preserve">ould </w:t>
      </w:r>
      <w:r w:rsidRPr="00934575">
        <w:rPr>
          <w:rFonts w:cs="Arial"/>
        </w:rPr>
        <w:t xml:space="preserve">be an increase in fuel costs associated with the removal of the ability to use red diesel in road-going work vehicles (eg tractors).  The ongoing complaints regarding remaining depths in graves </w:t>
      </w:r>
      <w:r w:rsidR="00934575">
        <w:rPr>
          <w:rFonts w:cs="Arial"/>
        </w:rPr>
        <w:t>wa</w:t>
      </w:r>
      <w:r w:rsidRPr="00934575">
        <w:rPr>
          <w:rFonts w:cs="Arial"/>
        </w:rPr>
        <w:t>s having a negative impact on cemeteries operations.  Generally, a potential risk in terms of admin</w:t>
      </w:r>
      <w:r w:rsidR="00A521EA">
        <w:rPr>
          <w:rFonts w:cs="Arial"/>
        </w:rPr>
        <w:t>istration</w:t>
      </w:r>
      <w:r w:rsidRPr="00934575">
        <w:rPr>
          <w:rFonts w:cs="Arial"/>
        </w:rPr>
        <w:t xml:space="preserve"> support ha</w:t>
      </w:r>
      <w:r w:rsidR="00A521EA">
        <w:rPr>
          <w:rFonts w:cs="Arial"/>
        </w:rPr>
        <w:t>d</w:t>
      </w:r>
      <w:r w:rsidRPr="00934575">
        <w:rPr>
          <w:rFonts w:cs="Arial"/>
        </w:rPr>
        <w:t xml:space="preserve"> been identified following recent restructuring and in Cemeteries a need for greater admin</w:t>
      </w:r>
      <w:r w:rsidR="00A521EA">
        <w:rPr>
          <w:rFonts w:cs="Arial"/>
        </w:rPr>
        <w:t>istration</w:t>
      </w:r>
      <w:r w:rsidRPr="00934575">
        <w:rPr>
          <w:rFonts w:cs="Arial"/>
        </w:rPr>
        <w:t xml:space="preserve"> support ha</w:t>
      </w:r>
      <w:r w:rsidR="00A521EA">
        <w:rPr>
          <w:rFonts w:cs="Arial"/>
        </w:rPr>
        <w:t>d</w:t>
      </w:r>
      <w:r w:rsidRPr="00934575">
        <w:rPr>
          <w:rFonts w:cs="Arial"/>
        </w:rPr>
        <w:t xml:space="preserve"> been noted.  A general review of the structure at SUM level ha</w:t>
      </w:r>
      <w:r w:rsidR="00A521EA">
        <w:rPr>
          <w:rFonts w:cs="Arial"/>
        </w:rPr>
        <w:t>d</w:t>
      </w:r>
      <w:r w:rsidRPr="00934575">
        <w:rPr>
          <w:rFonts w:cs="Arial"/>
        </w:rPr>
        <w:t xml:space="preserve"> been identified as a future requirement to prepare for a sustainable and resilient delivery model going forward. </w:t>
      </w:r>
    </w:p>
    <w:p w14:paraId="73953792" w14:textId="77777777" w:rsidR="00111C5B" w:rsidRDefault="00111C5B" w:rsidP="00111C5B"/>
    <w:p w14:paraId="3E81CBD5" w14:textId="5DD95D47" w:rsidR="00111C5B" w:rsidRDefault="00111C5B" w:rsidP="00111C5B">
      <w:r>
        <w:t>Human Resources and Organisational Development ha</w:t>
      </w:r>
      <w:r w:rsidR="00A521EA">
        <w:t>d</w:t>
      </w:r>
      <w:r>
        <w:t xml:space="preserve"> reported several Priority 2 and 3 findings resulting from a number of audits.  A timetable ha</w:t>
      </w:r>
      <w:r w:rsidR="00A521EA">
        <w:t>d</w:t>
      </w:r>
      <w:r>
        <w:t xml:space="preserve"> been put in place to ensure appropriate action </w:t>
      </w:r>
      <w:r w:rsidR="00A521EA">
        <w:t>wa</w:t>
      </w:r>
      <w:r>
        <w:t>s taken within reasonable timescales.</w:t>
      </w:r>
    </w:p>
    <w:p w14:paraId="14758485" w14:textId="77777777" w:rsidR="00111C5B" w:rsidRDefault="00111C5B" w:rsidP="00111C5B"/>
    <w:p w14:paraId="7B69A97F" w14:textId="3E479D92" w:rsidR="00111C5B" w:rsidRDefault="00111C5B" w:rsidP="00111C5B">
      <w:r>
        <w:t>Several direct award contracts were reported by services, all of th</w:t>
      </w:r>
      <w:r w:rsidR="00A521EA">
        <w:t>o</w:t>
      </w:r>
      <w:r>
        <w:t>se ha</w:t>
      </w:r>
      <w:r w:rsidR="00A521EA">
        <w:t>d</w:t>
      </w:r>
      <w:r>
        <w:t xml:space="preserve"> been reported to </w:t>
      </w:r>
      <w:r w:rsidR="00A521EA">
        <w:t xml:space="preserve">the </w:t>
      </w:r>
      <w:r>
        <w:t>Council and Council procedures followed.</w:t>
      </w:r>
    </w:p>
    <w:p w14:paraId="1F985C68" w14:textId="77777777" w:rsidR="00111C5B" w:rsidRDefault="00111C5B" w:rsidP="00111C5B"/>
    <w:p w14:paraId="331DD195" w14:textId="52DDC890" w:rsidR="00111C5B" w:rsidRDefault="00111C5B" w:rsidP="00111C5B">
      <w:r>
        <w:t>Community and Culture ha</w:t>
      </w:r>
      <w:r w:rsidR="00A521EA">
        <w:t>d</w:t>
      </w:r>
      <w:r>
        <w:t xml:space="preserve"> reported that there was a deviation from the Council’s grants policy relating to a grant for the Platinum Jubilee celebrations which was agreed by</w:t>
      </w:r>
      <w:r w:rsidR="00A521EA">
        <w:t xml:space="preserve"> the</w:t>
      </w:r>
      <w:r>
        <w:t xml:space="preserve"> Council. In addition, the Service ha</w:t>
      </w:r>
      <w:r w:rsidR="00A521EA">
        <w:t>d</w:t>
      </w:r>
      <w:r>
        <w:t xml:space="preserve"> also noted that grant funding relating to </w:t>
      </w:r>
      <w:r w:rsidR="00A521EA">
        <w:t>C</w:t>
      </w:r>
      <w:r>
        <w:t xml:space="preserve">ovid-19 costs were claimed in error from SEUPB, and that the Service </w:t>
      </w:r>
      <w:r w:rsidR="00A521EA">
        <w:t>wa</w:t>
      </w:r>
      <w:r>
        <w:t>s working with them to resolve th</w:t>
      </w:r>
      <w:r w:rsidR="00A521EA">
        <w:t>at</w:t>
      </w:r>
      <w:r>
        <w:t>.</w:t>
      </w:r>
    </w:p>
    <w:p w14:paraId="19FE05C4" w14:textId="77777777" w:rsidR="00111C5B" w:rsidRDefault="00111C5B" w:rsidP="00111C5B">
      <w:pPr>
        <w:outlineLvl w:val="0"/>
        <w:rPr>
          <w:rFonts w:cs="Arial"/>
          <w:b/>
          <w:u w:val="single"/>
        </w:rPr>
      </w:pPr>
    </w:p>
    <w:p w14:paraId="412FF25D" w14:textId="77777777" w:rsidR="00111C5B" w:rsidRPr="000F7011" w:rsidRDefault="00111C5B" w:rsidP="00111C5B">
      <w:pPr>
        <w:outlineLvl w:val="0"/>
        <w:rPr>
          <w:b/>
          <w:u w:val="single"/>
        </w:rPr>
      </w:pPr>
      <w:r w:rsidRPr="000F7011">
        <w:rPr>
          <w:b/>
          <w:u w:val="single"/>
        </w:rPr>
        <w:t>Section 4 – Miscellaneous</w:t>
      </w:r>
    </w:p>
    <w:p w14:paraId="6771C288" w14:textId="45FBC259" w:rsidR="00111C5B" w:rsidRDefault="00111C5B" w:rsidP="00111C5B">
      <w:r>
        <w:t>Many services ha</w:t>
      </w:r>
      <w:r w:rsidR="00A521EA">
        <w:t>d</w:t>
      </w:r>
      <w:r>
        <w:t xml:space="preserve"> stated continuing difficulty in recruiting and retaining staff at all levels as a key factor contributing to potential risk across a range of Council activities.</w:t>
      </w:r>
    </w:p>
    <w:p w14:paraId="1240D910" w14:textId="77777777" w:rsidR="00111C5B" w:rsidRDefault="00111C5B" w:rsidP="00111C5B"/>
    <w:p w14:paraId="5CD405BD" w14:textId="489B15C1" w:rsidR="00111C5B" w:rsidRPr="005411EA" w:rsidRDefault="00111C5B" w:rsidP="00111C5B">
      <w:pPr>
        <w:rPr>
          <w:strike/>
          <w:color w:val="FF0000"/>
        </w:rPr>
      </w:pPr>
      <w:r>
        <w:t>The Planning Service ha</w:t>
      </w:r>
      <w:r w:rsidR="00A521EA">
        <w:t>d</w:t>
      </w:r>
      <w:r>
        <w:t xml:space="preserve"> reported that </w:t>
      </w:r>
      <w:r>
        <w:rPr>
          <w:rFonts w:cs="Arial"/>
        </w:rPr>
        <w:t>the Service Level Agreement (revision) with Shared Environmental Service require</w:t>
      </w:r>
      <w:r w:rsidR="00A521EA">
        <w:rPr>
          <w:rFonts w:cs="Arial"/>
        </w:rPr>
        <w:t>d</w:t>
      </w:r>
      <w:r>
        <w:rPr>
          <w:rFonts w:cs="Arial"/>
        </w:rPr>
        <w:t xml:space="preserve"> signing for the provision of services in relation to Sustainability Appraisal for the Local Development Plan.</w:t>
      </w:r>
    </w:p>
    <w:p w14:paraId="4CED1613" w14:textId="009E7245" w:rsidR="00111C5B" w:rsidRDefault="00111C5B" w:rsidP="00111C5B"/>
    <w:p w14:paraId="2720F19C" w14:textId="5A80ADAE" w:rsidR="00111C5B" w:rsidRDefault="00A521EA" w:rsidP="00111C5B">
      <w:r>
        <w:t xml:space="preserve">RECOMMENDED that the </w:t>
      </w:r>
      <w:r w:rsidR="00111C5B">
        <w:t>report be noted.</w:t>
      </w:r>
    </w:p>
    <w:p w14:paraId="1593D63D" w14:textId="638E9675" w:rsidR="00AE3FFF" w:rsidRDefault="00AE3FFF" w:rsidP="00111C5B"/>
    <w:p w14:paraId="504D25BF" w14:textId="6FE22031" w:rsidR="00E2543A" w:rsidRDefault="002B385E" w:rsidP="00111C5B">
      <w:r>
        <w:t xml:space="preserve">The </w:t>
      </w:r>
      <w:r w:rsidR="00AE3FFF">
        <w:t xml:space="preserve">Head of Finance </w:t>
      </w:r>
      <w:r>
        <w:t>outlined the report explaining that th</w:t>
      </w:r>
      <w:r w:rsidR="00AE3FFF">
        <w:t xml:space="preserve">is </w:t>
      </w:r>
      <w:r>
        <w:t>wa</w:t>
      </w:r>
      <w:r w:rsidR="00AE3FFF">
        <w:t xml:space="preserve">s </w:t>
      </w:r>
      <w:r>
        <w:t xml:space="preserve">the Council’s </w:t>
      </w:r>
      <w:r w:rsidR="00AE3FFF">
        <w:t>bi</w:t>
      </w:r>
      <w:r>
        <w:t>-</w:t>
      </w:r>
      <w:r w:rsidR="00AE3FFF">
        <w:t>annual report</w:t>
      </w:r>
      <w:r>
        <w:t xml:space="preserve"> and</w:t>
      </w:r>
      <w:r w:rsidR="00AE3FFF">
        <w:t xml:space="preserve"> in line with </w:t>
      </w:r>
      <w:r>
        <w:t xml:space="preserve">its </w:t>
      </w:r>
      <w:r w:rsidR="00AE3FFF">
        <w:t xml:space="preserve">risk management strategy </w:t>
      </w:r>
      <w:r>
        <w:t xml:space="preserve">which had </w:t>
      </w:r>
      <w:r w:rsidR="003836E4">
        <w:t xml:space="preserve">previously </w:t>
      </w:r>
      <w:r>
        <w:t xml:space="preserve">been agreed.  It was the second one of the year and was a </w:t>
      </w:r>
      <w:r w:rsidR="00D40114">
        <w:t xml:space="preserve">summary of issues </w:t>
      </w:r>
      <w:r w:rsidR="003836E4">
        <w:t xml:space="preserve">being </w:t>
      </w:r>
      <w:r w:rsidR="003836E4">
        <w:lastRenderedPageBreak/>
        <w:t>reported</w:t>
      </w:r>
      <w:r w:rsidR="00D40114">
        <w:t xml:space="preserve"> </w:t>
      </w:r>
      <w:r w:rsidR="007D6E26">
        <w:t>from each service</w:t>
      </w:r>
      <w:r>
        <w:t xml:space="preserve"> section.  </w:t>
      </w:r>
      <w:r w:rsidR="003836E4">
        <w:t>T</w:t>
      </w:r>
      <w:r w:rsidR="00D40114">
        <w:t xml:space="preserve">here </w:t>
      </w:r>
      <w:r>
        <w:t>we</w:t>
      </w:r>
      <w:r w:rsidR="00D40114">
        <w:t xml:space="preserve">re no </w:t>
      </w:r>
      <w:r w:rsidR="003B30A1">
        <w:t>major</w:t>
      </w:r>
      <w:r w:rsidR="00D40114">
        <w:t xml:space="preserve"> issues </w:t>
      </w:r>
      <w:r>
        <w:t xml:space="preserve">being shown, however, there were a number of things to </w:t>
      </w:r>
      <w:r w:rsidR="00E2543A">
        <w:t>be highlighted</w:t>
      </w:r>
      <w:r w:rsidR="00341246">
        <w:t>.</w:t>
      </w:r>
      <w:r w:rsidR="00E2543A">
        <w:t xml:space="preserve">  </w:t>
      </w:r>
      <w:r>
        <w:t xml:space="preserve"> </w:t>
      </w:r>
    </w:p>
    <w:p w14:paraId="0DC21DB0" w14:textId="46FC878B" w:rsidR="002B385E" w:rsidRDefault="002B385E" w:rsidP="00111C5B">
      <w:r>
        <w:t xml:space="preserve">  </w:t>
      </w:r>
    </w:p>
    <w:p w14:paraId="0D283B47" w14:textId="77777777" w:rsidR="009D1BDB" w:rsidRDefault="00E2543A" w:rsidP="00111C5B">
      <w:r>
        <w:t xml:space="preserve">There were some issues in respect of demands on Council staff, financial and workload pressures and difficulties recruiting suitable staff in a number of sections. </w:t>
      </w:r>
    </w:p>
    <w:p w14:paraId="757EC3CC" w14:textId="77777777" w:rsidR="009D1BDB" w:rsidRDefault="009D1BDB" w:rsidP="00111C5B"/>
    <w:p w14:paraId="2260C7F4" w14:textId="5D67EF0B" w:rsidR="00E2543A" w:rsidRDefault="009D1BDB" w:rsidP="00111C5B">
      <w:r>
        <w:t>The Head of Finance presented the remainder of the report to Members in detail.</w:t>
      </w:r>
      <w:r w:rsidR="00E2543A">
        <w:t xml:space="preserve"> </w:t>
      </w:r>
    </w:p>
    <w:p w14:paraId="393ABDF0" w14:textId="342BEAD1" w:rsidR="00E2543A" w:rsidRDefault="00E2543A" w:rsidP="00111C5B"/>
    <w:p w14:paraId="51377700" w14:textId="3A59C51B" w:rsidR="00C044CB" w:rsidRDefault="00FC1BE3" w:rsidP="00111C5B">
      <w:r>
        <w:t xml:space="preserve">Mr McGonigal had a question for the Head of Finance about the utilities contract that </w:t>
      </w:r>
      <w:r w:rsidR="00D13238">
        <w:t>wa</w:t>
      </w:r>
      <w:r>
        <w:t xml:space="preserve">s going to add significant pressures </w:t>
      </w:r>
      <w:r w:rsidR="002952C5">
        <w:t xml:space="preserve">on the Council’s resources </w:t>
      </w:r>
      <w:r w:rsidR="00EF0B94">
        <w:t xml:space="preserve">and if there were any contingencies to </w:t>
      </w:r>
      <w:r>
        <w:t xml:space="preserve">meet those </w:t>
      </w:r>
      <w:r w:rsidR="002952C5">
        <w:t xml:space="preserve">demands </w:t>
      </w:r>
      <w:r>
        <w:t xml:space="preserve">or </w:t>
      </w:r>
      <w:r w:rsidR="00EF0B94">
        <w:t xml:space="preserve">if there were </w:t>
      </w:r>
      <w:r>
        <w:t xml:space="preserve">any </w:t>
      </w:r>
      <w:r w:rsidR="00D13238">
        <w:t xml:space="preserve">opportunities for additional </w:t>
      </w:r>
      <w:r>
        <w:t>funding from the D</w:t>
      </w:r>
      <w:r w:rsidR="00EF0B94">
        <w:t xml:space="preserve">epartment </w:t>
      </w:r>
      <w:r>
        <w:t>f</w:t>
      </w:r>
      <w:r w:rsidR="00EF0B94">
        <w:t xml:space="preserve">or </w:t>
      </w:r>
      <w:r>
        <w:t>Comm</w:t>
      </w:r>
      <w:r w:rsidR="00EF0B94">
        <w:t xml:space="preserve">unities.  </w:t>
      </w:r>
      <w:r>
        <w:t xml:space="preserve"> </w:t>
      </w:r>
      <w:r w:rsidR="002952C5">
        <w:t xml:space="preserve">The officer replied that that would be seen later when the meeting considered </w:t>
      </w:r>
      <w:r w:rsidR="00C044CB">
        <w:t>the</w:t>
      </w:r>
      <w:r>
        <w:t xml:space="preserve"> financial statements </w:t>
      </w:r>
      <w:r w:rsidR="00C044CB">
        <w:t xml:space="preserve">in which it would be seen that the Council had set aside </w:t>
      </w:r>
      <w:r w:rsidR="009D1BDB">
        <w:t>funds</w:t>
      </w:r>
      <w:r w:rsidR="00C044CB">
        <w:t xml:space="preserve"> </w:t>
      </w:r>
      <w:r>
        <w:t xml:space="preserve">to </w:t>
      </w:r>
      <w:r w:rsidR="009D1BDB">
        <w:t xml:space="preserve">help </w:t>
      </w:r>
      <w:r>
        <w:t xml:space="preserve">mitigate </w:t>
      </w:r>
      <w:r w:rsidR="009D1BDB">
        <w:t>th</w:t>
      </w:r>
      <w:r w:rsidR="00CE018D">
        <w:t>at</w:t>
      </w:r>
      <w:r w:rsidR="009D1BDB">
        <w:t xml:space="preserve"> cost pressure.</w:t>
      </w:r>
      <w:r>
        <w:t xml:space="preserve"> </w:t>
      </w:r>
    </w:p>
    <w:p w14:paraId="5AB12888" w14:textId="77777777" w:rsidR="00C044CB" w:rsidRDefault="00C044CB" w:rsidP="00111C5B"/>
    <w:p w14:paraId="1303EB0A" w14:textId="1BF082A3" w:rsidR="00FC1BE3" w:rsidRDefault="00CC4290" w:rsidP="00111C5B">
      <w:r>
        <w:t>In addition</w:t>
      </w:r>
      <w:r w:rsidR="00C044CB">
        <w:t>,</w:t>
      </w:r>
      <w:r>
        <w:t xml:space="preserve"> the </w:t>
      </w:r>
      <w:r w:rsidR="00CE018D">
        <w:t>A</w:t>
      </w:r>
      <w:r w:rsidR="00D13238">
        <w:t xml:space="preserve">ssociation of </w:t>
      </w:r>
      <w:r w:rsidR="00CE018D">
        <w:t>L</w:t>
      </w:r>
      <w:r>
        <w:t xml:space="preserve">ocal </w:t>
      </w:r>
      <w:r w:rsidR="00CE018D">
        <w:t>G</w:t>
      </w:r>
      <w:r>
        <w:t xml:space="preserve">overnment </w:t>
      </w:r>
      <w:r w:rsidR="00CE018D">
        <w:t>F</w:t>
      </w:r>
      <w:r>
        <w:t xml:space="preserve">inance </w:t>
      </w:r>
      <w:r w:rsidR="00CE018D">
        <w:t>O</w:t>
      </w:r>
      <w:r>
        <w:t>fficers</w:t>
      </w:r>
      <w:r w:rsidR="00B61D4D">
        <w:t xml:space="preserve"> </w:t>
      </w:r>
      <w:r w:rsidR="009D1BDB">
        <w:t xml:space="preserve">(ALGFO) were </w:t>
      </w:r>
      <w:r w:rsidR="00B61D4D">
        <w:t>working o</w:t>
      </w:r>
      <w:r w:rsidR="00D13238">
        <w:t>n</w:t>
      </w:r>
      <w:r w:rsidR="00B61D4D">
        <w:t xml:space="preserve"> collat</w:t>
      </w:r>
      <w:r w:rsidR="00D13238">
        <w:t>ing</w:t>
      </w:r>
      <w:r w:rsidR="00B61D4D">
        <w:t xml:space="preserve"> a piece of work </w:t>
      </w:r>
      <w:r w:rsidR="00883FAE">
        <w:t xml:space="preserve">with a view to putting in a </w:t>
      </w:r>
      <w:r w:rsidR="0055209A">
        <w:t xml:space="preserve">financial pressure </w:t>
      </w:r>
      <w:r w:rsidR="00883FAE">
        <w:t xml:space="preserve">bid to </w:t>
      </w:r>
      <w:r w:rsidR="00C044CB">
        <w:t xml:space="preserve">the Department for Communities </w:t>
      </w:r>
      <w:r w:rsidR="00883FAE">
        <w:t>in respect of the economy</w:t>
      </w:r>
      <w:r w:rsidR="00DE0ABF">
        <w:t>-</w:t>
      </w:r>
      <w:r w:rsidR="00883FAE">
        <w:t>wide pressure</w:t>
      </w:r>
      <w:r w:rsidR="0055209A">
        <w:t>s. That piece of work was ongoing</w:t>
      </w:r>
      <w:r w:rsidR="00883FAE">
        <w:t xml:space="preserve">.  </w:t>
      </w:r>
    </w:p>
    <w:p w14:paraId="69BB82C5" w14:textId="5994ABB0" w:rsidR="00883FAE" w:rsidRDefault="00883FAE" w:rsidP="00111C5B"/>
    <w:p w14:paraId="41924000" w14:textId="6A3FDA74" w:rsidR="00F73088" w:rsidRDefault="00D40114" w:rsidP="00111C5B">
      <w:r>
        <w:t xml:space="preserve">Councillor Gilmour </w:t>
      </w:r>
      <w:r w:rsidR="00DE0ABF">
        <w:t xml:space="preserve">referred to </w:t>
      </w:r>
      <w:r>
        <w:t xml:space="preserve">leisure services </w:t>
      </w:r>
      <w:r w:rsidR="00DE0ABF">
        <w:t>and the costs of insourcing</w:t>
      </w:r>
      <w:r w:rsidR="006819E4">
        <w:t>,</w:t>
      </w:r>
      <w:r w:rsidR="00DE0ABF">
        <w:t xml:space="preserve"> </w:t>
      </w:r>
      <w:r w:rsidR="00A87BA1">
        <w:t xml:space="preserve">both legal and financial issues which would be unforeseen.  Members were informed that </w:t>
      </w:r>
      <w:r w:rsidR="00883FAE">
        <w:t xml:space="preserve">insourcing </w:t>
      </w:r>
      <w:r w:rsidR="00A87BA1">
        <w:t>wa</w:t>
      </w:r>
      <w:r w:rsidR="00883FAE">
        <w:t xml:space="preserve">s </w:t>
      </w:r>
      <w:r>
        <w:t>going through due process</w:t>
      </w:r>
      <w:r w:rsidR="00883FAE">
        <w:t xml:space="preserve"> and there </w:t>
      </w:r>
      <w:r w:rsidR="00A87BA1">
        <w:t>wa</w:t>
      </w:r>
      <w:r w:rsidR="00883FAE">
        <w:t>s already a project board set up</w:t>
      </w:r>
      <w:r w:rsidR="00A87BA1">
        <w:t xml:space="preserve"> and was headed by the Director of Community and Wellbeing.  There were a number of workstreams around leisure </w:t>
      </w:r>
      <w:r w:rsidR="00883FAE">
        <w:t>and business technology</w:t>
      </w:r>
      <w:r w:rsidR="00A87BA1">
        <w:t>,</w:t>
      </w:r>
      <w:r w:rsidR="00883FAE">
        <w:t xml:space="preserve"> finance </w:t>
      </w:r>
      <w:r w:rsidR="00D13238">
        <w:t xml:space="preserve">contracts, </w:t>
      </w:r>
      <w:r w:rsidR="00883FAE">
        <w:t>h</w:t>
      </w:r>
      <w:r w:rsidR="00A87BA1">
        <w:t>uman resources</w:t>
      </w:r>
      <w:r w:rsidR="00D13238">
        <w:t>,</w:t>
      </w:r>
      <w:r w:rsidR="00883FAE">
        <w:t xml:space="preserve"> assets and property</w:t>
      </w:r>
      <w:r w:rsidR="00F73088">
        <w:t xml:space="preserve"> that </w:t>
      </w:r>
      <w:r w:rsidR="00A87BA1">
        <w:t xml:space="preserve">made up a reasonably lengthy </w:t>
      </w:r>
      <w:r w:rsidR="00CE018D">
        <w:t>‘</w:t>
      </w:r>
      <w:r w:rsidR="00A87BA1">
        <w:t>to do</w:t>
      </w:r>
      <w:r w:rsidR="00CE018D">
        <w:t>’</w:t>
      </w:r>
      <w:r w:rsidR="00A87BA1">
        <w:t xml:space="preserve"> list.  </w:t>
      </w:r>
      <w:r w:rsidR="00F73088">
        <w:t xml:space="preserve"> Th</w:t>
      </w:r>
      <w:r w:rsidR="00AC42B4">
        <w:t xml:space="preserve">e reporting </w:t>
      </w:r>
      <w:r w:rsidR="00A87BA1">
        <w:t>wa</w:t>
      </w:r>
      <w:r w:rsidR="00F73088">
        <w:t xml:space="preserve">s a flag that there may be issues that </w:t>
      </w:r>
      <w:r w:rsidR="00A87BA1">
        <w:t xml:space="preserve">would </w:t>
      </w:r>
      <w:r w:rsidR="00F73088">
        <w:t xml:space="preserve">come up as </w:t>
      </w:r>
      <w:r w:rsidR="00A87BA1">
        <w:t xml:space="preserve">the Council went through that </w:t>
      </w:r>
      <w:r w:rsidR="00F73088">
        <w:t xml:space="preserve">due diligence process and in some </w:t>
      </w:r>
      <w:r w:rsidR="009C492A">
        <w:t>respects</w:t>
      </w:r>
      <w:r w:rsidR="00D13238">
        <w:t xml:space="preserve"> th</w:t>
      </w:r>
      <w:r w:rsidR="00A87BA1">
        <w:t>o</w:t>
      </w:r>
      <w:r w:rsidR="00D13238">
        <w:t xml:space="preserve">se </w:t>
      </w:r>
      <w:r w:rsidR="00A87BA1">
        <w:t>we</w:t>
      </w:r>
      <w:r w:rsidR="00D13238">
        <w:t xml:space="preserve">re </w:t>
      </w:r>
      <w:r w:rsidR="00F73088">
        <w:t xml:space="preserve">issues </w:t>
      </w:r>
      <w:r w:rsidR="006819E4">
        <w:t xml:space="preserve">with an unknown outcome. </w:t>
      </w:r>
      <w:r w:rsidR="00F73088">
        <w:t xml:space="preserve">  </w:t>
      </w:r>
    </w:p>
    <w:p w14:paraId="0E3306FC" w14:textId="77777777" w:rsidR="00F73088" w:rsidRDefault="00F73088" w:rsidP="00111C5B"/>
    <w:p w14:paraId="197A4EA4" w14:textId="53A603E1" w:rsidR="00822220" w:rsidRDefault="00906B78" w:rsidP="00111C5B">
      <w:r>
        <w:t xml:space="preserve">Alderman </w:t>
      </w:r>
      <w:r w:rsidR="00F73088">
        <w:t>A</w:t>
      </w:r>
      <w:r w:rsidR="006819E4">
        <w:t xml:space="preserve">rmstrong-Cotter asked if the Council had given consideration to how to address the difficulty it faced in relation to recruitment of suitable candidates to work within the organisation.   She was aware that in the planning section there was pressure to progress planning </w:t>
      </w:r>
      <w:r w:rsidR="00B97348">
        <w:t>applications,</w:t>
      </w:r>
      <w:r w:rsidR="006819E4">
        <w:t xml:space="preserve"> and she wondered how recruitment could be </w:t>
      </w:r>
      <w:r w:rsidR="002F382D">
        <w:t>imp</w:t>
      </w:r>
      <w:r w:rsidR="006819E4">
        <w:t xml:space="preserve">roved.  </w:t>
      </w:r>
      <w:r w:rsidR="003B30A1">
        <w:t xml:space="preserve">The Chief Executive </w:t>
      </w:r>
      <w:r w:rsidR="006819E4">
        <w:t xml:space="preserve">agreed that </w:t>
      </w:r>
      <w:r w:rsidR="003B6379">
        <w:t>recruitment and retention of staff was currently a key issue for the Council</w:t>
      </w:r>
      <w:r w:rsidR="00F73088">
        <w:t xml:space="preserve"> </w:t>
      </w:r>
      <w:r w:rsidR="006819E4">
        <w:t xml:space="preserve">and the matter had been raised at the most recent </w:t>
      </w:r>
      <w:r w:rsidR="00F73088">
        <w:t xml:space="preserve">Corporate </w:t>
      </w:r>
      <w:r w:rsidR="006819E4">
        <w:t xml:space="preserve">Committee which had been held earlier in the month.   </w:t>
      </w:r>
      <w:r w:rsidR="00232E98">
        <w:t xml:space="preserve">The </w:t>
      </w:r>
      <w:r w:rsidR="006A462C">
        <w:t xml:space="preserve">problem was an issue </w:t>
      </w:r>
      <w:r w:rsidR="00232E98">
        <w:t xml:space="preserve">across employment in Northern Ireland generally and a cross </w:t>
      </w:r>
      <w:r w:rsidR="006A462C">
        <w:t xml:space="preserve">Council </w:t>
      </w:r>
      <w:r w:rsidR="00232E98">
        <w:t xml:space="preserve">working group had been set up to consider how the Council could </w:t>
      </w:r>
      <w:r w:rsidR="006A462C">
        <w:t xml:space="preserve">attract </w:t>
      </w:r>
      <w:r w:rsidR="001558F3">
        <w:t xml:space="preserve">more and better </w:t>
      </w:r>
      <w:r w:rsidR="006A462C">
        <w:t>applicants,</w:t>
      </w:r>
      <w:r w:rsidR="00232E98">
        <w:t xml:space="preserve"> outlining the </w:t>
      </w:r>
      <w:r w:rsidR="001558F3">
        <w:t xml:space="preserve">attractive </w:t>
      </w:r>
      <w:r w:rsidR="00232E98">
        <w:t>benefits such as annual leave and</w:t>
      </w:r>
      <w:r w:rsidR="00B97348">
        <w:t xml:space="preserve"> the</w:t>
      </w:r>
      <w:r w:rsidR="00232E98">
        <w:t xml:space="preserve"> pension scheme.  </w:t>
      </w:r>
      <w:r>
        <w:t xml:space="preserve">The Council was vulnerable </w:t>
      </w:r>
      <w:r w:rsidR="00131424">
        <w:t xml:space="preserve">for example </w:t>
      </w:r>
      <w:r>
        <w:t xml:space="preserve">to a general shortage of HGV drivers in the waste and cleansing section and for those with leisure specific qualifications such as sports coaches.  </w:t>
      </w:r>
    </w:p>
    <w:p w14:paraId="7FE9066F" w14:textId="77777777" w:rsidR="00822220" w:rsidRDefault="00822220" w:rsidP="00111C5B"/>
    <w:p w14:paraId="6401EB07" w14:textId="61EBE75D" w:rsidR="004F2D4A" w:rsidRDefault="00822220" w:rsidP="00111C5B">
      <w:r>
        <w:t xml:space="preserve">In response the </w:t>
      </w:r>
      <w:r w:rsidR="00906B78">
        <w:t xml:space="preserve">Member was encouraged to hear of the Council’s plan and suggested that </w:t>
      </w:r>
      <w:r>
        <w:t>it</w:t>
      </w:r>
      <w:r w:rsidR="00906B78">
        <w:t xml:space="preserve"> should also think about promoting the Council in different ways to appeal to younger people </w:t>
      </w:r>
      <w:r w:rsidR="004F2D4A">
        <w:t xml:space="preserve">stating the benefits of flexibility and time out to travel for example while also meeting the Council’s needs. </w:t>
      </w:r>
    </w:p>
    <w:p w14:paraId="476BAE52" w14:textId="77777777" w:rsidR="004F2D4A" w:rsidRDefault="004F2D4A" w:rsidP="00111C5B"/>
    <w:p w14:paraId="23F981A8" w14:textId="67045DC7" w:rsidR="00A521EA" w:rsidRPr="00A521EA" w:rsidRDefault="00A521EA" w:rsidP="00111C5B">
      <w:pPr>
        <w:rPr>
          <w:b/>
          <w:bCs/>
        </w:rPr>
      </w:pPr>
      <w:r w:rsidRPr="00A521EA">
        <w:rPr>
          <w:b/>
          <w:bCs/>
        </w:rPr>
        <w:lastRenderedPageBreak/>
        <w:t xml:space="preserve">AGREED, on the proposal of </w:t>
      </w:r>
      <w:r w:rsidR="00D40114">
        <w:rPr>
          <w:b/>
          <w:bCs/>
        </w:rPr>
        <w:t>Alderman Armstrong-Cotter</w:t>
      </w:r>
      <w:r w:rsidRPr="00A521EA">
        <w:rPr>
          <w:b/>
          <w:bCs/>
        </w:rPr>
        <w:t xml:space="preserve">, seconded by </w:t>
      </w:r>
      <w:r w:rsidR="004F4E65">
        <w:rPr>
          <w:b/>
          <w:bCs/>
        </w:rPr>
        <w:t>Councillor Greer</w:t>
      </w:r>
      <w:r w:rsidRPr="00A521EA">
        <w:rPr>
          <w:b/>
          <w:bCs/>
        </w:rPr>
        <w:t xml:space="preserve">, that the recommendation be adopted.  </w:t>
      </w:r>
    </w:p>
    <w:p w14:paraId="390CBEB7" w14:textId="0F57394F" w:rsidR="001F1ECF" w:rsidRPr="000766E9" w:rsidRDefault="001F1ECF" w:rsidP="000766E9"/>
    <w:p w14:paraId="203E3390" w14:textId="2CF2A171" w:rsidR="001F1ECF" w:rsidRPr="00AB6FCF" w:rsidRDefault="001F1ECF" w:rsidP="00976E03">
      <w:pPr>
        <w:pStyle w:val="Heading1"/>
        <w:rPr>
          <w:rFonts w:cs="Arial"/>
        </w:rPr>
      </w:pPr>
      <w:r w:rsidRPr="00976E03">
        <w:rPr>
          <w:rStyle w:val="Heading1Char"/>
          <w:b/>
          <w:bCs/>
          <w:szCs w:val="28"/>
          <w:u w:val="none"/>
        </w:rPr>
        <w:t>8.</w:t>
      </w:r>
      <w:r w:rsidRPr="00976E03">
        <w:rPr>
          <w:rStyle w:val="Heading1Char"/>
          <w:b/>
          <w:bCs/>
          <w:szCs w:val="28"/>
          <w:u w:val="none"/>
        </w:rPr>
        <w:tab/>
      </w:r>
      <w:r w:rsidR="00976E03" w:rsidRPr="00976E03">
        <w:rPr>
          <w:rStyle w:val="Heading1Char"/>
          <w:b/>
          <w:bCs/>
          <w:szCs w:val="28"/>
        </w:rPr>
        <w:t>TERMS OF REFERENCE REVIEW</w:t>
      </w:r>
      <w:r w:rsidR="00A777B4" w:rsidRPr="00A777B4">
        <w:rPr>
          <w:rStyle w:val="Heading1Char"/>
          <w:sz w:val="24"/>
          <w:szCs w:val="24"/>
          <w:u w:val="none"/>
        </w:rPr>
        <w:t xml:space="preserve"> (Appendix V)</w:t>
      </w:r>
    </w:p>
    <w:p w14:paraId="45EDC900" w14:textId="4E44DFE3" w:rsidR="001F1ECF" w:rsidRDefault="001F1ECF" w:rsidP="001F1ECF">
      <w:pPr>
        <w:rPr>
          <w:rFonts w:ascii="Arial Bold" w:hAnsi="Arial Bold" w:cs="Arial"/>
          <w:b/>
          <w:bCs/>
          <w:caps/>
          <w:sz w:val="28"/>
          <w:szCs w:val="28"/>
          <w:u w:val="single"/>
        </w:rPr>
      </w:pPr>
    </w:p>
    <w:p w14:paraId="241BF9E0" w14:textId="50F916A3" w:rsidR="00A521EA" w:rsidRDefault="001F1ECF" w:rsidP="00A521EA">
      <w:r>
        <w:t xml:space="preserve">PREVIOUSLY CIRCULATED:- Report </w:t>
      </w:r>
      <w:r w:rsidR="00AB6FCF">
        <w:t xml:space="preserve">from </w:t>
      </w:r>
      <w:r w:rsidR="002B2A27">
        <w:t xml:space="preserve">the </w:t>
      </w:r>
      <w:r w:rsidR="00AB6FCF">
        <w:t xml:space="preserve">Director of Finance </w:t>
      </w:r>
      <w:r w:rsidR="00973B02">
        <w:t xml:space="preserve">and </w:t>
      </w:r>
      <w:r w:rsidR="00AB6FCF">
        <w:t xml:space="preserve">Performance stating that </w:t>
      </w:r>
      <w:r w:rsidR="00A521EA">
        <w:t>in line with good practice the Audit Committee should review it</w:t>
      </w:r>
      <w:r w:rsidR="0042104E">
        <w:t>s</w:t>
      </w:r>
      <w:r w:rsidR="00A521EA">
        <w:t xml:space="preserve"> terms of reference annually and make recommendations to </w:t>
      </w:r>
      <w:r w:rsidR="0042104E">
        <w:t xml:space="preserve">the </w:t>
      </w:r>
      <w:r w:rsidR="00A521EA">
        <w:t xml:space="preserve">Council to ensure that it keeps up to date with developments within legislation, guidance and regional and national issues. </w:t>
      </w:r>
    </w:p>
    <w:p w14:paraId="604DBC66" w14:textId="77777777" w:rsidR="00A521EA" w:rsidRDefault="00A521EA" w:rsidP="00A521EA"/>
    <w:p w14:paraId="21416D79" w14:textId="77777777" w:rsidR="00A521EA" w:rsidRDefault="00A521EA" w:rsidP="00A521EA">
      <w:r>
        <w:t>The last review was carried out in June 2021.</w:t>
      </w:r>
    </w:p>
    <w:p w14:paraId="66117B52" w14:textId="77777777" w:rsidR="00A521EA" w:rsidRDefault="00A521EA" w:rsidP="00A521EA"/>
    <w:p w14:paraId="47B4D3C0" w14:textId="52C4312B" w:rsidR="00A521EA" w:rsidRDefault="00A521EA" w:rsidP="00A521EA">
      <w:r>
        <w:t>The review ha</w:t>
      </w:r>
      <w:r w:rsidR="0042104E">
        <w:t>d</w:t>
      </w:r>
      <w:r>
        <w:t xml:space="preserve"> been carried out by the Head of Finance and there </w:t>
      </w:r>
      <w:r w:rsidR="0042104E">
        <w:t>wa</w:t>
      </w:r>
      <w:r>
        <w:t>s only one change recommended under Overall Purpose and Objectives add:</w:t>
      </w:r>
    </w:p>
    <w:p w14:paraId="7F2C5A37" w14:textId="77777777" w:rsidR="00A521EA" w:rsidRDefault="00A521EA" w:rsidP="00A521EA"/>
    <w:p w14:paraId="638DFEA4" w14:textId="77777777" w:rsidR="00A521EA" w:rsidRPr="00625CA2" w:rsidRDefault="00A521EA" w:rsidP="00A521EA">
      <w:pPr>
        <w:numPr>
          <w:ilvl w:val="0"/>
          <w:numId w:val="39"/>
        </w:numPr>
        <w:suppressAutoHyphens w:val="0"/>
        <w:autoSpaceDN/>
        <w:textAlignment w:val="auto"/>
      </w:pPr>
      <w:r>
        <w:t xml:space="preserve">Approve </w:t>
      </w:r>
      <w:r w:rsidRPr="00625CA2">
        <w:t xml:space="preserve">the appointment of an Internal Auditor </w:t>
      </w:r>
      <w:r w:rsidRPr="00625CA2">
        <w:rPr>
          <w:rFonts w:cs="Arial"/>
        </w:rPr>
        <w:t>and receive regular reports therefrom</w:t>
      </w:r>
      <w:r>
        <w:rPr>
          <w:rFonts w:cs="Arial"/>
        </w:rPr>
        <w:t>.</w:t>
      </w:r>
    </w:p>
    <w:p w14:paraId="596ED3C9" w14:textId="4B9F20C7" w:rsidR="00A521EA" w:rsidRDefault="00A521EA" w:rsidP="00A521EA"/>
    <w:p w14:paraId="08304577" w14:textId="45EA2A19" w:rsidR="00A521EA" w:rsidRDefault="0042104E" w:rsidP="00A521EA">
      <w:r>
        <w:t xml:space="preserve">RECOMMENDED that the </w:t>
      </w:r>
      <w:r w:rsidR="00A521EA">
        <w:t>Committee notes the report.</w:t>
      </w:r>
    </w:p>
    <w:p w14:paraId="435DD0E1" w14:textId="012332BD" w:rsidR="00B871D5" w:rsidRDefault="00B871D5" w:rsidP="00A521EA"/>
    <w:p w14:paraId="15CFFB5B" w14:textId="3217C1F6" w:rsidR="004F2D4A" w:rsidRDefault="004F2D4A" w:rsidP="00A521EA">
      <w:r>
        <w:t xml:space="preserve">The </w:t>
      </w:r>
      <w:r w:rsidR="00B871D5">
        <w:t xml:space="preserve">Head of Finance </w:t>
      </w:r>
      <w:r>
        <w:t xml:space="preserve">spoke to Members stating that each </w:t>
      </w:r>
      <w:r w:rsidR="00B871D5">
        <w:t xml:space="preserve">year </w:t>
      </w:r>
      <w:r>
        <w:t xml:space="preserve">they were made aware that the terms of reference were reviewed to ensure they were fit for purpose and up to date.  This year it had been decided to add in </w:t>
      </w:r>
      <w:r w:rsidR="009F2EBD">
        <w:t xml:space="preserve">the </w:t>
      </w:r>
      <w:r>
        <w:t xml:space="preserve">procedure for the appointment of an internal auditor and while the Council was carrying </w:t>
      </w:r>
      <w:r w:rsidR="0071549F">
        <w:t xml:space="preserve">out </w:t>
      </w:r>
      <w:r>
        <w:t xml:space="preserve">that process already this would formalise it.    </w:t>
      </w:r>
    </w:p>
    <w:p w14:paraId="13288767" w14:textId="14DF474C" w:rsidR="004F2D4A" w:rsidRDefault="004F2D4A" w:rsidP="00A521EA"/>
    <w:p w14:paraId="7C5E2DF4" w14:textId="3B211F0A" w:rsidR="0071549F" w:rsidRDefault="00B871D5" w:rsidP="00A521EA">
      <w:r>
        <w:t xml:space="preserve">Councillor Greer </w:t>
      </w:r>
      <w:r w:rsidR="0071549F">
        <w:t xml:space="preserve">suggested a further </w:t>
      </w:r>
      <w:r>
        <w:t xml:space="preserve">amendment </w:t>
      </w:r>
      <w:r w:rsidR="0071549F">
        <w:t>to the terms of reference to state that while the appointment to the Audit Committee was for a four</w:t>
      </w:r>
      <w:r w:rsidR="00822220">
        <w:t>-</w:t>
      </w:r>
      <w:r w:rsidR="0071549F">
        <w:t>year term there were changes made to the make</w:t>
      </w:r>
      <w:r w:rsidR="00822220">
        <w:t>-</w:t>
      </w:r>
      <w:r w:rsidR="0071549F">
        <w:t xml:space="preserve">up of the committee each year due to Members taking on positions of responsibility.  The Director of Finance and Performance was in agreement with that since there was much shuffling of positions following the Annual Meeting and </w:t>
      </w:r>
      <w:r w:rsidR="006B54A3">
        <w:t xml:space="preserve">indicated that that </w:t>
      </w:r>
      <w:r w:rsidR="0071549F">
        <w:t xml:space="preserve">would be incorporated into the Terms if Members were in agreement.  </w:t>
      </w:r>
    </w:p>
    <w:p w14:paraId="697985FB" w14:textId="7615D00A" w:rsidR="0071549F" w:rsidRDefault="0071549F" w:rsidP="00A521EA"/>
    <w:p w14:paraId="1D737A9B" w14:textId="079C731B" w:rsidR="0071549F" w:rsidRDefault="0071549F" w:rsidP="00A521EA">
      <w:r>
        <w:t xml:space="preserve">Members were content that </w:t>
      </w:r>
      <w:r w:rsidR="006B54A3">
        <w:t xml:space="preserve">Councillor Greer’s suggestion </w:t>
      </w:r>
      <w:r>
        <w:t xml:space="preserve">be included and left it to officers to agree the wording of that addition.  </w:t>
      </w:r>
    </w:p>
    <w:p w14:paraId="3281DAEF" w14:textId="77777777" w:rsidR="0071549F" w:rsidRDefault="0071549F" w:rsidP="00A521EA"/>
    <w:p w14:paraId="02F8BCB7" w14:textId="490CFFAA" w:rsidR="00755167" w:rsidRDefault="0042104E" w:rsidP="0042104E">
      <w:r w:rsidRPr="0042104E">
        <w:rPr>
          <w:b/>
          <w:bCs/>
        </w:rPr>
        <w:t xml:space="preserve">AGREED, on the proposal of </w:t>
      </w:r>
      <w:r w:rsidR="00B871D5">
        <w:rPr>
          <w:b/>
          <w:bCs/>
        </w:rPr>
        <w:t>Councillor Greer,</w:t>
      </w:r>
      <w:r w:rsidRPr="0042104E">
        <w:rPr>
          <w:b/>
          <w:bCs/>
        </w:rPr>
        <w:t xml:space="preserve"> seconded by </w:t>
      </w:r>
      <w:r w:rsidR="00B871D5">
        <w:rPr>
          <w:b/>
          <w:bCs/>
        </w:rPr>
        <w:t>Alderman Armstrong-Cotter</w:t>
      </w:r>
      <w:r w:rsidRPr="0042104E">
        <w:rPr>
          <w:b/>
          <w:bCs/>
        </w:rPr>
        <w:t xml:space="preserve">, that the recommendation be adopted.   </w:t>
      </w:r>
    </w:p>
    <w:p w14:paraId="434DEDF8" w14:textId="17C03EFC" w:rsidR="001F1ECF" w:rsidRDefault="001F1ECF" w:rsidP="001F1ECF">
      <w:pPr>
        <w:rPr>
          <w:b/>
          <w:bCs/>
          <w:sz w:val="28"/>
          <w:szCs w:val="28"/>
        </w:rPr>
      </w:pPr>
    </w:p>
    <w:p w14:paraId="453CFF45" w14:textId="29359202" w:rsidR="001F1ECF" w:rsidRDefault="001F1ECF" w:rsidP="000766E9">
      <w:pPr>
        <w:pStyle w:val="Heading1"/>
        <w:ind w:left="720" w:hanging="720"/>
      </w:pPr>
      <w:r w:rsidRPr="000766E9">
        <w:rPr>
          <w:u w:val="none"/>
        </w:rPr>
        <w:t>9.</w:t>
      </w:r>
      <w:r w:rsidRPr="000766E9">
        <w:rPr>
          <w:u w:val="none"/>
        </w:rPr>
        <w:tab/>
      </w:r>
      <w:r w:rsidR="00973B02">
        <w:t xml:space="preserve">any other notified business </w:t>
      </w:r>
    </w:p>
    <w:p w14:paraId="395362D3" w14:textId="28CAFE21" w:rsidR="001F1ECF" w:rsidRDefault="001F1ECF" w:rsidP="001F1ECF">
      <w:pPr>
        <w:rPr>
          <w:rFonts w:ascii="Arial Bold" w:hAnsi="Arial Bold" w:cs="Arial"/>
          <w:b/>
          <w:bCs/>
          <w:caps/>
          <w:sz w:val="28"/>
          <w:szCs w:val="28"/>
          <w:u w:val="single"/>
        </w:rPr>
      </w:pPr>
    </w:p>
    <w:p w14:paraId="76D8BB4B" w14:textId="53D8FA05" w:rsidR="00973B02" w:rsidRDefault="00973B02" w:rsidP="00973B02">
      <w:r>
        <w:t xml:space="preserve">The Chairman advised that there were no items of </w:t>
      </w:r>
      <w:r w:rsidR="0071549F">
        <w:t>A</w:t>
      </w:r>
      <w:r>
        <w:t xml:space="preserve">ny </w:t>
      </w:r>
      <w:r w:rsidR="0071549F">
        <w:t>O</w:t>
      </w:r>
      <w:r>
        <w:t xml:space="preserve">ther </w:t>
      </w:r>
      <w:r w:rsidR="0071549F">
        <w:t>N</w:t>
      </w:r>
      <w:r>
        <w:t xml:space="preserve">otified </w:t>
      </w:r>
      <w:r w:rsidR="0071549F">
        <w:t>B</w:t>
      </w:r>
      <w:r>
        <w:t>usiness.</w:t>
      </w:r>
    </w:p>
    <w:p w14:paraId="73963357" w14:textId="77777777" w:rsidR="00973B02" w:rsidRDefault="00973B02" w:rsidP="00973B02"/>
    <w:p w14:paraId="643C7DA0" w14:textId="152F183C" w:rsidR="00973B02" w:rsidRDefault="00973B02" w:rsidP="00973B02">
      <w:pPr>
        <w:rPr>
          <w:b/>
          <w:bCs/>
        </w:rPr>
      </w:pPr>
      <w:r>
        <w:rPr>
          <w:b/>
          <w:bCs/>
        </w:rPr>
        <w:t>NOTED.</w:t>
      </w:r>
    </w:p>
    <w:p w14:paraId="4AC171F7" w14:textId="7A3DE519" w:rsidR="00973B02" w:rsidRDefault="00973B02" w:rsidP="00973B02">
      <w:pPr>
        <w:rPr>
          <w:b/>
          <w:bCs/>
        </w:rPr>
      </w:pPr>
    </w:p>
    <w:p w14:paraId="7179518F" w14:textId="77777777" w:rsidR="00973B02" w:rsidRPr="00F12750" w:rsidRDefault="00973B02" w:rsidP="00973B02">
      <w:pPr>
        <w:rPr>
          <w:b/>
          <w:caps/>
          <w:sz w:val="28"/>
          <w:szCs w:val="28"/>
          <w:u w:val="single"/>
        </w:rPr>
      </w:pPr>
      <w:r w:rsidRPr="00F12750">
        <w:rPr>
          <w:b/>
          <w:caps/>
          <w:sz w:val="28"/>
          <w:szCs w:val="28"/>
          <w:u w:val="single"/>
        </w:rPr>
        <w:t>Exclusion of Public/Press</w:t>
      </w:r>
    </w:p>
    <w:p w14:paraId="563AE185" w14:textId="77777777" w:rsidR="00973B02" w:rsidRDefault="00973B02" w:rsidP="00973B02"/>
    <w:p w14:paraId="2BEA8DD9" w14:textId="3A3B4A51" w:rsidR="00973B02" w:rsidRDefault="00973B02" w:rsidP="00973B02">
      <w:pPr>
        <w:rPr>
          <w:b/>
        </w:rPr>
      </w:pPr>
      <w:r w:rsidRPr="00F12750">
        <w:rPr>
          <w:b/>
        </w:rPr>
        <w:lastRenderedPageBreak/>
        <w:t>AGREED TO RECOMMEND, on the proposal of</w:t>
      </w:r>
      <w:r>
        <w:rPr>
          <w:b/>
        </w:rPr>
        <w:t xml:space="preserve"> Councillor </w:t>
      </w:r>
      <w:r w:rsidR="00860193">
        <w:rPr>
          <w:b/>
        </w:rPr>
        <w:t>Greer</w:t>
      </w:r>
      <w:r>
        <w:rPr>
          <w:b/>
        </w:rPr>
        <w:t>,</w:t>
      </w:r>
      <w:r w:rsidRPr="00F12750">
        <w:rPr>
          <w:b/>
        </w:rPr>
        <w:t xml:space="preserve"> seconded by</w:t>
      </w:r>
      <w:r>
        <w:rPr>
          <w:b/>
        </w:rPr>
        <w:t xml:space="preserve"> </w:t>
      </w:r>
      <w:r w:rsidR="00860193">
        <w:rPr>
          <w:b/>
        </w:rPr>
        <w:t>Alderman Armstrong-Cotter</w:t>
      </w:r>
      <w:r w:rsidRPr="00F12750">
        <w:rPr>
          <w:b/>
        </w:rPr>
        <w:t xml:space="preserve">, that the public/press be excluded during the discussion of the undernoted items of confidential business. </w:t>
      </w:r>
    </w:p>
    <w:p w14:paraId="1B12DDD7" w14:textId="3247ACA4" w:rsidR="001F1ECF" w:rsidRDefault="001F1ECF" w:rsidP="000766E9">
      <w:pPr>
        <w:pStyle w:val="Heading1"/>
      </w:pPr>
      <w:r w:rsidRPr="000766E9">
        <w:rPr>
          <w:u w:val="none"/>
        </w:rPr>
        <w:t>10.</w:t>
      </w:r>
      <w:r w:rsidRPr="000766E9">
        <w:rPr>
          <w:u w:val="none"/>
        </w:rPr>
        <w:tab/>
      </w:r>
      <w:r>
        <w:t>S</w:t>
      </w:r>
      <w:r w:rsidR="00973B02">
        <w:t>ingle tender actions update</w:t>
      </w:r>
    </w:p>
    <w:p w14:paraId="6327D957" w14:textId="7FAC480D" w:rsidR="001F1ECF" w:rsidRDefault="001F1ECF" w:rsidP="001F1ECF">
      <w:pPr>
        <w:rPr>
          <w:rFonts w:ascii="Arial Bold" w:hAnsi="Arial Bold"/>
          <w:b/>
          <w:bCs/>
          <w:caps/>
          <w:sz w:val="28"/>
          <w:szCs w:val="28"/>
          <w:u w:val="single"/>
        </w:rPr>
      </w:pPr>
    </w:p>
    <w:p w14:paraId="503FB328" w14:textId="4C16749B" w:rsidR="00973B02" w:rsidRDefault="00973B02" w:rsidP="00973B02">
      <w:pPr>
        <w:rPr>
          <w:b/>
          <w:bCs/>
        </w:rPr>
      </w:pPr>
      <w:r w:rsidRPr="00BB0C10">
        <w:rPr>
          <w:b/>
          <w:bCs/>
        </w:rPr>
        <w:t>***IN COMMITTEE***</w:t>
      </w:r>
    </w:p>
    <w:p w14:paraId="14842A5D" w14:textId="2D59F346" w:rsidR="009648CA" w:rsidRDefault="009648CA" w:rsidP="00973B02">
      <w:pPr>
        <w:rPr>
          <w:b/>
          <w:bCs/>
        </w:rPr>
      </w:pPr>
    </w:p>
    <w:p w14:paraId="39185F09" w14:textId="77777777" w:rsidR="009648CA" w:rsidRPr="002A3895" w:rsidRDefault="009648CA" w:rsidP="009648CA">
      <w:pPr>
        <w:rPr>
          <w:rFonts w:cs="Arial"/>
          <w:b/>
          <w:bCs/>
        </w:rPr>
      </w:pPr>
      <w:r w:rsidRPr="002A3895">
        <w:rPr>
          <w:rFonts w:cs="Arial"/>
          <w:b/>
          <w:bCs/>
        </w:rPr>
        <w:t xml:space="preserve">NOT FOR PUBLICATION </w:t>
      </w:r>
    </w:p>
    <w:p w14:paraId="7702A3D3" w14:textId="77777777" w:rsidR="009648CA" w:rsidRPr="002A3895" w:rsidRDefault="009648CA" w:rsidP="009648CA">
      <w:pPr>
        <w:rPr>
          <w:rFonts w:cs="Arial"/>
          <w:b/>
          <w:bCs/>
        </w:rPr>
      </w:pPr>
    </w:p>
    <w:p w14:paraId="3B53C166" w14:textId="77777777" w:rsidR="009648CA" w:rsidRPr="00A7086D" w:rsidRDefault="009648CA" w:rsidP="009648CA">
      <w:pPr>
        <w:rPr>
          <w:rFonts w:cs="Arial"/>
        </w:rPr>
      </w:pPr>
      <w:r w:rsidRPr="002A3895">
        <w:rPr>
          <w:rFonts w:cs="Arial"/>
          <w:b/>
        </w:rPr>
        <w:t>SCHEDULE 6 – INFORMATION RELATING TO THE FINANCIAL OR BUSINESS AFFAIRS OF ANY PARTICULAR PERSON (INCLUDING THE COUNCIL HOLDNG THAT INFORMATION)</w:t>
      </w:r>
    </w:p>
    <w:p w14:paraId="69DDBF40" w14:textId="77777777" w:rsidR="00823D43" w:rsidRPr="00681993" w:rsidRDefault="00823D43" w:rsidP="00823D43">
      <w:pPr>
        <w:rPr>
          <w:rFonts w:ascii="Arial Bold" w:hAnsi="Arial Bold"/>
          <w:b/>
          <w:caps/>
          <w:sz w:val="28"/>
          <w:szCs w:val="28"/>
        </w:rPr>
      </w:pPr>
    </w:p>
    <w:p w14:paraId="70FB8EC8" w14:textId="77777777" w:rsidR="00355DDC" w:rsidRDefault="001F1ECF" w:rsidP="001F1ECF">
      <w:pPr>
        <w:pStyle w:val="Heading1"/>
        <w:rPr>
          <w:rFonts w:cs="Arial"/>
          <w:szCs w:val="28"/>
        </w:rPr>
      </w:pPr>
      <w:r>
        <w:rPr>
          <w:u w:val="none"/>
        </w:rPr>
        <w:t>11</w:t>
      </w:r>
      <w:r w:rsidR="00823D43">
        <w:rPr>
          <w:u w:val="none"/>
        </w:rPr>
        <w:t xml:space="preserve">. </w:t>
      </w:r>
      <w:r w:rsidR="00973B02">
        <w:rPr>
          <w:u w:val="none"/>
        </w:rPr>
        <w:tab/>
      </w:r>
      <w:r w:rsidRPr="001F1ECF">
        <w:rPr>
          <w:rFonts w:cs="Arial"/>
          <w:szCs w:val="28"/>
        </w:rPr>
        <w:t>drA</w:t>
      </w:r>
      <w:r w:rsidR="00214404">
        <w:rPr>
          <w:rFonts w:cs="Arial"/>
          <w:szCs w:val="28"/>
        </w:rPr>
        <w:t>ft governance statement for 2021/22</w:t>
      </w:r>
    </w:p>
    <w:p w14:paraId="7AFEF162" w14:textId="49D0904E" w:rsidR="00823D43" w:rsidRPr="00827B48" w:rsidRDefault="00355DDC" w:rsidP="00355DDC">
      <w:pPr>
        <w:ind w:firstLine="720"/>
      </w:pPr>
      <w:r w:rsidRPr="00355DDC">
        <w:t>(</w:t>
      </w:r>
      <w:r>
        <w:t>A</w:t>
      </w:r>
      <w:r w:rsidRPr="00355DDC">
        <w:t>ppendix VI)</w:t>
      </w:r>
    </w:p>
    <w:p w14:paraId="217F3577" w14:textId="77777777" w:rsidR="00823D43" w:rsidRDefault="00823D43" w:rsidP="000766E9"/>
    <w:p w14:paraId="2832C942" w14:textId="01C4458C" w:rsidR="00823D43" w:rsidRDefault="00823D43" w:rsidP="00823D43">
      <w:pPr>
        <w:rPr>
          <w:b/>
          <w:bCs/>
        </w:rPr>
      </w:pPr>
      <w:r>
        <w:t xml:space="preserve"> </w:t>
      </w:r>
      <w:r w:rsidRPr="00BB0C10">
        <w:rPr>
          <w:b/>
          <w:bCs/>
        </w:rPr>
        <w:t>***IN COMMITTEE***</w:t>
      </w:r>
    </w:p>
    <w:p w14:paraId="61ACC016" w14:textId="3B51ED9F" w:rsidR="009648CA" w:rsidRDefault="009648CA" w:rsidP="00823D43">
      <w:pPr>
        <w:rPr>
          <w:b/>
          <w:bCs/>
        </w:rPr>
      </w:pPr>
    </w:p>
    <w:p w14:paraId="48715626" w14:textId="77777777" w:rsidR="009648CA" w:rsidRPr="002A3895" w:rsidRDefault="009648CA" w:rsidP="009648CA">
      <w:pPr>
        <w:rPr>
          <w:rFonts w:cs="Arial"/>
          <w:b/>
          <w:bCs/>
        </w:rPr>
      </w:pPr>
      <w:r w:rsidRPr="002A3895">
        <w:rPr>
          <w:rFonts w:cs="Arial"/>
          <w:b/>
          <w:bCs/>
        </w:rPr>
        <w:t xml:space="preserve">NOT FOR PUBLICATION </w:t>
      </w:r>
    </w:p>
    <w:p w14:paraId="3F02BCFB" w14:textId="77777777" w:rsidR="009648CA" w:rsidRPr="002A3895" w:rsidRDefault="009648CA" w:rsidP="009648CA">
      <w:pPr>
        <w:rPr>
          <w:rFonts w:cs="Arial"/>
          <w:b/>
          <w:bCs/>
        </w:rPr>
      </w:pPr>
    </w:p>
    <w:p w14:paraId="6718C678" w14:textId="77777777" w:rsidR="009648CA" w:rsidRPr="00A7086D" w:rsidRDefault="009648CA" w:rsidP="009648CA">
      <w:pPr>
        <w:rPr>
          <w:rFonts w:cs="Arial"/>
        </w:rPr>
      </w:pPr>
      <w:r w:rsidRPr="002A3895">
        <w:rPr>
          <w:rFonts w:cs="Arial"/>
          <w:b/>
        </w:rPr>
        <w:t>SCHEDULE 6 – INFORMATION RELATING TO THE FINANCIAL OR BUSINESS AFFAIRS OF ANY PARTICULAR PERSON (INCLUDING THE COUNCIL HOLDNG THAT INFORMATION)</w:t>
      </w:r>
    </w:p>
    <w:p w14:paraId="127454F9" w14:textId="77777777" w:rsidR="00DE78CD" w:rsidRDefault="00DE78CD" w:rsidP="00823D43">
      <w:pPr>
        <w:rPr>
          <w:b/>
        </w:rPr>
      </w:pPr>
    </w:p>
    <w:p w14:paraId="683F800F" w14:textId="00DB4738" w:rsidR="00823D43" w:rsidRDefault="001F1ECF" w:rsidP="00214404">
      <w:pPr>
        <w:pStyle w:val="Heading1"/>
      </w:pPr>
      <w:r w:rsidRPr="000766E9">
        <w:rPr>
          <w:u w:val="none"/>
        </w:rPr>
        <w:t>12</w:t>
      </w:r>
      <w:r w:rsidR="00823D43" w:rsidRPr="000766E9">
        <w:rPr>
          <w:u w:val="none"/>
        </w:rPr>
        <w:t>.</w:t>
      </w:r>
      <w:r w:rsidR="00FE54F6" w:rsidRPr="000766E9">
        <w:rPr>
          <w:u w:val="none"/>
        </w:rPr>
        <w:t xml:space="preserve">   </w:t>
      </w:r>
      <w:r w:rsidR="00823D43" w:rsidRPr="000766E9">
        <w:rPr>
          <w:u w:val="none"/>
        </w:rPr>
        <w:t xml:space="preserve"> </w:t>
      </w:r>
      <w:r w:rsidR="000F1E2A" w:rsidRPr="000F1E2A">
        <w:t>d</w:t>
      </w:r>
      <w:r w:rsidR="00214404">
        <w:t>raft financial statements for 2021/22</w:t>
      </w:r>
      <w:r w:rsidR="005F3450">
        <w:t xml:space="preserve"> </w:t>
      </w:r>
      <w:r w:rsidR="00355DDC">
        <w:t xml:space="preserve"> </w:t>
      </w:r>
    </w:p>
    <w:p w14:paraId="7747E703" w14:textId="594AF124" w:rsidR="00355DDC" w:rsidRPr="00355DDC" w:rsidRDefault="00355DDC" w:rsidP="00355DDC">
      <w:pPr>
        <w:ind w:firstLine="720"/>
      </w:pPr>
      <w:r w:rsidRPr="00355DDC">
        <w:t>(</w:t>
      </w:r>
      <w:r>
        <w:t>A</w:t>
      </w:r>
      <w:r w:rsidRPr="00355DDC">
        <w:t>ppendix VI</w:t>
      </w:r>
      <w:r>
        <w:t>I</w:t>
      </w:r>
      <w:r w:rsidRPr="00355DDC">
        <w:t>)</w:t>
      </w:r>
    </w:p>
    <w:p w14:paraId="6BB07A81" w14:textId="138DD5BD" w:rsidR="00823D43" w:rsidRDefault="00823D43" w:rsidP="00823D43">
      <w:pPr>
        <w:rPr>
          <w:b/>
          <w:bCs/>
        </w:rPr>
      </w:pPr>
    </w:p>
    <w:p w14:paraId="432A808F" w14:textId="1DC7845F" w:rsidR="00965B70" w:rsidRDefault="00965B70" w:rsidP="00965B70">
      <w:pPr>
        <w:rPr>
          <w:b/>
          <w:bCs/>
        </w:rPr>
      </w:pPr>
      <w:r w:rsidRPr="00BB0C10">
        <w:rPr>
          <w:b/>
          <w:bCs/>
        </w:rPr>
        <w:t>***IN COMMITTEE***</w:t>
      </w:r>
    </w:p>
    <w:p w14:paraId="0A2DECD5" w14:textId="1EE36353" w:rsidR="009648CA" w:rsidRDefault="009648CA" w:rsidP="00965B70">
      <w:pPr>
        <w:rPr>
          <w:b/>
          <w:bCs/>
        </w:rPr>
      </w:pPr>
    </w:p>
    <w:p w14:paraId="2DE44F78" w14:textId="77777777" w:rsidR="009648CA" w:rsidRPr="002A3895" w:rsidRDefault="009648CA" w:rsidP="009648CA">
      <w:pPr>
        <w:rPr>
          <w:rFonts w:cs="Arial"/>
          <w:b/>
          <w:bCs/>
        </w:rPr>
      </w:pPr>
      <w:r w:rsidRPr="002A3895">
        <w:rPr>
          <w:rFonts w:cs="Arial"/>
          <w:b/>
          <w:bCs/>
        </w:rPr>
        <w:t xml:space="preserve">NOT FOR PUBLICATION </w:t>
      </w:r>
    </w:p>
    <w:p w14:paraId="2AC980CB" w14:textId="77777777" w:rsidR="009648CA" w:rsidRPr="002A3895" w:rsidRDefault="009648CA" w:rsidP="009648CA">
      <w:pPr>
        <w:rPr>
          <w:rFonts w:cs="Arial"/>
          <w:b/>
          <w:bCs/>
        </w:rPr>
      </w:pPr>
    </w:p>
    <w:p w14:paraId="0F5EA931" w14:textId="77777777" w:rsidR="009648CA" w:rsidRPr="00A7086D" w:rsidRDefault="009648CA" w:rsidP="009648CA">
      <w:pPr>
        <w:rPr>
          <w:rFonts w:cs="Arial"/>
        </w:rPr>
      </w:pPr>
      <w:r w:rsidRPr="002A3895">
        <w:rPr>
          <w:rFonts w:cs="Arial"/>
          <w:b/>
        </w:rPr>
        <w:t>SCHEDULE 6 – INFORMATION RELATING TO THE FINANCIAL OR BUSINESS AFFAIRS OF ANY PARTICULAR PERSON (INCLUDING THE COUNCIL HOLDNG THAT INFORMATION)</w:t>
      </w:r>
    </w:p>
    <w:p w14:paraId="434D681C" w14:textId="477CD3CF" w:rsidR="00746CE0" w:rsidRPr="000766E9" w:rsidRDefault="00746CE0" w:rsidP="00823D43">
      <w:pPr>
        <w:rPr>
          <w:b/>
          <w:bCs/>
        </w:rPr>
      </w:pPr>
    </w:p>
    <w:p w14:paraId="319D0CDA" w14:textId="5D027394" w:rsidR="00823D43" w:rsidRPr="006F4A55" w:rsidRDefault="00746CE0" w:rsidP="000766E9">
      <w:pPr>
        <w:pStyle w:val="Heading1"/>
        <w:ind w:left="720" w:hanging="720"/>
        <w:rPr>
          <w:rFonts w:cs="Arial"/>
        </w:rPr>
      </w:pPr>
      <w:r w:rsidRPr="000766E9">
        <w:rPr>
          <w:u w:val="none"/>
        </w:rPr>
        <w:t>1</w:t>
      </w:r>
      <w:r w:rsidR="001F1ECF" w:rsidRPr="000766E9">
        <w:rPr>
          <w:u w:val="none"/>
        </w:rPr>
        <w:t>3</w:t>
      </w:r>
      <w:r w:rsidRPr="000766E9">
        <w:rPr>
          <w:u w:val="none"/>
        </w:rPr>
        <w:t>.</w:t>
      </w:r>
      <w:r w:rsidRPr="000766E9">
        <w:rPr>
          <w:u w:val="none"/>
        </w:rPr>
        <w:tab/>
      </w:r>
      <w:r w:rsidR="00214404">
        <w:t xml:space="preserve">fraud, whistleblowing and data-Protection Matters </w:t>
      </w:r>
      <w:r w:rsidR="00823D43">
        <w:t xml:space="preserve"> </w:t>
      </w:r>
    </w:p>
    <w:p w14:paraId="0AD284B9" w14:textId="77777777" w:rsidR="000766E9" w:rsidRDefault="000766E9" w:rsidP="00823D43">
      <w:pPr>
        <w:rPr>
          <w:b/>
        </w:rPr>
      </w:pPr>
    </w:p>
    <w:p w14:paraId="78D1308F" w14:textId="0FC6FB0F" w:rsidR="00965B70" w:rsidRDefault="00965B70" w:rsidP="00965B70">
      <w:pPr>
        <w:rPr>
          <w:b/>
          <w:bCs/>
        </w:rPr>
      </w:pPr>
      <w:bookmarkStart w:id="2" w:name="_Hlk109202237"/>
      <w:r w:rsidRPr="00BB0C10">
        <w:rPr>
          <w:b/>
          <w:bCs/>
        </w:rPr>
        <w:t>***IN COMMITTEE***</w:t>
      </w:r>
    </w:p>
    <w:p w14:paraId="5F9A39C0" w14:textId="3AA669A5" w:rsidR="009648CA" w:rsidRDefault="009648CA" w:rsidP="00965B70">
      <w:pPr>
        <w:rPr>
          <w:b/>
          <w:bCs/>
        </w:rPr>
      </w:pPr>
    </w:p>
    <w:p w14:paraId="6B05E664" w14:textId="77777777" w:rsidR="009648CA" w:rsidRPr="002A3895" w:rsidRDefault="009648CA" w:rsidP="009648CA">
      <w:pPr>
        <w:rPr>
          <w:rFonts w:cs="Arial"/>
          <w:b/>
          <w:bCs/>
        </w:rPr>
      </w:pPr>
      <w:r w:rsidRPr="002A3895">
        <w:rPr>
          <w:rFonts w:cs="Arial"/>
          <w:b/>
          <w:bCs/>
        </w:rPr>
        <w:t xml:space="preserve">NOT FOR PUBLICATION </w:t>
      </w:r>
    </w:p>
    <w:p w14:paraId="5C64862F" w14:textId="77777777" w:rsidR="009648CA" w:rsidRPr="002A3895" w:rsidRDefault="009648CA" w:rsidP="009648CA">
      <w:pPr>
        <w:rPr>
          <w:rFonts w:cs="Arial"/>
          <w:b/>
          <w:bCs/>
        </w:rPr>
      </w:pPr>
    </w:p>
    <w:p w14:paraId="177C9CA8" w14:textId="77777777" w:rsidR="009648CA" w:rsidRPr="00A7086D" w:rsidRDefault="009648CA" w:rsidP="009648CA">
      <w:pPr>
        <w:rPr>
          <w:rFonts w:cs="Arial"/>
        </w:rPr>
      </w:pPr>
      <w:r w:rsidRPr="002A3895">
        <w:rPr>
          <w:rFonts w:cs="Arial"/>
          <w:b/>
        </w:rPr>
        <w:t>SCHEDULE 6 – INFORMATION RELATING TO THE FINANCIAL OR BUSINESS AFFAIRS OF ANY PARTICULAR PERSON (INCLUDING THE COUNCIL HOLDNG THAT INFORMATION)</w:t>
      </w:r>
    </w:p>
    <w:bookmarkEnd w:id="2"/>
    <w:p w14:paraId="3B28DF87" w14:textId="20B099F4" w:rsidR="00DD5FE0" w:rsidRDefault="00DD5FE0" w:rsidP="00823D43">
      <w:pPr>
        <w:rPr>
          <w:rFonts w:cs="Arial"/>
          <w:b/>
          <w:bCs/>
        </w:rPr>
      </w:pPr>
    </w:p>
    <w:p w14:paraId="2ACC254F" w14:textId="77777777" w:rsidR="00214404" w:rsidRDefault="00214404" w:rsidP="00FD492D">
      <w:pPr>
        <w:pStyle w:val="Heading1"/>
      </w:pPr>
      <w:r w:rsidRPr="00FD492D">
        <w:rPr>
          <w:u w:val="none"/>
        </w:rPr>
        <w:t>14.</w:t>
      </w:r>
      <w:r w:rsidRPr="00FD492D">
        <w:rPr>
          <w:u w:val="none"/>
        </w:rPr>
        <w:tab/>
      </w:r>
      <w:r w:rsidRPr="00214404">
        <w:t xml:space="preserve">CIRCULATED FOR INFORMATION: </w:t>
      </w:r>
      <w:r>
        <w:t xml:space="preserve">NI </w:t>
      </w:r>
      <w:r w:rsidRPr="00214404">
        <w:t>A</w:t>
      </w:r>
      <w:r>
        <w:t>UDIT OFFICE GUIDES</w:t>
      </w:r>
    </w:p>
    <w:p w14:paraId="10387B2D" w14:textId="597726E1" w:rsidR="00214404" w:rsidRDefault="00214404" w:rsidP="00823D43">
      <w:pPr>
        <w:rPr>
          <w:rFonts w:cs="Arial"/>
          <w:b/>
          <w:bCs/>
          <w:sz w:val="28"/>
          <w:szCs w:val="28"/>
          <w:u w:val="single"/>
        </w:rPr>
      </w:pPr>
    </w:p>
    <w:p w14:paraId="4EDE3B1F" w14:textId="77777777" w:rsidR="00EC7B46" w:rsidRDefault="00EC7B46" w:rsidP="00EC7B46">
      <w:pPr>
        <w:rPr>
          <w:b/>
          <w:bCs/>
        </w:rPr>
      </w:pPr>
      <w:r w:rsidRPr="00BB0C10">
        <w:rPr>
          <w:b/>
          <w:bCs/>
        </w:rPr>
        <w:t>***IN COMMITTEE***</w:t>
      </w:r>
    </w:p>
    <w:p w14:paraId="3E8EE27D" w14:textId="77777777" w:rsidR="00EC7B46" w:rsidRDefault="00EC7B46" w:rsidP="00EC7B46">
      <w:pPr>
        <w:rPr>
          <w:b/>
          <w:bCs/>
        </w:rPr>
      </w:pPr>
    </w:p>
    <w:p w14:paraId="0A93A12B" w14:textId="77777777" w:rsidR="00EC7B46" w:rsidRPr="002A3895" w:rsidRDefault="00EC7B46" w:rsidP="00EC7B46">
      <w:pPr>
        <w:rPr>
          <w:rFonts w:cs="Arial"/>
          <w:b/>
          <w:bCs/>
        </w:rPr>
      </w:pPr>
      <w:r w:rsidRPr="002A3895">
        <w:rPr>
          <w:rFonts w:cs="Arial"/>
          <w:b/>
          <w:bCs/>
        </w:rPr>
        <w:t xml:space="preserve">NOT FOR PUBLICATION </w:t>
      </w:r>
    </w:p>
    <w:p w14:paraId="5C9A943C" w14:textId="77777777" w:rsidR="00EC7B46" w:rsidRPr="002A3895" w:rsidRDefault="00EC7B46" w:rsidP="00EC7B46">
      <w:pPr>
        <w:rPr>
          <w:rFonts w:cs="Arial"/>
          <w:b/>
          <w:bCs/>
        </w:rPr>
      </w:pPr>
    </w:p>
    <w:p w14:paraId="4B1B61E6" w14:textId="4F2F10EB" w:rsidR="00EC7B46" w:rsidRDefault="00EC7B46" w:rsidP="00823D43">
      <w:pPr>
        <w:rPr>
          <w:rFonts w:cs="Arial"/>
          <w:b/>
          <w:bCs/>
          <w:sz w:val="28"/>
          <w:szCs w:val="28"/>
          <w:u w:val="single"/>
        </w:rPr>
      </w:pPr>
      <w:r w:rsidRPr="002A3895">
        <w:rPr>
          <w:rFonts w:cs="Arial"/>
          <w:b/>
        </w:rPr>
        <w:t>SCHEDULE 6 – INFORMATION RELATING TO THE FINANCIAL OR BUSINESS AFFAIRS OF ANY PARTICULAR PERSON (INCLUDING THE COUNCIL HOLDNG THAT INFORMATION)</w:t>
      </w:r>
    </w:p>
    <w:p w14:paraId="26A5FC75" w14:textId="77777777" w:rsidR="00965B70" w:rsidRPr="00965B70" w:rsidRDefault="00965B70" w:rsidP="00965B70">
      <w:pPr>
        <w:rPr>
          <w:b/>
          <w:bCs/>
          <w:u w:val="single"/>
        </w:rPr>
      </w:pPr>
    </w:p>
    <w:p w14:paraId="5B9E7D5B" w14:textId="16B196BC" w:rsidR="00214404" w:rsidRDefault="00057E15" w:rsidP="00FD492D">
      <w:pPr>
        <w:pStyle w:val="Heading1"/>
        <w:ind w:left="720" w:hanging="720"/>
      </w:pPr>
      <w:r w:rsidRPr="00FD492D">
        <w:rPr>
          <w:u w:val="none"/>
        </w:rPr>
        <w:t xml:space="preserve">15. </w:t>
      </w:r>
      <w:r w:rsidRPr="00FD492D">
        <w:rPr>
          <w:u w:val="none"/>
        </w:rPr>
        <w:tab/>
      </w:r>
      <w:r w:rsidRPr="00965B70">
        <w:t xml:space="preserve">MEETING WITH NI AUDIT OFFICE AND INTERNAL AUDIT SERVICE IN THE ABSENCE OF MANAGEMENT  </w:t>
      </w:r>
    </w:p>
    <w:p w14:paraId="35F07800" w14:textId="65385956" w:rsidR="002F0850" w:rsidRDefault="002F0850" w:rsidP="00057E15">
      <w:pPr>
        <w:ind w:left="720" w:hanging="720"/>
        <w:rPr>
          <w:rFonts w:cs="Arial"/>
          <w:b/>
          <w:bCs/>
          <w:sz w:val="28"/>
          <w:szCs w:val="28"/>
        </w:rPr>
      </w:pPr>
    </w:p>
    <w:p w14:paraId="3DC82111" w14:textId="7D255C8C" w:rsidR="002F0850" w:rsidRDefault="002F0850" w:rsidP="00057E15">
      <w:pPr>
        <w:ind w:left="720" w:hanging="720"/>
        <w:rPr>
          <w:rFonts w:cs="Arial"/>
          <w:b/>
          <w:bCs/>
          <w:sz w:val="28"/>
          <w:szCs w:val="28"/>
        </w:rPr>
      </w:pPr>
      <w:r>
        <w:rPr>
          <w:rFonts w:cs="Arial"/>
          <w:b/>
          <w:bCs/>
          <w:sz w:val="28"/>
          <w:szCs w:val="28"/>
        </w:rPr>
        <w:t>***IN CONFIDENCE***</w:t>
      </w:r>
    </w:p>
    <w:p w14:paraId="1D5C5DEC" w14:textId="7B8BF255" w:rsidR="009648CA" w:rsidRDefault="009648CA" w:rsidP="00057E15">
      <w:pPr>
        <w:ind w:left="720" w:hanging="720"/>
        <w:rPr>
          <w:rFonts w:cs="Arial"/>
          <w:b/>
          <w:bCs/>
          <w:sz w:val="28"/>
          <w:szCs w:val="28"/>
        </w:rPr>
      </w:pPr>
    </w:p>
    <w:p w14:paraId="2797F011" w14:textId="77777777" w:rsidR="009648CA" w:rsidRPr="002A3895" w:rsidRDefault="009648CA" w:rsidP="009648CA">
      <w:pPr>
        <w:rPr>
          <w:rFonts w:cs="Arial"/>
          <w:b/>
          <w:bCs/>
        </w:rPr>
      </w:pPr>
      <w:r w:rsidRPr="002A3895">
        <w:rPr>
          <w:rFonts w:cs="Arial"/>
          <w:b/>
          <w:bCs/>
        </w:rPr>
        <w:t xml:space="preserve">NOT FOR PUBLICATION </w:t>
      </w:r>
    </w:p>
    <w:p w14:paraId="0AE18FF3" w14:textId="77777777" w:rsidR="009648CA" w:rsidRPr="002A3895" w:rsidRDefault="009648CA" w:rsidP="009648CA">
      <w:pPr>
        <w:rPr>
          <w:rFonts w:cs="Arial"/>
          <w:b/>
          <w:bCs/>
        </w:rPr>
      </w:pPr>
    </w:p>
    <w:p w14:paraId="0A5C139B" w14:textId="77777777" w:rsidR="009648CA" w:rsidRPr="00A7086D" w:rsidRDefault="009648CA" w:rsidP="009648CA">
      <w:pPr>
        <w:rPr>
          <w:rFonts w:cs="Arial"/>
        </w:rPr>
      </w:pPr>
      <w:r w:rsidRPr="002A3895">
        <w:rPr>
          <w:rFonts w:cs="Arial"/>
          <w:b/>
        </w:rPr>
        <w:t>SCHEDULE 6 – INFORMATION RELATING TO THE FINANCIAL OR BUSINESS AFFAIRS OF ANY PARTICULAR PERSON (INCLUDING THE COUNCIL HOLDNG THAT INFORMATION)</w:t>
      </w:r>
    </w:p>
    <w:p w14:paraId="17BB5F31" w14:textId="77777777" w:rsidR="00172286" w:rsidRDefault="00172286" w:rsidP="00823D43">
      <w:pPr>
        <w:rPr>
          <w:rFonts w:cs="Arial"/>
          <w:b/>
          <w:bCs/>
        </w:rPr>
      </w:pPr>
    </w:p>
    <w:p w14:paraId="5EC2B7D5" w14:textId="3CB1395F" w:rsidR="00DD5FE0" w:rsidRPr="005A07CA" w:rsidRDefault="005A07CA" w:rsidP="00823D43">
      <w:pPr>
        <w:rPr>
          <w:rFonts w:cs="Arial"/>
          <w:b/>
          <w:bCs/>
          <w:sz w:val="28"/>
          <w:szCs w:val="28"/>
          <w:u w:val="single"/>
        </w:rPr>
      </w:pPr>
      <w:r w:rsidRPr="005A07CA">
        <w:rPr>
          <w:rFonts w:cs="Arial"/>
          <w:b/>
          <w:bCs/>
          <w:sz w:val="28"/>
          <w:szCs w:val="28"/>
          <w:u w:val="single"/>
        </w:rPr>
        <w:t>RE</w:t>
      </w:r>
      <w:r w:rsidR="00F00C76">
        <w:rPr>
          <w:rFonts w:cs="Arial"/>
          <w:b/>
          <w:bCs/>
          <w:sz w:val="28"/>
          <w:szCs w:val="28"/>
          <w:u w:val="single"/>
        </w:rPr>
        <w:t>-</w:t>
      </w:r>
      <w:r w:rsidRPr="005A07CA">
        <w:rPr>
          <w:rFonts w:cs="Arial"/>
          <w:b/>
          <w:bCs/>
          <w:sz w:val="28"/>
          <w:szCs w:val="28"/>
          <w:u w:val="single"/>
        </w:rPr>
        <w:t>ADMITTANCE OF PUBLIC AND PRESS</w:t>
      </w:r>
    </w:p>
    <w:p w14:paraId="3FF279AE" w14:textId="7A49728E" w:rsidR="00823D43" w:rsidRDefault="00823D43" w:rsidP="00823D43">
      <w:pPr>
        <w:rPr>
          <w:rFonts w:ascii="Arial Bold" w:hAnsi="Arial Bold"/>
          <w:b/>
          <w:caps/>
          <w:sz w:val="28"/>
          <w:szCs w:val="28"/>
          <w:u w:val="single"/>
        </w:rPr>
      </w:pPr>
    </w:p>
    <w:p w14:paraId="4BB8F8AA" w14:textId="10BA0FBA" w:rsidR="005A07CA" w:rsidRDefault="005A07CA" w:rsidP="00823D43">
      <w:pPr>
        <w:rPr>
          <w:b/>
        </w:rPr>
      </w:pPr>
      <w:r w:rsidRPr="00F12750">
        <w:rPr>
          <w:b/>
        </w:rPr>
        <w:t xml:space="preserve">AGREED, </w:t>
      </w:r>
      <w:r w:rsidR="00172286">
        <w:rPr>
          <w:b/>
        </w:rPr>
        <w:t xml:space="preserve">on the proposal of Alderman Armstrong-Cotter, seconded by Councillor Greer, </w:t>
      </w:r>
      <w:r w:rsidRPr="00F12750">
        <w:rPr>
          <w:b/>
        </w:rPr>
        <w:t xml:space="preserve">that the public/press be </w:t>
      </w:r>
      <w:r>
        <w:rPr>
          <w:b/>
        </w:rPr>
        <w:t xml:space="preserve">readmitted to the meeting.  </w:t>
      </w:r>
    </w:p>
    <w:p w14:paraId="4C5AFA44" w14:textId="77777777" w:rsidR="005A07CA" w:rsidRPr="005A07CA" w:rsidRDefault="005A07CA" w:rsidP="00823D43">
      <w:pPr>
        <w:rPr>
          <w:rFonts w:ascii="Arial Bold" w:hAnsi="Arial Bold"/>
          <w:b/>
          <w:caps/>
          <w:sz w:val="28"/>
          <w:szCs w:val="28"/>
          <w:u w:val="single"/>
        </w:rPr>
      </w:pPr>
    </w:p>
    <w:p w14:paraId="5432DC0E" w14:textId="77777777" w:rsidR="00823D43" w:rsidRPr="00681993" w:rsidRDefault="00823D43" w:rsidP="00823D43">
      <w:pPr>
        <w:rPr>
          <w:rFonts w:ascii="Arial Bold" w:hAnsi="Arial Bold"/>
          <w:b/>
          <w:caps/>
          <w:sz w:val="28"/>
          <w:szCs w:val="28"/>
          <w:u w:val="single"/>
        </w:rPr>
      </w:pPr>
      <w:r w:rsidRPr="00681993">
        <w:rPr>
          <w:rFonts w:ascii="Arial Bold" w:hAnsi="Arial Bold"/>
          <w:b/>
          <w:caps/>
          <w:sz w:val="28"/>
          <w:szCs w:val="28"/>
          <w:u w:val="single"/>
        </w:rPr>
        <w:t xml:space="preserve">Termination of meeting </w:t>
      </w:r>
    </w:p>
    <w:p w14:paraId="3E30E8BE" w14:textId="77777777" w:rsidR="00823D43" w:rsidRDefault="00823D43" w:rsidP="00823D43">
      <w:pPr>
        <w:rPr>
          <w:b/>
        </w:rPr>
      </w:pPr>
    </w:p>
    <w:p w14:paraId="755D8AD3" w14:textId="304ADA93" w:rsidR="00823D43" w:rsidRPr="00681993" w:rsidRDefault="00823D43" w:rsidP="00823D43">
      <w:r w:rsidRPr="00681993">
        <w:t>The meeting terminated at</w:t>
      </w:r>
      <w:r>
        <w:t xml:space="preserve"> </w:t>
      </w:r>
      <w:r w:rsidR="002D39D3">
        <w:t>8.</w:t>
      </w:r>
      <w:r w:rsidR="00172286">
        <w:t>17</w:t>
      </w:r>
      <w:r w:rsidR="000766E9">
        <w:t xml:space="preserve"> </w:t>
      </w:r>
      <w:r>
        <w:t xml:space="preserve">pm. </w:t>
      </w:r>
    </w:p>
    <w:p w14:paraId="20A3BDA3" w14:textId="77777777" w:rsidR="00823D43" w:rsidRDefault="00823D43" w:rsidP="00823D43"/>
    <w:p w14:paraId="4044220A" w14:textId="642025EC" w:rsidR="00CC6DE4" w:rsidRDefault="00CC6DE4"/>
    <w:sectPr w:rsidR="00CC6DE4" w:rsidSect="00BE2D7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9309" w14:textId="77777777" w:rsidR="00841F8D" w:rsidRDefault="00841F8D" w:rsidP="00EB7F1C">
      <w:r>
        <w:separator/>
      </w:r>
    </w:p>
  </w:endnote>
  <w:endnote w:type="continuationSeparator" w:id="0">
    <w:p w14:paraId="76C1E368" w14:textId="77777777" w:rsidR="00841F8D" w:rsidRDefault="00841F8D" w:rsidP="00EB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vice Font 10cp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0726" w14:textId="77777777" w:rsidR="00FD492D" w:rsidRDefault="00FD4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5311"/>
      <w:docPartObj>
        <w:docPartGallery w:val="Page Numbers (Bottom of Page)"/>
        <w:docPartUnique/>
      </w:docPartObj>
    </w:sdtPr>
    <w:sdtEndPr>
      <w:rPr>
        <w:noProof/>
      </w:rPr>
    </w:sdtEndPr>
    <w:sdtContent>
      <w:p w14:paraId="5A5A2049" w14:textId="77777777" w:rsidR="0067403C" w:rsidRDefault="0067403C">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4E95717A" w14:textId="77777777" w:rsidR="0067403C" w:rsidRDefault="00674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13EF" w14:textId="77777777" w:rsidR="0067403C" w:rsidRDefault="0067403C">
    <w:pPr>
      <w:pStyle w:val="Footer"/>
      <w:jc w:val="center"/>
    </w:pPr>
  </w:p>
  <w:p w14:paraId="5C48B028" w14:textId="77777777" w:rsidR="0067403C" w:rsidRDefault="00674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D1F79" w14:textId="77777777" w:rsidR="00841F8D" w:rsidRDefault="00841F8D" w:rsidP="00EB7F1C">
      <w:r>
        <w:separator/>
      </w:r>
    </w:p>
  </w:footnote>
  <w:footnote w:type="continuationSeparator" w:id="0">
    <w:p w14:paraId="5439E8A2" w14:textId="77777777" w:rsidR="00841F8D" w:rsidRDefault="00841F8D" w:rsidP="00EB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2676" w14:textId="77777777" w:rsidR="00FD492D" w:rsidRDefault="00FD4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9E18" w14:textId="0F603383" w:rsidR="0067403C" w:rsidRDefault="0067403C">
    <w:pPr>
      <w:pStyle w:val="Header"/>
    </w:pPr>
    <w:r>
      <w:tab/>
    </w:r>
    <w:r>
      <w:tab/>
      <w:t>AC.</w:t>
    </w:r>
    <w:r w:rsidR="00E05D90">
      <w:t>2</w:t>
    </w:r>
    <w:r w:rsidR="00973B02">
      <w:t>7</w:t>
    </w:r>
    <w:r>
      <w:t>.0</w:t>
    </w:r>
    <w:r w:rsidR="00973B02">
      <w:t>6</w:t>
    </w:r>
    <w:r>
      <w:t>.202</w:t>
    </w:r>
    <w:r w:rsidR="00E05D90">
      <w:t>2</w:t>
    </w:r>
    <w:r w:rsidR="009648CA">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46B8" w14:textId="6E0C28A5" w:rsidR="0067403C" w:rsidRPr="00621DD5" w:rsidRDefault="00856CCE" w:rsidP="00A05BBB">
    <w:pPr>
      <w:pStyle w:val="Header"/>
      <w:ind w:left="2880" w:firstLine="4513"/>
      <w:jc w:val="right"/>
      <w:rPr>
        <w:b/>
        <w:bCs/>
        <w:sz w:val="36"/>
        <w:szCs w:val="36"/>
      </w:rPr>
    </w:pPr>
    <w:r>
      <w:rPr>
        <w:b/>
        <w:bCs/>
        <w:sz w:val="36"/>
        <w:szCs w:val="36"/>
      </w:rPr>
      <w:tab/>
    </w:r>
    <w:r w:rsidR="0067403C">
      <w:rPr>
        <w:b/>
        <w:bC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8.75pt" o:bullet="t">
        <v:imagedata r:id="rId1" o:title="ANDbullet"/>
      </v:shape>
    </w:pict>
  </w:numPicBullet>
  <w:abstractNum w:abstractNumId="0" w15:restartNumberingAfterBreak="0">
    <w:nsid w:val="01A704E7"/>
    <w:multiLevelType w:val="hybridMultilevel"/>
    <w:tmpl w:val="7F824180"/>
    <w:lvl w:ilvl="0" w:tplc="D9DC5782">
      <w:start w:val="1"/>
      <w:numFmt w:val="lowerRoman"/>
      <w:lvlText w:val="%1)"/>
      <w:lvlJc w:val="left"/>
      <w:pPr>
        <w:ind w:left="1080" w:hanging="720"/>
      </w:pPr>
      <w:rPr>
        <w:rFonts w:cs="Aria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61215"/>
    <w:multiLevelType w:val="hybridMultilevel"/>
    <w:tmpl w:val="CD26E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780"/>
    <w:multiLevelType w:val="hybridMultilevel"/>
    <w:tmpl w:val="C66A7098"/>
    <w:lvl w:ilvl="0" w:tplc="DA94EE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160FB"/>
    <w:multiLevelType w:val="multilevel"/>
    <w:tmpl w:val="D8C0CC8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760826"/>
    <w:multiLevelType w:val="hybridMultilevel"/>
    <w:tmpl w:val="B94E9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36F15"/>
    <w:multiLevelType w:val="hybridMultilevel"/>
    <w:tmpl w:val="8B2819FC"/>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6" w15:restartNumberingAfterBreak="0">
    <w:nsid w:val="1EE156D1"/>
    <w:multiLevelType w:val="multilevel"/>
    <w:tmpl w:val="D8C0CC8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907827"/>
    <w:multiLevelType w:val="hybridMultilevel"/>
    <w:tmpl w:val="5DF61908"/>
    <w:lvl w:ilvl="0" w:tplc="6E1E1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4D320B"/>
    <w:multiLevelType w:val="hybridMultilevel"/>
    <w:tmpl w:val="2ACA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Device Font 10cpi" w:hAnsi="Device Font 10cp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Device Font 10cpi" w:hAnsi="Device Font 10cp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Device Font 10cpi" w:hAnsi="Device Font 10cpi"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31E78"/>
    <w:multiLevelType w:val="hybridMultilevel"/>
    <w:tmpl w:val="511C0D90"/>
    <w:lvl w:ilvl="0" w:tplc="EAC2D4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99087D"/>
    <w:multiLevelType w:val="multilevel"/>
    <w:tmpl w:val="B22AA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6700B"/>
    <w:multiLevelType w:val="multilevel"/>
    <w:tmpl w:val="5E5C5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470BE"/>
    <w:multiLevelType w:val="multilevel"/>
    <w:tmpl w:val="E2987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632A5B"/>
    <w:multiLevelType w:val="hybridMultilevel"/>
    <w:tmpl w:val="BF9EC2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7E17DB4"/>
    <w:multiLevelType w:val="hybridMultilevel"/>
    <w:tmpl w:val="9D3C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C06DC"/>
    <w:multiLevelType w:val="hybridMultilevel"/>
    <w:tmpl w:val="10B67D7E"/>
    <w:lvl w:ilvl="0" w:tplc="684CA6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7C6B85"/>
    <w:multiLevelType w:val="hybridMultilevel"/>
    <w:tmpl w:val="036A7AD0"/>
    <w:lvl w:ilvl="0" w:tplc="D996E2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F74391"/>
    <w:multiLevelType w:val="hybridMultilevel"/>
    <w:tmpl w:val="E51612B2"/>
    <w:lvl w:ilvl="0" w:tplc="817AA0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695ADC"/>
    <w:multiLevelType w:val="hybridMultilevel"/>
    <w:tmpl w:val="B3520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325202"/>
    <w:multiLevelType w:val="hybridMultilevel"/>
    <w:tmpl w:val="CFEC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Device Font 10cpi" w:hAnsi="Device Font 10cp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Device Font 10cpi" w:hAnsi="Device Font 10cp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Device Font 10cpi" w:hAnsi="Device Font 10cpi"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62CFF"/>
    <w:multiLevelType w:val="multilevel"/>
    <w:tmpl w:val="CAB8A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780436"/>
    <w:multiLevelType w:val="hybridMultilevel"/>
    <w:tmpl w:val="99025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CEC2F7E"/>
    <w:multiLevelType w:val="hybridMultilevel"/>
    <w:tmpl w:val="599A0318"/>
    <w:lvl w:ilvl="0" w:tplc="08090001">
      <w:start w:val="1"/>
      <w:numFmt w:val="bullet"/>
      <w:lvlText w:val=""/>
      <w:lvlJc w:val="left"/>
      <w:pPr>
        <w:ind w:left="1077" w:hanging="360"/>
      </w:pPr>
      <w:rPr>
        <w:rFonts w:ascii="Symbol" w:hAnsi="Symbol" w:cs="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cs="Wingdings" w:hint="default"/>
      </w:rPr>
    </w:lvl>
    <w:lvl w:ilvl="3" w:tplc="08090001" w:tentative="1">
      <w:start w:val="1"/>
      <w:numFmt w:val="bullet"/>
      <w:lvlText w:val=""/>
      <w:lvlJc w:val="left"/>
      <w:pPr>
        <w:ind w:left="3237" w:hanging="360"/>
      </w:pPr>
      <w:rPr>
        <w:rFonts w:ascii="Symbol" w:hAnsi="Symbol" w:cs="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cs="Wingdings" w:hint="default"/>
      </w:rPr>
    </w:lvl>
    <w:lvl w:ilvl="6" w:tplc="08090001" w:tentative="1">
      <w:start w:val="1"/>
      <w:numFmt w:val="bullet"/>
      <w:lvlText w:val=""/>
      <w:lvlJc w:val="left"/>
      <w:pPr>
        <w:ind w:left="5397" w:hanging="360"/>
      </w:pPr>
      <w:rPr>
        <w:rFonts w:ascii="Symbol" w:hAnsi="Symbol" w:cs="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cs="Wingdings" w:hint="default"/>
      </w:rPr>
    </w:lvl>
  </w:abstractNum>
  <w:abstractNum w:abstractNumId="23" w15:restartNumberingAfterBreak="0">
    <w:nsid w:val="4E17182B"/>
    <w:multiLevelType w:val="hybridMultilevel"/>
    <w:tmpl w:val="196807B8"/>
    <w:lvl w:ilvl="0" w:tplc="35D8F134">
      <w:numFmt w:val="bullet"/>
      <w:lvlText w:val="-"/>
      <w:lvlJc w:val="left"/>
      <w:pPr>
        <w:ind w:left="2540" w:hanging="360"/>
      </w:pPr>
      <w:rPr>
        <w:rFonts w:ascii="Arial" w:eastAsia="Times New Roman" w:hAnsi="Arial" w:cs="Arial" w:hint="default"/>
      </w:rPr>
    </w:lvl>
    <w:lvl w:ilvl="1" w:tplc="08090003" w:tentative="1">
      <w:start w:val="1"/>
      <w:numFmt w:val="bullet"/>
      <w:lvlText w:val="o"/>
      <w:lvlJc w:val="left"/>
      <w:pPr>
        <w:ind w:left="3260" w:hanging="360"/>
      </w:pPr>
      <w:rPr>
        <w:rFonts w:ascii="Courier New" w:hAnsi="Courier New" w:cs="Courier New" w:hint="default"/>
      </w:rPr>
    </w:lvl>
    <w:lvl w:ilvl="2" w:tplc="08090005" w:tentative="1">
      <w:start w:val="1"/>
      <w:numFmt w:val="bullet"/>
      <w:lvlText w:val=""/>
      <w:lvlJc w:val="left"/>
      <w:pPr>
        <w:ind w:left="3980" w:hanging="360"/>
      </w:pPr>
      <w:rPr>
        <w:rFonts w:ascii="Wingdings" w:hAnsi="Wingdings" w:cs="Wingdings" w:hint="default"/>
      </w:rPr>
    </w:lvl>
    <w:lvl w:ilvl="3" w:tplc="08090001" w:tentative="1">
      <w:start w:val="1"/>
      <w:numFmt w:val="bullet"/>
      <w:lvlText w:val=""/>
      <w:lvlJc w:val="left"/>
      <w:pPr>
        <w:ind w:left="4700" w:hanging="360"/>
      </w:pPr>
      <w:rPr>
        <w:rFonts w:ascii="Symbol" w:hAnsi="Symbol" w:cs="Symbol" w:hint="default"/>
      </w:rPr>
    </w:lvl>
    <w:lvl w:ilvl="4" w:tplc="08090003" w:tentative="1">
      <w:start w:val="1"/>
      <w:numFmt w:val="bullet"/>
      <w:lvlText w:val="o"/>
      <w:lvlJc w:val="left"/>
      <w:pPr>
        <w:ind w:left="5420" w:hanging="360"/>
      </w:pPr>
      <w:rPr>
        <w:rFonts w:ascii="Courier New" w:hAnsi="Courier New" w:cs="Courier New" w:hint="default"/>
      </w:rPr>
    </w:lvl>
    <w:lvl w:ilvl="5" w:tplc="08090005" w:tentative="1">
      <w:start w:val="1"/>
      <w:numFmt w:val="bullet"/>
      <w:lvlText w:val=""/>
      <w:lvlJc w:val="left"/>
      <w:pPr>
        <w:ind w:left="6140" w:hanging="360"/>
      </w:pPr>
      <w:rPr>
        <w:rFonts w:ascii="Wingdings" w:hAnsi="Wingdings" w:cs="Wingdings" w:hint="default"/>
      </w:rPr>
    </w:lvl>
    <w:lvl w:ilvl="6" w:tplc="08090001" w:tentative="1">
      <w:start w:val="1"/>
      <w:numFmt w:val="bullet"/>
      <w:lvlText w:val=""/>
      <w:lvlJc w:val="left"/>
      <w:pPr>
        <w:ind w:left="6860" w:hanging="360"/>
      </w:pPr>
      <w:rPr>
        <w:rFonts w:ascii="Symbol" w:hAnsi="Symbol" w:cs="Symbol" w:hint="default"/>
      </w:rPr>
    </w:lvl>
    <w:lvl w:ilvl="7" w:tplc="08090003" w:tentative="1">
      <w:start w:val="1"/>
      <w:numFmt w:val="bullet"/>
      <w:lvlText w:val="o"/>
      <w:lvlJc w:val="left"/>
      <w:pPr>
        <w:ind w:left="7580" w:hanging="360"/>
      </w:pPr>
      <w:rPr>
        <w:rFonts w:ascii="Courier New" w:hAnsi="Courier New" w:cs="Courier New" w:hint="default"/>
      </w:rPr>
    </w:lvl>
    <w:lvl w:ilvl="8" w:tplc="08090005" w:tentative="1">
      <w:start w:val="1"/>
      <w:numFmt w:val="bullet"/>
      <w:lvlText w:val=""/>
      <w:lvlJc w:val="left"/>
      <w:pPr>
        <w:ind w:left="8300" w:hanging="360"/>
      </w:pPr>
      <w:rPr>
        <w:rFonts w:ascii="Wingdings" w:hAnsi="Wingdings" w:cs="Wingdings" w:hint="default"/>
      </w:rPr>
    </w:lvl>
  </w:abstractNum>
  <w:abstractNum w:abstractNumId="24" w15:restartNumberingAfterBreak="0">
    <w:nsid w:val="4E9033C0"/>
    <w:multiLevelType w:val="hybridMultilevel"/>
    <w:tmpl w:val="0B2A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C77476"/>
    <w:multiLevelType w:val="hybridMultilevel"/>
    <w:tmpl w:val="5E78A9FC"/>
    <w:lvl w:ilvl="0" w:tplc="98CA2C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D70D34"/>
    <w:multiLevelType w:val="hybridMultilevel"/>
    <w:tmpl w:val="8A44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D231B2"/>
    <w:multiLevelType w:val="hybridMultilevel"/>
    <w:tmpl w:val="7388A0A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8" w15:restartNumberingAfterBreak="0">
    <w:nsid w:val="57B63715"/>
    <w:multiLevelType w:val="hybridMultilevel"/>
    <w:tmpl w:val="387ECC28"/>
    <w:lvl w:ilvl="0" w:tplc="640C95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0324A"/>
    <w:multiLevelType w:val="hybridMultilevel"/>
    <w:tmpl w:val="BD608E50"/>
    <w:lvl w:ilvl="0" w:tplc="731C8A50">
      <w:start w:val="1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CA30A7"/>
    <w:multiLevelType w:val="hybridMultilevel"/>
    <w:tmpl w:val="86C0FEE8"/>
    <w:lvl w:ilvl="0" w:tplc="65EA4188">
      <w:start w:val="1"/>
      <w:numFmt w:val="lowerLetter"/>
      <w:lvlText w:val="(%1)"/>
      <w:lvlJc w:val="left"/>
      <w:pPr>
        <w:ind w:left="720" w:hanging="360"/>
      </w:pPr>
      <w:rPr>
        <w:rFonts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F21A01"/>
    <w:multiLevelType w:val="hybridMultilevel"/>
    <w:tmpl w:val="DADCE3A6"/>
    <w:lvl w:ilvl="0" w:tplc="A87E83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C60C6C"/>
    <w:multiLevelType w:val="hybridMultilevel"/>
    <w:tmpl w:val="525E510A"/>
    <w:lvl w:ilvl="0" w:tplc="84425EF4">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5951EB"/>
    <w:multiLevelType w:val="hybridMultilevel"/>
    <w:tmpl w:val="F58A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0A2330"/>
    <w:multiLevelType w:val="multilevel"/>
    <w:tmpl w:val="5BCAC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896497"/>
    <w:multiLevelType w:val="hybridMultilevel"/>
    <w:tmpl w:val="A3883320"/>
    <w:lvl w:ilvl="0" w:tplc="AD8C812E">
      <w:start w:val="1"/>
      <w:numFmt w:val="bullet"/>
      <w:lvlText w:val=""/>
      <w:lvlPicBulletId w:val="0"/>
      <w:lvlJc w:val="left"/>
      <w:pPr>
        <w:ind w:left="720" w:hanging="360"/>
      </w:pPr>
      <w:rPr>
        <w:rFonts w:ascii="Symbol"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9335E7"/>
    <w:multiLevelType w:val="hybridMultilevel"/>
    <w:tmpl w:val="4B9E4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1449A4"/>
    <w:multiLevelType w:val="hybridMultilevel"/>
    <w:tmpl w:val="B238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C04F2E"/>
    <w:multiLevelType w:val="hybridMultilevel"/>
    <w:tmpl w:val="D37E1A98"/>
    <w:lvl w:ilvl="0" w:tplc="336066A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AE31FB5"/>
    <w:multiLevelType w:val="hybridMultilevel"/>
    <w:tmpl w:val="88D26FB2"/>
    <w:lvl w:ilvl="0" w:tplc="942E1B82">
      <w:start w:val="1"/>
      <w:numFmt w:val="lowerRoman"/>
      <w:lvlText w:val="%1)"/>
      <w:lvlJc w:val="left"/>
      <w:pPr>
        <w:ind w:left="1080" w:hanging="72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7B7936"/>
    <w:multiLevelType w:val="hybridMultilevel"/>
    <w:tmpl w:val="695438D4"/>
    <w:lvl w:ilvl="0" w:tplc="817C04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336709"/>
    <w:multiLevelType w:val="hybridMultilevel"/>
    <w:tmpl w:val="3886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4C2571"/>
    <w:multiLevelType w:val="hybridMultilevel"/>
    <w:tmpl w:val="12C46FA8"/>
    <w:lvl w:ilvl="0" w:tplc="8BA493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4B33ED"/>
    <w:multiLevelType w:val="hybridMultilevel"/>
    <w:tmpl w:val="7DA8FF06"/>
    <w:lvl w:ilvl="0" w:tplc="9E7A5176">
      <w:start w:val="8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351068">
    <w:abstractNumId w:val="35"/>
  </w:num>
  <w:num w:numId="2" w16cid:durableId="423843218">
    <w:abstractNumId w:val="25"/>
  </w:num>
  <w:num w:numId="3" w16cid:durableId="1882665754">
    <w:abstractNumId w:val="40"/>
  </w:num>
  <w:num w:numId="4" w16cid:durableId="595671692">
    <w:abstractNumId w:val="38"/>
  </w:num>
  <w:num w:numId="5" w16cid:durableId="252277576">
    <w:abstractNumId w:val="41"/>
  </w:num>
  <w:num w:numId="6" w16cid:durableId="1300921180">
    <w:abstractNumId w:val="4"/>
  </w:num>
  <w:num w:numId="7" w16cid:durableId="1155609185">
    <w:abstractNumId w:val="13"/>
  </w:num>
  <w:num w:numId="8" w16cid:durableId="1525363717">
    <w:abstractNumId w:val="21"/>
  </w:num>
  <w:num w:numId="9" w16cid:durableId="1419063224">
    <w:abstractNumId w:val="11"/>
  </w:num>
  <w:num w:numId="10" w16cid:durableId="1986351369">
    <w:abstractNumId w:val="12"/>
  </w:num>
  <w:num w:numId="11" w16cid:durableId="2031832295">
    <w:abstractNumId w:val="34"/>
  </w:num>
  <w:num w:numId="12" w16cid:durableId="449324215">
    <w:abstractNumId w:val="10"/>
  </w:num>
  <w:num w:numId="13" w16cid:durableId="2146923824">
    <w:abstractNumId w:val="20"/>
  </w:num>
  <w:num w:numId="14" w16cid:durableId="1152021990">
    <w:abstractNumId w:val="19"/>
  </w:num>
  <w:num w:numId="15" w16cid:durableId="1792699203">
    <w:abstractNumId w:val="8"/>
  </w:num>
  <w:num w:numId="16" w16cid:durableId="648436952">
    <w:abstractNumId w:val="37"/>
  </w:num>
  <w:num w:numId="17" w16cid:durableId="62290633">
    <w:abstractNumId w:val="36"/>
  </w:num>
  <w:num w:numId="18" w16cid:durableId="2130195373">
    <w:abstractNumId w:val="33"/>
  </w:num>
  <w:num w:numId="19" w16cid:durableId="1468081911">
    <w:abstractNumId w:val="30"/>
  </w:num>
  <w:num w:numId="20" w16cid:durableId="173689524">
    <w:abstractNumId w:val="6"/>
  </w:num>
  <w:num w:numId="21" w16cid:durableId="1839618393">
    <w:abstractNumId w:val="22"/>
  </w:num>
  <w:num w:numId="22" w16cid:durableId="766274549">
    <w:abstractNumId w:val="15"/>
  </w:num>
  <w:num w:numId="23" w16cid:durableId="1789468773">
    <w:abstractNumId w:val="3"/>
  </w:num>
  <w:num w:numId="24" w16cid:durableId="338701717">
    <w:abstractNumId w:val="9"/>
  </w:num>
  <w:num w:numId="25" w16cid:durableId="212928031">
    <w:abstractNumId w:val="28"/>
  </w:num>
  <w:num w:numId="26" w16cid:durableId="205946558">
    <w:abstractNumId w:val="24"/>
  </w:num>
  <w:num w:numId="27" w16cid:durableId="661785740">
    <w:abstractNumId w:val="39"/>
  </w:num>
  <w:num w:numId="28" w16cid:durableId="1078749211">
    <w:abstractNumId w:val="0"/>
  </w:num>
  <w:num w:numId="29" w16cid:durableId="1414619711">
    <w:abstractNumId w:val="7"/>
  </w:num>
  <w:num w:numId="30" w16cid:durableId="107044117">
    <w:abstractNumId w:val="23"/>
  </w:num>
  <w:num w:numId="31" w16cid:durableId="2146042874">
    <w:abstractNumId w:val="17"/>
  </w:num>
  <w:num w:numId="32" w16cid:durableId="1532187924">
    <w:abstractNumId w:val="42"/>
  </w:num>
  <w:num w:numId="33" w16cid:durableId="2068995475">
    <w:abstractNumId w:val="18"/>
  </w:num>
  <w:num w:numId="34" w16cid:durableId="246621776">
    <w:abstractNumId w:val="5"/>
  </w:num>
  <w:num w:numId="35" w16cid:durableId="1259144905">
    <w:abstractNumId w:val="27"/>
  </w:num>
  <w:num w:numId="36" w16cid:durableId="2084521728">
    <w:abstractNumId w:val="26"/>
  </w:num>
  <w:num w:numId="37" w16cid:durableId="57290118">
    <w:abstractNumId w:val="1"/>
  </w:num>
  <w:num w:numId="38" w16cid:durableId="1791783930">
    <w:abstractNumId w:val="2"/>
  </w:num>
  <w:num w:numId="39" w16cid:durableId="64227885">
    <w:abstractNumId w:val="29"/>
  </w:num>
  <w:num w:numId="40" w16cid:durableId="641617290">
    <w:abstractNumId w:val="14"/>
  </w:num>
  <w:num w:numId="41" w16cid:durableId="387801082">
    <w:abstractNumId w:val="43"/>
  </w:num>
  <w:num w:numId="42" w16cid:durableId="704717211">
    <w:abstractNumId w:val="16"/>
  </w:num>
  <w:num w:numId="43" w16cid:durableId="268583808">
    <w:abstractNumId w:val="32"/>
  </w:num>
  <w:num w:numId="44" w16cid:durableId="16359110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0jclAdTFooTo1Jbd+rwoDJP/oPBG7WFn8Ysbs4oGylV58mjKyL0ipB4v4ZQLEndm756dqiCdAtC9RnzxmbWEpg==" w:salt="fl3XXznezyyTSaF3Ug4Zvg=="/>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Audi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627 AC 27 June 2022"/>
    <w:docVar w:name="Trove_G_1_Withdraw" w:val="-1"/>
    <w:docVar w:name="Trove_H_Title_1" w:val="220627 AC 27 June 2022"/>
    <w:docVar w:name="Trove_H_Version_1" w:val=" "/>
  </w:docVars>
  <w:rsids>
    <w:rsidRoot w:val="00823D43"/>
    <w:rsid w:val="00003B40"/>
    <w:rsid w:val="000061E4"/>
    <w:rsid w:val="0001164C"/>
    <w:rsid w:val="00014EDD"/>
    <w:rsid w:val="00015945"/>
    <w:rsid w:val="00020A2D"/>
    <w:rsid w:val="000228CA"/>
    <w:rsid w:val="00022B52"/>
    <w:rsid w:val="000303BB"/>
    <w:rsid w:val="00031DC7"/>
    <w:rsid w:val="000347D7"/>
    <w:rsid w:val="0004022C"/>
    <w:rsid w:val="00042650"/>
    <w:rsid w:val="000439A7"/>
    <w:rsid w:val="00043B21"/>
    <w:rsid w:val="00051D0C"/>
    <w:rsid w:val="00057E15"/>
    <w:rsid w:val="0006749C"/>
    <w:rsid w:val="00071595"/>
    <w:rsid w:val="0007593C"/>
    <w:rsid w:val="000766E9"/>
    <w:rsid w:val="00077E3C"/>
    <w:rsid w:val="00080606"/>
    <w:rsid w:val="00095E52"/>
    <w:rsid w:val="000A418C"/>
    <w:rsid w:val="000A7501"/>
    <w:rsid w:val="000B3A40"/>
    <w:rsid w:val="000B6DBB"/>
    <w:rsid w:val="000B75B6"/>
    <w:rsid w:val="000C119F"/>
    <w:rsid w:val="000C2112"/>
    <w:rsid w:val="000D0E15"/>
    <w:rsid w:val="000D1B1C"/>
    <w:rsid w:val="000D27CF"/>
    <w:rsid w:val="000D72DE"/>
    <w:rsid w:val="000E2022"/>
    <w:rsid w:val="000E309F"/>
    <w:rsid w:val="000E5B8B"/>
    <w:rsid w:val="000E730E"/>
    <w:rsid w:val="000F1E2A"/>
    <w:rsid w:val="000F2B82"/>
    <w:rsid w:val="000F32CC"/>
    <w:rsid w:val="00102518"/>
    <w:rsid w:val="0010525A"/>
    <w:rsid w:val="00111C5B"/>
    <w:rsid w:val="0011208C"/>
    <w:rsid w:val="001154BD"/>
    <w:rsid w:val="00120986"/>
    <w:rsid w:val="00130C54"/>
    <w:rsid w:val="00131424"/>
    <w:rsid w:val="00133C5B"/>
    <w:rsid w:val="00135D3E"/>
    <w:rsid w:val="00137FE7"/>
    <w:rsid w:val="00140BCF"/>
    <w:rsid w:val="00150BA1"/>
    <w:rsid w:val="00151B37"/>
    <w:rsid w:val="00152E3A"/>
    <w:rsid w:val="001558F3"/>
    <w:rsid w:val="00155BAC"/>
    <w:rsid w:val="00161434"/>
    <w:rsid w:val="00166B44"/>
    <w:rsid w:val="00170190"/>
    <w:rsid w:val="00171482"/>
    <w:rsid w:val="00171E7C"/>
    <w:rsid w:val="00172286"/>
    <w:rsid w:val="001736F2"/>
    <w:rsid w:val="0018183F"/>
    <w:rsid w:val="00181EBF"/>
    <w:rsid w:val="00182795"/>
    <w:rsid w:val="001B0955"/>
    <w:rsid w:val="001B4807"/>
    <w:rsid w:val="001C07DA"/>
    <w:rsid w:val="001D1E45"/>
    <w:rsid w:val="001D395D"/>
    <w:rsid w:val="001D4EBE"/>
    <w:rsid w:val="001E4494"/>
    <w:rsid w:val="001E49A6"/>
    <w:rsid w:val="001E4FAA"/>
    <w:rsid w:val="001E5C13"/>
    <w:rsid w:val="001F1ECF"/>
    <w:rsid w:val="001F713E"/>
    <w:rsid w:val="00205B03"/>
    <w:rsid w:val="00211DCE"/>
    <w:rsid w:val="00214404"/>
    <w:rsid w:val="00221623"/>
    <w:rsid w:val="00232E98"/>
    <w:rsid w:val="0025237D"/>
    <w:rsid w:val="00255617"/>
    <w:rsid w:val="00263064"/>
    <w:rsid w:val="00267C50"/>
    <w:rsid w:val="00274165"/>
    <w:rsid w:val="00280C80"/>
    <w:rsid w:val="002867D2"/>
    <w:rsid w:val="00286DB7"/>
    <w:rsid w:val="00286FF2"/>
    <w:rsid w:val="002910FE"/>
    <w:rsid w:val="00293406"/>
    <w:rsid w:val="00293EAC"/>
    <w:rsid w:val="002952C5"/>
    <w:rsid w:val="002960E2"/>
    <w:rsid w:val="0029760A"/>
    <w:rsid w:val="002B29FD"/>
    <w:rsid w:val="002B2A27"/>
    <w:rsid w:val="002B385E"/>
    <w:rsid w:val="002B6E6D"/>
    <w:rsid w:val="002C1D04"/>
    <w:rsid w:val="002C21EC"/>
    <w:rsid w:val="002C469E"/>
    <w:rsid w:val="002C719F"/>
    <w:rsid w:val="002D01C4"/>
    <w:rsid w:val="002D39D3"/>
    <w:rsid w:val="002D5590"/>
    <w:rsid w:val="002F0850"/>
    <w:rsid w:val="002F11E4"/>
    <w:rsid w:val="002F2A90"/>
    <w:rsid w:val="002F382D"/>
    <w:rsid w:val="002F7350"/>
    <w:rsid w:val="00300592"/>
    <w:rsid w:val="00302143"/>
    <w:rsid w:val="0031190D"/>
    <w:rsid w:val="00320241"/>
    <w:rsid w:val="00340235"/>
    <w:rsid w:val="00341246"/>
    <w:rsid w:val="00351B34"/>
    <w:rsid w:val="00354BFD"/>
    <w:rsid w:val="00355DDC"/>
    <w:rsid w:val="00356EC8"/>
    <w:rsid w:val="00366780"/>
    <w:rsid w:val="003767A0"/>
    <w:rsid w:val="003807FE"/>
    <w:rsid w:val="003836E4"/>
    <w:rsid w:val="00386C50"/>
    <w:rsid w:val="003922AA"/>
    <w:rsid w:val="003939BA"/>
    <w:rsid w:val="00394D8A"/>
    <w:rsid w:val="00397F3D"/>
    <w:rsid w:val="003B30A1"/>
    <w:rsid w:val="003B6379"/>
    <w:rsid w:val="003C540B"/>
    <w:rsid w:val="003D5017"/>
    <w:rsid w:val="003F18D2"/>
    <w:rsid w:val="003F4F08"/>
    <w:rsid w:val="004035C2"/>
    <w:rsid w:val="00413235"/>
    <w:rsid w:val="00414C22"/>
    <w:rsid w:val="00417EF9"/>
    <w:rsid w:val="0042104E"/>
    <w:rsid w:val="00424AB8"/>
    <w:rsid w:val="00430913"/>
    <w:rsid w:val="00453BE0"/>
    <w:rsid w:val="004568C5"/>
    <w:rsid w:val="00457EEC"/>
    <w:rsid w:val="00462B78"/>
    <w:rsid w:val="0046693E"/>
    <w:rsid w:val="0047606A"/>
    <w:rsid w:val="00490E91"/>
    <w:rsid w:val="004911CF"/>
    <w:rsid w:val="00491E13"/>
    <w:rsid w:val="00497FAD"/>
    <w:rsid w:val="004A32B9"/>
    <w:rsid w:val="004B56C8"/>
    <w:rsid w:val="004B64E6"/>
    <w:rsid w:val="004C25BF"/>
    <w:rsid w:val="004C3C1C"/>
    <w:rsid w:val="004C4467"/>
    <w:rsid w:val="004C6E37"/>
    <w:rsid w:val="004D311B"/>
    <w:rsid w:val="004D4DE2"/>
    <w:rsid w:val="004E5557"/>
    <w:rsid w:val="004F2D4A"/>
    <w:rsid w:val="004F4E65"/>
    <w:rsid w:val="00501BB8"/>
    <w:rsid w:val="0050697A"/>
    <w:rsid w:val="00507916"/>
    <w:rsid w:val="00512561"/>
    <w:rsid w:val="0051449B"/>
    <w:rsid w:val="0054364C"/>
    <w:rsid w:val="0054486D"/>
    <w:rsid w:val="0055209A"/>
    <w:rsid w:val="00554135"/>
    <w:rsid w:val="00561040"/>
    <w:rsid w:val="0056260D"/>
    <w:rsid w:val="005644A9"/>
    <w:rsid w:val="00570586"/>
    <w:rsid w:val="005718D1"/>
    <w:rsid w:val="00575F15"/>
    <w:rsid w:val="00580EBD"/>
    <w:rsid w:val="0058467E"/>
    <w:rsid w:val="00584FC4"/>
    <w:rsid w:val="00585B29"/>
    <w:rsid w:val="00586B5C"/>
    <w:rsid w:val="00586CBF"/>
    <w:rsid w:val="005878C1"/>
    <w:rsid w:val="00597125"/>
    <w:rsid w:val="00597282"/>
    <w:rsid w:val="005A07CA"/>
    <w:rsid w:val="005A0D4A"/>
    <w:rsid w:val="005A5322"/>
    <w:rsid w:val="005A705A"/>
    <w:rsid w:val="005A791F"/>
    <w:rsid w:val="005B1443"/>
    <w:rsid w:val="005B4F5F"/>
    <w:rsid w:val="005C04BD"/>
    <w:rsid w:val="005C0901"/>
    <w:rsid w:val="005C3B95"/>
    <w:rsid w:val="005C6D7E"/>
    <w:rsid w:val="005F2B8E"/>
    <w:rsid w:val="005F3450"/>
    <w:rsid w:val="005F353F"/>
    <w:rsid w:val="005F4C85"/>
    <w:rsid w:val="005F7A0F"/>
    <w:rsid w:val="006033FF"/>
    <w:rsid w:val="00614D50"/>
    <w:rsid w:val="00644D3D"/>
    <w:rsid w:val="00651064"/>
    <w:rsid w:val="00651E21"/>
    <w:rsid w:val="006522F3"/>
    <w:rsid w:val="00654991"/>
    <w:rsid w:val="00662848"/>
    <w:rsid w:val="0067403C"/>
    <w:rsid w:val="00675EE0"/>
    <w:rsid w:val="006819E4"/>
    <w:rsid w:val="00681FCF"/>
    <w:rsid w:val="00683B67"/>
    <w:rsid w:val="00684186"/>
    <w:rsid w:val="006842B6"/>
    <w:rsid w:val="006940F1"/>
    <w:rsid w:val="006A3AC2"/>
    <w:rsid w:val="006A45ED"/>
    <w:rsid w:val="006A462C"/>
    <w:rsid w:val="006B1799"/>
    <w:rsid w:val="006B54A3"/>
    <w:rsid w:val="006C4ECB"/>
    <w:rsid w:val="006D30C2"/>
    <w:rsid w:val="006D4543"/>
    <w:rsid w:val="006D761C"/>
    <w:rsid w:val="006E2065"/>
    <w:rsid w:val="006E26CD"/>
    <w:rsid w:val="006E2F2F"/>
    <w:rsid w:val="006F199E"/>
    <w:rsid w:val="006F1FEE"/>
    <w:rsid w:val="006F312B"/>
    <w:rsid w:val="006F4A55"/>
    <w:rsid w:val="006F5064"/>
    <w:rsid w:val="00701F43"/>
    <w:rsid w:val="007054ED"/>
    <w:rsid w:val="0071093B"/>
    <w:rsid w:val="0071549F"/>
    <w:rsid w:val="00715EF9"/>
    <w:rsid w:val="00721A15"/>
    <w:rsid w:val="007250F8"/>
    <w:rsid w:val="0073587B"/>
    <w:rsid w:val="00737881"/>
    <w:rsid w:val="00746BEF"/>
    <w:rsid w:val="00746CE0"/>
    <w:rsid w:val="00755167"/>
    <w:rsid w:val="00757D71"/>
    <w:rsid w:val="00763E3F"/>
    <w:rsid w:val="00764A5E"/>
    <w:rsid w:val="0076572D"/>
    <w:rsid w:val="0076712A"/>
    <w:rsid w:val="00771E25"/>
    <w:rsid w:val="00775EEB"/>
    <w:rsid w:val="00797930"/>
    <w:rsid w:val="007A190A"/>
    <w:rsid w:val="007A48F3"/>
    <w:rsid w:val="007A57C1"/>
    <w:rsid w:val="007C125B"/>
    <w:rsid w:val="007C5430"/>
    <w:rsid w:val="007D288E"/>
    <w:rsid w:val="007D2F4F"/>
    <w:rsid w:val="007D3E38"/>
    <w:rsid w:val="007D6E26"/>
    <w:rsid w:val="007F1D15"/>
    <w:rsid w:val="007F2604"/>
    <w:rsid w:val="007F457B"/>
    <w:rsid w:val="008005AB"/>
    <w:rsid w:val="00804C17"/>
    <w:rsid w:val="00807B9F"/>
    <w:rsid w:val="00820815"/>
    <w:rsid w:val="00822220"/>
    <w:rsid w:val="00823D43"/>
    <w:rsid w:val="0082627A"/>
    <w:rsid w:val="00827B48"/>
    <w:rsid w:val="0083622E"/>
    <w:rsid w:val="00837CE9"/>
    <w:rsid w:val="00841F8D"/>
    <w:rsid w:val="008521D4"/>
    <w:rsid w:val="008542AB"/>
    <w:rsid w:val="00855615"/>
    <w:rsid w:val="00856CCE"/>
    <w:rsid w:val="00860193"/>
    <w:rsid w:val="008650EF"/>
    <w:rsid w:val="0087200D"/>
    <w:rsid w:val="008729E4"/>
    <w:rsid w:val="00877327"/>
    <w:rsid w:val="00880565"/>
    <w:rsid w:val="008808F3"/>
    <w:rsid w:val="00881ED1"/>
    <w:rsid w:val="00882D9D"/>
    <w:rsid w:val="0088355A"/>
    <w:rsid w:val="00883FAE"/>
    <w:rsid w:val="00885DF8"/>
    <w:rsid w:val="00891849"/>
    <w:rsid w:val="0089739B"/>
    <w:rsid w:val="008A6AD0"/>
    <w:rsid w:val="008D44C1"/>
    <w:rsid w:val="008E4EA7"/>
    <w:rsid w:val="008F727F"/>
    <w:rsid w:val="008F7A5D"/>
    <w:rsid w:val="00903291"/>
    <w:rsid w:val="00906B78"/>
    <w:rsid w:val="00906F3C"/>
    <w:rsid w:val="0090782A"/>
    <w:rsid w:val="00922A77"/>
    <w:rsid w:val="00922CB2"/>
    <w:rsid w:val="00923E53"/>
    <w:rsid w:val="00927455"/>
    <w:rsid w:val="00931A50"/>
    <w:rsid w:val="00932E0B"/>
    <w:rsid w:val="00934575"/>
    <w:rsid w:val="00934771"/>
    <w:rsid w:val="009403CA"/>
    <w:rsid w:val="00941B3A"/>
    <w:rsid w:val="00942EAD"/>
    <w:rsid w:val="009445CC"/>
    <w:rsid w:val="00946603"/>
    <w:rsid w:val="00957C92"/>
    <w:rsid w:val="009602D4"/>
    <w:rsid w:val="0096298D"/>
    <w:rsid w:val="009648CA"/>
    <w:rsid w:val="00965B70"/>
    <w:rsid w:val="00973B02"/>
    <w:rsid w:val="00976E03"/>
    <w:rsid w:val="00980C61"/>
    <w:rsid w:val="009913E5"/>
    <w:rsid w:val="00991F6D"/>
    <w:rsid w:val="00993535"/>
    <w:rsid w:val="00996AA6"/>
    <w:rsid w:val="009B12F9"/>
    <w:rsid w:val="009B65FF"/>
    <w:rsid w:val="009B7C49"/>
    <w:rsid w:val="009C492A"/>
    <w:rsid w:val="009D0A8B"/>
    <w:rsid w:val="009D1BDB"/>
    <w:rsid w:val="009D535D"/>
    <w:rsid w:val="009E2CD1"/>
    <w:rsid w:val="009F080E"/>
    <w:rsid w:val="009F266E"/>
    <w:rsid w:val="009F2C1C"/>
    <w:rsid w:val="009F2EBD"/>
    <w:rsid w:val="009F49B9"/>
    <w:rsid w:val="00A00AB4"/>
    <w:rsid w:val="00A02E99"/>
    <w:rsid w:val="00A048A9"/>
    <w:rsid w:val="00A05BBB"/>
    <w:rsid w:val="00A06B30"/>
    <w:rsid w:val="00A21B01"/>
    <w:rsid w:val="00A4293E"/>
    <w:rsid w:val="00A47C6C"/>
    <w:rsid w:val="00A521EA"/>
    <w:rsid w:val="00A56834"/>
    <w:rsid w:val="00A613AA"/>
    <w:rsid w:val="00A72774"/>
    <w:rsid w:val="00A73A16"/>
    <w:rsid w:val="00A75453"/>
    <w:rsid w:val="00A777B4"/>
    <w:rsid w:val="00A81B65"/>
    <w:rsid w:val="00A83033"/>
    <w:rsid w:val="00A87BA1"/>
    <w:rsid w:val="00A93BF5"/>
    <w:rsid w:val="00AA1F58"/>
    <w:rsid w:val="00AA64D0"/>
    <w:rsid w:val="00AB6FCF"/>
    <w:rsid w:val="00AC42B4"/>
    <w:rsid w:val="00AC53F3"/>
    <w:rsid w:val="00AD00C5"/>
    <w:rsid w:val="00AD0784"/>
    <w:rsid w:val="00AD4783"/>
    <w:rsid w:val="00AE3FFF"/>
    <w:rsid w:val="00AE59E9"/>
    <w:rsid w:val="00AE6611"/>
    <w:rsid w:val="00AE7224"/>
    <w:rsid w:val="00AF2B3B"/>
    <w:rsid w:val="00AF42C9"/>
    <w:rsid w:val="00AF6726"/>
    <w:rsid w:val="00B007D2"/>
    <w:rsid w:val="00B139BE"/>
    <w:rsid w:val="00B13EF0"/>
    <w:rsid w:val="00B23045"/>
    <w:rsid w:val="00B31F10"/>
    <w:rsid w:val="00B324CE"/>
    <w:rsid w:val="00B424C4"/>
    <w:rsid w:val="00B42B62"/>
    <w:rsid w:val="00B5314E"/>
    <w:rsid w:val="00B61A97"/>
    <w:rsid w:val="00B61D4D"/>
    <w:rsid w:val="00B65F33"/>
    <w:rsid w:val="00B83A8E"/>
    <w:rsid w:val="00B83B1A"/>
    <w:rsid w:val="00B871D5"/>
    <w:rsid w:val="00B916E4"/>
    <w:rsid w:val="00B97348"/>
    <w:rsid w:val="00BA4185"/>
    <w:rsid w:val="00BA5B9E"/>
    <w:rsid w:val="00BA72E7"/>
    <w:rsid w:val="00BA7BE0"/>
    <w:rsid w:val="00BC3941"/>
    <w:rsid w:val="00BC39ED"/>
    <w:rsid w:val="00BC5B71"/>
    <w:rsid w:val="00BC5DB4"/>
    <w:rsid w:val="00BD211F"/>
    <w:rsid w:val="00BE2D7F"/>
    <w:rsid w:val="00C0248F"/>
    <w:rsid w:val="00C03F62"/>
    <w:rsid w:val="00C044CB"/>
    <w:rsid w:val="00C07200"/>
    <w:rsid w:val="00C1152D"/>
    <w:rsid w:val="00C11653"/>
    <w:rsid w:val="00C13866"/>
    <w:rsid w:val="00C13C22"/>
    <w:rsid w:val="00C1796F"/>
    <w:rsid w:val="00C218AD"/>
    <w:rsid w:val="00C26884"/>
    <w:rsid w:val="00C47246"/>
    <w:rsid w:val="00C520F6"/>
    <w:rsid w:val="00C53C41"/>
    <w:rsid w:val="00C551E0"/>
    <w:rsid w:val="00C63880"/>
    <w:rsid w:val="00C721C0"/>
    <w:rsid w:val="00C743F7"/>
    <w:rsid w:val="00C83F88"/>
    <w:rsid w:val="00C86AF9"/>
    <w:rsid w:val="00C87712"/>
    <w:rsid w:val="00C93B73"/>
    <w:rsid w:val="00CA1900"/>
    <w:rsid w:val="00CA5411"/>
    <w:rsid w:val="00CA70D1"/>
    <w:rsid w:val="00CB09DB"/>
    <w:rsid w:val="00CB2FD2"/>
    <w:rsid w:val="00CB6D4F"/>
    <w:rsid w:val="00CC4290"/>
    <w:rsid w:val="00CC6DE4"/>
    <w:rsid w:val="00CC7A6C"/>
    <w:rsid w:val="00CE018D"/>
    <w:rsid w:val="00CE4FA2"/>
    <w:rsid w:val="00CF242C"/>
    <w:rsid w:val="00CF6B13"/>
    <w:rsid w:val="00CF7B0A"/>
    <w:rsid w:val="00D046D4"/>
    <w:rsid w:val="00D13238"/>
    <w:rsid w:val="00D14CA4"/>
    <w:rsid w:val="00D25845"/>
    <w:rsid w:val="00D25A68"/>
    <w:rsid w:val="00D27CAB"/>
    <w:rsid w:val="00D3092C"/>
    <w:rsid w:val="00D30F45"/>
    <w:rsid w:val="00D3379B"/>
    <w:rsid w:val="00D40114"/>
    <w:rsid w:val="00D44E19"/>
    <w:rsid w:val="00D47BE4"/>
    <w:rsid w:val="00D50C36"/>
    <w:rsid w:val="00D51DAD"/>
    <w:rsid w:val="00D52274"/>
    <w:rsid w:val="00D53B5D"/>
    <w:rsid w:val="00D5549A"/>
    <w:rsid w:val="00D7287B"/>
    <w:rsid w:val="00D760D7"/>
    <w:rsid w:val="00D853E0"/>
    <w:rsid w:val="00D92610"/>
    <w:rsid w:val="00D974DE"/>
    <w:rsid w:val="00DA05CE"/>
    <w:rsid w:val="00DA219C"/>
    <w:rsid w:val="00DA69DB"/>
    <w:rsid w:val="00DB25AA"/>
    <w:rsid w:val="00DB67BE"/>
    <w:rsid w:val="00DB6FB8"/>
    <w:rsid w:val="00DC0F2E"/>
    <w:rsid w:val="00DC3D31"/>
    <w:rsid w:val="00DC48F0"/>
    <w:rsid w:val="00DC4F0C"/>
    <w:rsid w:val="00DC5275"/>
    <w:rsid w:val="00DD19C2"/>
    <w:rsid w:val="00DD3EC9"/>
    <w:rsid w:val="00DD4970"/>
    <w:rsid w:val="00DD5FE0"/>
    <w:rsid w:val="00DE0ABF"/>
    <w:rsid w:val="00DE3261"/>
    <w:rsid w:val="00DE78CD"/>
    <w:rsid w:val="00DF1CAB"/>
    <w:rsid w:val="00DF2809"/>
    <w:rsid w:val="00DF390A"/>
    <w:rsid w:val="00DF479C"/>
    <w:rsid w:val="00DF7A69"/>
    <w:rsid w:val="00E00D3E"/>
    <w:rsid w:val="00E01BBD"/>
    <w:rsid w:val="00E042E7"/>
    <w:rsid w:val="00E04507"/>
    <w:rsid w:val="00E05146"/>
    <w:rsid w:val="00E05D90"/>
    <w:rsid w:val="00E2543A"/>
    <w:rsid w:val="00E25BB8"/>
    <w:rsid w:val="00E2610F"/>
    <w:rsid w:val="00E34A00"/>
    <w:rsid w:val="00E379F1"/>
    <w:rsid w:val="00E43B00"/>
    <w:rsid w:val="00E4501F"/>
    <w:rsid w:val="00E456D6"/>
    <w:rsid w:val="00E5230B"/>
    <w:rsid w:val="00E52EE5"/>
    <w:rsid w:val="00E560EB"/>
    <w:rsid w:val="00E8129D"/>
    <w:rsid w:val="00E854F3"/>
    <w:rsid w:val="00E90A02"/>
    <w:rsid w:val="00E93323"/>
    <w:rsid w:val="00E97295"/>
    <w:rsid w:val="00EA3A22"/>
    <w:rsid w:val="00EB0AC4"/>
    <w:rsid w:val="00EB1291"/>
    <w:rsid w:val="00EB6664"/>
    <w:rsid w:val="00EB7F1C"/>
    <w:rsid w:val="00EC2677"/>
    <w:rsid w:val="00EC4397"/>
    <w:rsid w:val="00EC5D4A"/>
    <w:rsid w:val="00EC5EB0"/>
    <w:rsid w:val="00EC7B46"/>
    <w:rsid w:val="00ED1F60"/>
    <w:rsid w:val="00EE046F"/>
    <w:rsid w:val="00EE2448"/>
    <w:rsid w:val="00EE3653"/>
    <w:rsid w:val="00EF0B94"/>
    <w:rsid w:val="00EF5788"/>
    <w:rsid w:val="00F00C76"/>
    <w:rsid w:val="00F04A6C"/>
    <w:rsid w:val="00F1188D"/>
    <w:rsid w:val="00F11C55"/>
    <w:rsid w:val="00F15ED8"/>
    <w:rsid w:val="00F2001C"/>
    <w:rsid w:val="00F2011A"/>
    <w:rsid w:val="00F306D1"/>
    <w:rsid w:val="00F30DFC"/>
    <w:rsid w:val="00F31DFC"/>
    <w:rsid w:val="00F333F4"/>
    <w:rsid w:val="00F444B3"/>
    <w:rsid w:val="00F52647"/>
    <w:rsid w:val="00F5384E"/>
    <w:rsid w:val="00F539BD"/>
    <w:rsid w:val="00F7042E"/>
    <w:rsid w:val="00F73088"/>
    <w:rsid w:val="00F73AF4"/>
    <w:rsid w:val="00F73DA5"/>
    <w:rsid w:val="00F81C59"/>
    <w:rsid w:val="00F9723D"/>
    <w:rsid w:val="00FA1F53"/>
    <w:rsid w:val="00FC1351"/>
    <w:rsid w:val="00FC1BE3"/>
    <w:rsid w:val="00FC281B"/>
    <w:rsid w:val="00FD492D"/>
    <w:rsid w:val="00FE0283"/>
    <w:rsid w:val="00FE03ED"/>
    <w:rsid w:val="00FE3BBA"/>
    <w:rsid w:val="00FE54F6"/>
    <w:rsid w:val="00FF0EF6"/>
    <w:rsid w:val="00FF7265"/>
    <w:rsid w:val="00FF74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308BA17C"/>
  <w15:chartTrackingRefBased/>
  <w15:docId w15:val="{C5D19973-D9A0-40C2-AC35-0C9BBA8A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3D43"/>
    <w:pPr>
      <w:suppressAutoHyphens/>
      <w:autoSpaceDN w:val="0"/>
      <w:spacing w:after="0" w:line="240" w:lineRule="auto"/>
      <w:textAlignment w:val="baseline"/>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E560EB"/>
    <w:pPr>
      <w:keepNext/>
      <w:keepLines/>
      <w:outlineLvl w:val="0"/>
    </w:pPr>
    <w:rPr>
      <w:b/>
      <w:caps/>
      <w:sz w:val="28"/>
      <w:szCs w:val="32"/>
      <w:u w:val="single"/>
    </w:rPr>
  </w:style>
  <w:style w:type="paragraph" w:styleId="Heading2">
    <w:name w:val="heading 2"/>
    <w:basedOn w:val="Normal"/>
    <w:next w:val="Normal"/>
    <w:link w:val="Heading2Char"/>
    <w:uiPriority w:val="9"/>
    <w:unhideWhenUsed/>
    <w:qFormat/>
    <w:rsid w:val="00823D43"/>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0EB"/>
    <w:rPr>
      <w:rFonts w:ascii="Arial" w:eastAsia="Times New Roman" w:hAnsi="Arial" w:cs="Times New Roman"/>
      <w:b/>
      <w:caps/>
      <w:sz w:val="28"/>
      <w:szCs w:val="32"/>
      <w:u w:val="single"/>
    </w:rPr>
  </w:style>
  <w:style w:type="character" w:customStyle="1" w:styleId="Heading2Char">
    <w:name w:val="Heading 2 Char"/>
    <w:basedOn w:val="DefaultParagraphFont"/>
    <w:link w:val="Heading2"/>
    <w:uiPriority w:val="9"/>
    <w:rsid w:val="00823D43"/>
    <w:rPr>
      <w:rFonts w:ascii="Arial" w:eastAsiaTheme="majorEastAsia" w:hAnsi="Arial" w:cstheme="majorBidi"/>
      <w:b/>
      <w:sz w:val="24"/>
      <w:szCs w:val="26"/>
      <w:u w:val="single"/>
    </w:rPr>
  </w:style>
  <w:style w:type="table" w:styleId="TableGrid">
    <w:name w:val="Table Grid"/>
    <w:basedOn w:val="TableNormal"/>
    <w:uiPriority w:val="39"/>
    <w:rsid w:val="00823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D43"/>
    <w:pPr>
      <w:tabs>
        <w:tab w:val="center" w:pos="4513"/>
        <w:tab w:val="right" w:pos="9026"/>
      </w:tabs>
    </w:pPr>
  </w:style>
  <w:style w:type="character" w:customStyle="1" w:styleId="HeaderChar">
    <w:name w:val="Header Char"/>
    <w:basedOn w:val="DefaultParagraphFont"/>
    <w:link w:val="Header"/>
    <w:uiPriority w:val="99"/>
    <w:rsid w:val="00823D43"/>
    <w:rPr>
      <w:rFonts w:ascii="Arial" w:eastAsia="Times New Roman" w:hAnsi="Arial" w:cs="Times New Roman"/>
      <w:sz w:val="24"/>
      <w:szCs w:val="24"/>
    </w:rPr>
  </w:style>
  <w:style w:type="paragraph" w:styleId="Footer">
    <w:name w:val="footer"/>
    <w:basedOn w:val="Normal"/>
    <w:link w:val="FooterChar"/>
    <w:uiPriority w:val="99"/>
    <w:unhideWhenUsed/>
    <w:rsid w:val="00823D43"/>
    <w:pPr>
      <w:tabs>
        <w:tab w:val="center" w:pos="4513"/>
        <w:tab w:val="right" w:pos="9026"/>
      </w:tabs>
    </w:pPr>
  </w:style>
  <w:style w:type="character" w:customStyle="1" w:styleId="FooterChar">
    <w:name w:val="Footer Char"/>
    <w:basedOn w:val="DefaultParagraphFont"/>
    <w:link w:val="Footer"/>
    <w:uiPriority w:val="99"/>
    <w:rsid w:val="00823D43"/>
    <w:rPr>
      <w:rFonts w:ascii="Arial" w:eastAsia="Times New Roman" w:hAnsi="Arial" w:cs="Times New Roman"/>
      <w:sz w:val="24"/>
      <w:szCs w:val="24"/>
    </w:rPr>
  </w:style>
  <w:style w:type="paragraph" w:styleId="BodyTextIndent2">
    <w:name w:val="Body Text Indent 2"/>
    <w:basedOn w:val="Normal"/>
    <w:link w:val="BodyTextIndent2Char"/>
    <w:uiPriority w:val="99"/>
    <w:unhideWhenUsed/>
    <w:rsid w:val="00823D43"/>
    <w:pPr>
      <w:suppressAutoHyphens w:val="0"/>
      <w:autoSpaceDN/>
      <w:spacing w:after="120" w:line="480" w:lineRule="auto"/>
      <w:ind w:left="283"/>
      <w:textAlignment w:val="auto"/>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823D43"/>
    <w:rPr>
      <w:rFonts w:ascii="Times New Roman" w:hAnsi="Times New Roman" w:cs="Times New Roman"/>
      <w:sz w:val="20"/>
      <w:szCs w:val="20"/>
    </w:rPr>
  </w:style>
  <w:style w:type="character" w:styleId="Hyperlink">
    <w:name w:val="Hyperlink"/>
    <w:basedOn w:val="DefaultParagraphFont"/>
    <w:uiPriority w:val="99"/>
    <w:unhideWhenUsed/>
    <w:rsid w:val="00823D43"/>
    <w:rPr>
      <w:color w:val="0000FF"/>
      <w:u w:val="single"/>
    </w:rPr>
  </w:style>
  <w:style w:type="table" w:styleId="ListTable4-Accent5">
    <w:name w:val="List Table 4 Accent 5"/>
    <w:basedOn w:val="TableNormal"/>
    <w:uiPriority w:val="49"/>
    <w:rsid w:val="00823D43"/>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1">
    <w:name w:val="Grid Table 4 - Accent 51"/>
    <w:basedOn w:val="TableNormal"/>
    <w:uiPriority w:val="49"/>
    <w:rsid w:val="00823D43"/>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odyText2">
    <w:name w:val="Body Text 2"/>
    <w:basedOn w:val="Normal"/>
    <w:link w:val="BodyText2Char"/>
    <w:uiPriority w:val="99"/>
    <w:semiHidden/>
    <w:unhideWhenUsed/>
    <w:rsid w:val="00823D43"/>
    <w:pPr>
      <w:spacing w:after="120" w:line="480" w:lineRule="auto"/>
    </w:pPr>
  </w:style>
  <w:style w:type="character" w:customStyle="1" w:styleId="BodyText2Char">
    <w:name w:val="Body Text 2 Char"/>
    <w:basedOn w:val="DefaultParagraphFont"/>
    <w:link w:val="BodyText2"/>
    <w:uiPriority w:val="99"/>
    <w:semiHidden/>
    <w:rsid w:val="00823D43"/>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823D43"/>
    <w:rPr>
      <w:color w:val="605E5C"/>
      <w:shd w:val="clear" w:color="auto" w:fill="E1DFDD"/>
    </w:rPr>
  </w:style>
  <w:style w:type="paragraph" w:styleId="BalloonText">
    <w:name w:val="Balloon Text"/>
    <w:basedOn w:val="Normal"/>
    <w:link w:val="BalloonTextChar"/>
    <w:uiPriority w:val="99"/>
    <w:semiHidden/>
    <w:unhideWhenUsed/>
    <w:rsid w:val="00823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D43"/>
    <w:rPr>
      <w:rFonts w:ascii="Segoe UI" w:eastAsia="Times New Roman" w:hAnsi="Segoe UI" w:cs="Segoe UI"/>
      <w:sz w:val="18"/>
      <w:szCs w:val="18"/>
    </w:rPr>
  </w:style>
  <w:style w:type="table" w:styleId="GridTable4-Accent5">
    <w:name w:val="Grid Table 4 Accent 5"/>
    <w:basedOn w:val="TableNormal"/>
    <w:uiPriority w:val="49"/>
    <w:rsid w:val="002C469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3403">
      <w:bodyDiv w:val="1"/>
      <w:marLeft w:val="0"/>
      <w:marRight w:val="0"/>
      <w:marTop w:val="0"/>
      <w:marBottom w:val="0"/>
      <w:divBdr>
        <w:top w:val="none" w:sz="0" w:space="0" w:color="auto"/>
        <w:left w:val="none" w:sz="0" w:space="0" w:color="auto"/>
        <w:bottom w:val="none" w:sz="0" w:space="0" w:color="auto"/>
        <w:right w:val="none" w:sz="0" w:space="0" w:color="auto"/>
      </w:divBdr>
    </w:div>
    <w:div w:id="545802894">
      <w:bodyDiv w:val="1"/>
      <w:marLeft w:val="0"/>
      <w:marRight w:val="0"/>
      <w:marTop w:val="0"/>
      <w:marBottom w:val="0"/>
      <w:divBdr>
        <w:top w:val="none" w:sz="0" w:space="0" w:color="auto"/>
        <w:left w:val="none" w:sz="0" w:space="0" w:color="auto"/>
        <w:bottom w:val="none" w:sz="0" w:space="0" w:color="auto"/>
        <w:right w:val="none" w:sz="0" w:space="0" w:color="auto"/>
      </w:divBdr>
    </w:div>
    <w:div w:id="779832905">
      <w:bodyDiv w:val="1"/>
      <w:marLeft w:val="0"/>
      <w:marRight w:val="0"/>
      <w:marTop w:val="0"/>
      <w:marBottom w:val="0"/>
      <w:divBdr>
        <w:top w:val="none" w:sz="0" w:space="0" w:color="auto"/>
        <w:left w:val="none" w:sz="0" w:space="0" w:color="auto"/>
        <w:bottom w:val="none" w:sz="0" w:space="0" w:color="auto"/>
        <w:right w:val="none" w:sz="0" w:space="0" w:color="auto"/>
      </w:divBdr>
    </w:div>
    <w:div w:id="936214291">
      <w:bodyDiv w:val="1"/>
      <w:marLeft w:val="0"/>
      <w:marRight w:val="0"/>
      <w:marTop w:val="0"/>
      <w:marBottom w:val="0"/>
      <w:divBdr>
        <w:top w:val="none" w:sz="0" w:space="0" w:color="auto"/>
        <w:left w:val="none" w:sz="0" w:space="0" w:color="auto"/>
        <w:bottom w:val="none" w:sz="0" w:space="0" w:color="auto"/>
        <w:right w:val="none" w:sz="0" w:space="0" w:color="auto"/>
      </w:divBdr>
    </w:div>
    <w:div w:id="143474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dsandnorthdown.gov.uk/resident/performance/how-we-are-perform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C36DCFB8B68646A797F68516756A14" ma:contentTypeVersion="3" ma:contentTypeDescription="Create a new document." ma:contentTypeScope="" ma:versionID="4aba2d5856646e65f2124948943b1c69">
  <xsd:schema xmlns:xsd="http://www.w3.org/2001/XMLSchema" xmlns:xs="http://www.w3.org/2001/XMLSchema" xmlns:p="http://schemas.microsoft.com/office/2006/metadata/properties" xmlns:ns2="b271427b-a30d-4a71-a602-c4e933298bd7" targetNamespace="http://schemas.microsoft.com/office/2006/metadata/properties" ma:root="true" ma:fieldsID="d563c53e227095267001ff10c1f22cb9" ns2:_="">
    <xsd:import namespace="b271427b-a30d-4a71-a602-c4e933298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1427b-a30d-4a71-a602-c4e93329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DBD30-CA5F-4539-ABDD-27AAEEF603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83F7EB-FAB4-4CED-87A4-6E8F9B2E2C68}">
  <ds:schemaRefs>
    <ds:schemaRef ds:uri="http://schemas.openxmlformats.org/officeDocument/2006/bibliography"/>
  </ds:schemaRefs>
</ds:datastoreItem>
</file>

<file path=customXml/itemProps3.xml><?xml version="1.0" encoding="utf-8"?>
<ds:datastoreItem xmlns:ds="http://schemas.openxmlformats.org/officeDocument/2006/customXml" ds:itemID="{5A48A9FB-52FA-48B3-B84C-FD1E6886A1E7}">
  <ds:schemaRefs>
    <ds:schemaRef ds:uri="http://schemas.microsoft.com/sharepoint/v3/contenttype/forms"/>
  </ds:schemaRefs>
</ds:datastoreItem>
</file>

<file path=customXml/itemProps4.xml><?xml version="1.0" encoding="utf-8"?>
<ds:datastoreItem xmlns:ds="http://schemas.openxmlformats.org/officeDocument/2006/customXml" ds:itemID="{3FC3DE59-1DD7-4803-AE89-20E7F2FD8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1427b-a30d-4a71-a602-c4e93329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3553</Words>
  <Characters>20254</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220627 AC 27 June 2022</vt:lpstr>
    </vt:vector>
  </TitlesOfParts>
  <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220627 AC 27 June 2022</dc:title>
  <dc:subject/>
  <dc:creator>Foster, Paulene</dc:creator>
  <cp:keywords/>
  <dc:description/>
  <cp:lastModifiedBy>Cull, Joshua</cp:lastModifiedBy>
  <cp:revision>12</cp:revision>
  <cp:lastPrinted>2021-10-08T10:23:00Z</cp:lastPrinted>
  <dcterms:created xsi:type="dcterms:W3CDTF">2022-07-20T08:30:00Z</dcterms:created>
  <dcterms:modified xsi:type="dcterms:W3CDTF">2026-01-12T10:13:00Z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0x0101002EC36DCFB8B68646A797F68516756A14</vt:lpwstr>
  </property>
  <property fmtid="{D5CDD505-2E9C-101B-9397-08002B2CF9AE}" pid="3" name="Order">
    <vt:r8>100</vt:r8>
  </property>
</Properties>
</file>