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C9D94" w14:textId="77777777" w:rsidR="008A6E06" w:rsidRPr="000A416A" w:rsidRDefault="008A6E06" w:rsidP="008A6E06">
      <w:pPr>
        <w:jc w:val="center"/>
        <w:rPr>
          <w:rFonts w:cs="Arial"/>
          <w:b/>
          <w:sz w:val="28"/>
          <w:szCs w:val="28"/>
          <w:u w:val="single"/>
        </w:rPr>
      </w:pPr>
      <w:r w:rsidRPr="000A416A">
        <w:rPr>
          <w:rFonts w:cs="Arial"/>
          <w:b/>
          <w:sz w:val="28"/>
          <w:szCs w:val="28"/>
          <w:u w:val="single"/>
        </w:rPr>
        <w:t>ARDS AND NORTH DOWN BOROUGH COUNCIL</w:t>
      </w:r>
    </w:p>
    <w:p w14:paraId="32C61FD1" w14:textId="77777777" w:rsidR="008A6E06" w:rsidRPr="000A416A" w:rsidRDefault="008A6E06" w:rsidP="008A6E06">
      <w:pPr>
        <w:rPr>
          <w:rFonts w:cs="Arial"/>
        </w:rPr>
      </w:pPr>
    </w:p>
    <w:p w14:paraId="75BF61B9" w14:textId="77777777" w:rsidR="008A6E06" w:rsidRPr="000A416A" w:rsidRDefault="008A6E06" w:rsidP="008A6E06">
      <w:pPr>
        <w:rPr>
          <w:rFonts w:cs="Arial"/>
        </w:rPr>
      </w:pPr>
      <w:r w:rsidRPr="000A416A">
        <w:rPr>
          <w:rFonts w:cs="Arial"/>
        </w:rPr>
        <w:t xml:space="preserve">A meeting of the Audit </w:t>
      </w:r>
      <w:r>
        <w:rPr>
          <w:rFonts w:cs="Arial"/>
        </w:rPr>
        <w:t xml:space="preserve">Committee </w:t>
      </w:r>
      <w:r w:rsidRPr="000A416A">
        <w:rPr>
          <w:rFonts w:cs="Arial"/>
        </w:rPr>
        <w:t xml:space="preserve">was held </w:t>
      </w:r>
      <w:r>
        <w:rPr>
          <w:rFonts w:cs="Arial"/>
        </w:rPr>
        <w:t xml:space="preserve">virtually via Zoom </w:t>
      </w:r>
      <w:r w:rsidRPr="000A416A">
        <w:rPr>
          <w:rFonts w:cs="Arial"/>
        </w:rPr>
        <w:t>on Mond</w:t>
      </w:r>
      <w:r>
        <w:rPr>
          <w:rFonts w:cs="Arial"/>
        </w:rPr>
        <w:t>ay 21 March 2022 at 7.00</w:t>
      </w:r>
      <w:r w:rsidRPr="000A416A">
        <w:rPr>
          <w:rFonts w:cs="Arial"/>
        </w:rPr>
        <w:t xml:space="preserve">pm. </w:t>
      </w:r>
    </w:p>
    <w:p w14:paraId="4A14FD61" w14:textId="77777777" w:rsidR="008A6E06" w:rsidRPr="000A416A" w:rsidRDefault="008A6E06" w:rsidP="008A6E06">
      <w:pPr>
        <w:ind w:left="1440"/>
        <w:rPr>
          <w:rFonts w:cs="Arial"/>
        </w:rPr>
      </w:pPr>
      <w:r w:rsidRPr="000A416A">
        <w:rPr>
          <w:rFonts w:cs="Arial"/>
        </w:rPr>
        <w:t xml:space="preserve"> </w:t>
      </w:r>
    </w:p>
    <w:p w14:paraId="22493FCB" w14:textId="77777777" w:rsidR="008A6E06" w:rsidRPr="000A416A" w:rsidRDefault="008A6E06" w:rsidP="008A6E06">
      <w:pPr>
        <w:rPr>
          <w:rFonts w:cs="Arial"/>
          <w:b/>
          <w:u w:val="single"/>
        </w:rPr>
      </w:pPr>
      <w:r w:rsidRPr="000A416A">
        <w:rPr>
          <w:rFonts w:cs="Arial"/>
          <w:b/>
          <w:u w:val="single"/>
        </w:rPr>
        <w:t>PRESENT</w:t>
      </w:r>
      <w:r w:rsidRPr="00E87935">
        <w:rPr>
          <w:rFonts w:cs="Arial"/>
          <w:b/>
        </w:rPr>
        <w:t>:-</w:t>
      </w:r>
    </w:p>
    <w:p w14:paraId="6F210225" w14:textId="77777777" w:rsidR="008A6E06" w:rsidRPr="000A416A" w:rsidRDefault="008A6E06" w:rsidP="008A6E06">
      <w:pPr>
        <w:rPr>
          <w:rFonts w:cs="Arial"/>
        </w:rPr>
      </w:pPr>
      <w:r w:rsidRPr="000A416A">
        <w:rPr>
          <w:rFonts w:cs="Arial"/>
        </w:rPr>
        <w:t xml:space="preserve"> </w:t>
      </w:r>
    </w:p>
    <w:p w14:paraId="605C3682" w14:textId="77777777" w:rsidR="008A6E06" w:rsidRPr="000A416A" w:rsidRDefault="008A6E06" w:rsidP="008A6E06">
      <w:r w:rsidRPr="000A416A">
        <w:rPr>
          <w:rFonts w:cs="Arial"/>
          <w:b/>
        </w:rPr>
        <w:t xml:space="preserve">In the Chair: </w:t>
      </w:r>
      <w:r>
        <w:rPr>
          <w:rFonts w:cs="Arial"/>
          <w:b/>
        </w:rPr>
        <w:tab/>
      </w:r>
      <w:r>
        <w:rPr>
          <w:rFonts w:cs="Arial"/>
          <w:bCs/>
        </w:rPr>
        <w:t>Alderman Wilson</w:t>
      </w:r>
      <w:r>
        <w:rPr>
          <w:rFonts w:cs="Arial"/>
        </w:rPr>
        <w:t xml:space="preserve"> </w:t>
      </w:r>
    </w:p>
    <w:p w14:paraId="4CA3F6D0" w14:textId="77777777" w:rsidR="008A6E06" w:rsidRPr="005A0D4A" w:rsidRDefault="008A6E06" w:rsidP="008A6E06">
      <w:pPr>
        <w:rPr>
          <w:rFonts w:cs="Arial"/>
          <w:bCs/>
        </w:rPr>
      </w:pPr>
      <w:r>
        <w:rPr>
          <w:rFonts w:cs="Arial"/>
          <w:b/>
        </w:rPr>
        <w:tab/>
      </w:r>
    </w:p>
    <w:p w14:paraId="49405E62" w14:textId="77777777" w:rsidR="008A6E06" w:rsidRDefault="008A6E06" w:rsidP="008A6E06">
      <w:pPr>
        <w:rPr>
          <w:rFonts w:cs="Arial"/>
        </w:rPr>
      </w:pPr>
      <w:r>
        <w:rPr>
          <w:rFonts w:cs="Arial"/>
          <w:b/>
          <w:bCs/>
        </w:rPr>
        <w:t>Councillors:</w:t>
      </w:r>
      <w:r>
        <w:rPr>
          <w:rFonts w:cs="Arial"/>
          <w:b/>
          <w:bCs/>
        </w:rPr>
        <w:tab/>
      </w:r>
      <w:r>
        <w:rPr>
          <w:rFonts w:cs="Arial"/>
          <w:b/>
          <w:bCs/>
        </w:rPr>
        <w:tab/>
      </w:r>
      <w:r>
        <w:rPr>
          <w:rFonts w:cs="Arial"/>
        </w:rPr>
        <w:t>Armstrong-Cotter</w:t>
      </w:r>
      <w:r>
        <w:rPr>
          <w:rFonts w:cs="Arial"/>
        </w:rPr>
        <w:tab/>
      </w:r>
      <w:r>
        <w:rPr>
          <w:rFonts w:cs="Arial"/>
        </w:rPr>
        <w:tab/>
        <w:t>McClean</w:t>
      </w:r>
    </w:p>
    <w:p w14:paraId="4571A0C1" w14:textId="77777777" w:rsidR="008A6E06" w:rsidRDefault="008A6E06" w:rsidP="008A6E06">
      <w:pPr>
        <w:rPr>
          <w:rFonts w:cs="Arial"/>
        </w:rPr>
      </w:pPr>
      <w:r>
        <w:rPr>
          <w:rFonts w:cs="Arial"/>
        </w:rPr>
        <w:tab/>
      </w:r>
      <w:r>
        <w:rPr>
          <w:rFonts w:cs="Arial"/>
        </w:rPr>
        <w:tab/>
      </w:r>
      <w:r>
        <w:rPr>
          <w:rFonts w:cs="Arial"/>
        </w:rPr>
        <w:tab/>
        <w:t>Douglas</w:t>
      </w:r>
      <w:r>
        <w:rPr>
          <w:rFonts w:cs="Arial"/>
        </w:rPr>
        <w:tab/>
      </w:r>
      <w:r>
        <w:rPr>
          <w:rFonts w:cs="Arial"/>
        </w:rPr>
        <w:tab/>
      </w:r>
      <w:r>
        <w:rPr>
          <w:rFonts w:cs="Arial"/>
        </w:rPr>
        <w:tab/>
        <w:t>McRandal</w:t>
      </w:r>
    </w:p>
    <w:p w14:paraId="3330ED12" w14:textId="77777777" w:rsidR="008A6E06" w:rsidRDefault="008A6E06" w:rsidP="008A6E06">
      <w:pPr>
        <w:rPr>
          <w:rFonts w:cs="Arial"/>
        </w:rPr>
      </w:pPr>
      <w:r>
        <w:rPr>
          <w:rFonts w:cs="Arial"/>
        </w:rPr>
        <w:tab/>
      </w:r>
      <w:r>
        <w:rPr>
          <w:rFonts w:cs="Arial"/>
        </w:rPr>
        <w:tab/>
      </w:r>
      <w:r>
        <w:rPr>
          <w:rFonts w:cs="Arial"/>
        </w:rPr>
        <w:tab/>
        <w:t>Gilmour</w:t>
      </w:r>
      <w:r>
        <w:rPr>
          <w:rFonts w:cs="Arial"/>
        </w:rPr>
        <w:tab/>
      </w:r>
      <w:r>
        <w:rPr>
          <w:rFonts w:cs="Arial"/>
        </w:rPr>
        <w:tab/>
      </w:r>
      <w:r>
        <w:rPr>
          <w:rFonts w:cs="Arial"/>
        </w:rPr>
        <w:tab/>
        <w:t>P Smith</w:t>
      </w:r>
    </w:p>
    <w:p w14:paraId="7703A706" w14:textId="77777777" w:rsidR="008A6E06" w:rsidRPr="005A0D4A" w:rsidRDefault="008A6E06" w:rsidP="008A6E06">
      <w:pPr>
        <w:rPr>
          <w:rFonts w:cs="Arial"/>
        </w:rPr>
      </w:pPr>
      <w:r>
        <w:rPr>
          <w:rFonts w:cs="Arial"/>
        </w:rPr>
        <w:tab/>
      </w:r>
      <w:r>
        <w:rPr>
          <w:rFonts w:cs="Arial"/>
        </w:rPr>
        <w:tab/>
      </w:r>
      <w:r>
        <w:rPr>
          <w:rFonts w:cs="Arial"/>
        </w:rPr>
        <w:tab/>
        <w:t>McAlpine (7.08pm)</w:t>
      </w:r>
    </w:p>
    <w:p w14:paraId="622B8910" w14:textId="77777777" w:rsidR="008A6E06" w:rsidRDefault="008A6E06" w:rsidP="008A6E06">
      <w:pPr>
        <w:rPr>
          <w:rFonts w:cs="Arial"/>
        </w:rPr>
      </w:pPr>
    </w:p>
    <w:p w14:paraId="3B361CA1" w14:textId="77777777" w:rsidR="008A6E06" w:rsidRDefault="008A6E06" w:rsidP="008A6E06">
      <w:pPr>
        <w:rPr>
          <w:rFonts w:cs="Arial"/>
        </w:rPr>
      </w:pPr>
      <w:r w:rsidRPr="00CE4FA2">
        <w:rPr>
          <w:rFonts w:cs="Arial"/>
          <w:b/>
          <w:bCs/>
        </w:rPr>
        <w:t>Independent Member:</w:t>
      </w:r>
      <w:r>
        <w:rPr>
          <w:rFonts w:cs="Arial"/>
        </w:rPr>
        <w:t xml:space="preserve"> Mr T McGonigal</w:t>
      </w:r>
    </w:p>
    <w:p w14:paraId="25F522F5" w14:textId="77777777" w:rsidR="008A6E06" w:rsidRPr="000A416A" w:rsidRDefault="008A6E06" w:rsidP="008A6E06">
      <w:pPr>
        <w:rPr>
          <w:rFonts w:cs="Arial"/>
        </w:rPr>
      </w:pPr>
      <w:r>
        <w:rPr>
          <w:rFonts w:cs="Arial"/>
        </w:rPr>
        <w:tab/>
      </w:r>
    </w:p>
    <w:p w14:paraId="484ADC02" w14:textId="77777777" w:rsidR="008A6E06" w:rsidRDefault="008A6E06" w:rsidP="008A6E06">
      <w:pPr>
        <w:tabs>
          <w:tab w:val="left" w:pos="2184"/>
          <w:tab w:val="left" w:pos="5387"/>
        </w:tabs>
        <w:rPr>
          <w:rFonts w:cs="Arial"/>
        </w:rPr>
      </w:pPr>
      <w:r w:rsidRPr="000A416A">
        <w:rPr>
          <w:rFonts w:cs="Arial"/>
          <w:b/>
        </w:rPr>
        <w:t>In Attendance</w:t>
      </w:r>
      <w:r>
        <w:rPr>
          <w:rFonts w:cs="Arial"/>
          <w:b/>
        </w:rPr>
        <w:t>:</w:t>
      </w:r>
      <w:r>
        <w:rPr>
          <w:rFonts w:cs="Arial"/>
          <w:b/>
        </w:rPr>
        <w:tab/>
      </w:r>
      <w:r w:rsidRPr="00264D71">
        <w:rPr>
          <w:rFonts w:cs="Arial"/>
        </w:rPr>
        <w:t>ASM –</w:t>
      </w:r>
      <w:r>
        <w:rPr>
          <w:rFonts w:cs="Arial"/>
          <w:b/>
        </w:rPr>
        <w:t xml:space="preserve"> </w:t>
      </w:r>
      <w:r>
        <w:rPr>
          <w:rFonts w:cs="Arial"/>
        </w:rPr>
        <w:t>J McCallion</w:t>
      </w:r>
    </w:p>
    <w:p w14:paraId="7AE70BBE" w14:textId="77777777" w:rsidR="008A6E06" w:rsidRDefault="008A6E06" w:rsidP="008A6E06">
      <w:pPr>
        <w:tabs>
          <w:tab w:val="left" w:pos="2184"/>
          <w:tab w:val="left" w:pos="5387"/>
        </w:tabs>
        <w:rPr>
          <w:rFonts w:cs="Arial"/>
        </w:rPr>
      </w:pPr>
      <w:r>
        <w:rPr>
          <w:rFonts w:cs="Arial"/>
        </w:rPr>
        <w:tab/>
      </w:r>
      <w:r w:rsidRPr="00264D71">
        <w:rPr>
          <w:rFonts w:cs="Arial"/>
        </w:rPr>
        <w:t>Deloitte</w:t>
      </w:r>
      <w:r w:rsidRPr="00691E57">
        <w:rPr>
          <w:rFonts w:cs="Arial"/>
          <w:b/>
          <w:sz w:val="40"/>
          <w:szCs w:val="40"/>
        </w:rPr>
        <w:t xml:space="preserve"> </w:t>
      </w:r>
      <w:r>
        <w:rPr>
          <w:rFonts w:cs="Arial"/>
        </w:rPr>
        <w:t>– C McDermott</w:t>
      </w:r>
    </w:p>
    <w:p w14:paraId="0CBA821F" w14:textId="77777777" w:rsidR="008A6E06" w:rsidRPr="00CE4FA2" w:rsidRDefault="008A6E06" w:rsidP="008A6E06">
      <w:pPr>
        <w:tabs>
          <w:tab w:val="left" w:pos="2184"/>
          <w:tab w:val="left" w:pos="5387"/>
        </w:tabs>
        <w:rPr>
          <w:rFonts w:cs="Arial"/>
        </w:rPr>
      </w:pPr>
      <w:r>
        <w:rPr>
          <w:rFonts w:cs="Arial"/>
        </w:rPr>
        <w:tab/>
        <w:t xml:space="preserve">NIAO - </w:t>
      </w:r>
      <w:r w:rsidRPr="00CE4FA2">
        <w:rPr>
          <w:rFonts w:cs="Arial"/>
        </w:rPr>
        <w:t xml:space="preserve">A Allen </w:t>
      </w:r>
    </w:p>
    <w:p w14:paraId="6A1E89BE" w14:textId="77777777" w:rsidR="008A6E06" w:rsidRDefault="008A6E06" w:rsidP="008A6E06">
      <w:pPr>
        <w:tabs>
          <w:tab w:val="left" w:pos="2184"/>
          <w:tab w:val="left" w:pos="5387"/>
        </w:tabs>
        <w:rPr>
          <w:rFonts w:cs="Arial"/>
        </w:rPr>
      </w:pPr>
    </w:p>
    <w:p w14:paraId="30973DDA" w14:textId="77777777" w:rsidR="008A6E06" w:rsidRPr="000A416A" w:rsidRDefault="008A6E06" w:rsidP="008A6E06">
      <w:pPr>
        <w:ind w:left="2160" w:hanging="2160"/>
      </w:pPr>
      <w:r w:rsidRPr="000A416A">
        <w:rPr>
          <w:rFonts w:cs="Arial"/>
          <w:b/>
        </w:rPr>
        <w:t>Officers:</w:t>
      </w:r>
      <w:r w:rsidRPr="000A416A">
        <w:rPr>
          <w:rFonts w:cs="Arial"/>
          <w:b/>
        </w:rPr>
        <w:tab/>
      </w:r>
      <w:r w:rsidRPr="00946759">
        <w:rPr>
          <w:rFonts w:cs="Arial"/>
        </w:rPr>
        <w:t xml:space="preserve">Chief Executive (S Reid), </w:t>
      </w:r>
      <w:r>
        <w:rPr>
          <w:rFonts w:cs="Arial"/>
        </w:rPr>
        <w:t xml:space="preserve">Director of Finance and Performance (S Christie), </w:t>
      </w:r>
      <w:r w:rsidRPr="00946759">
        <w:rPr>
          <w:rFonts w:cs="Arial"/>
        </w:rPr>
        <w:t>Head of Finance (S Grieve)</w:t>
      </w:r>
      <w:r>
        <w:rPr>
          <w:rFonts w:cs="Arial"/>
        </w:rPr>
        <w:t xml:space="preserve"> </w:t>
      </w:r>
      <w:r w:rsidRPr="00946759">
        <w:rPr>
          <w:rFonts w:cs="Arial"/>
        </w:rPr>
        <w:t>and Democratic Services Officer (</w:t>
      </w:r>
      <w:r>
        <w:rPr>
          <w:rFonts w:cs="Arial"/>
        </w:rPr>
        <w:t>P Foster</w:t>
      </w:r>
      <w:r w:rsidRPr="00946759">
        <w:rPr>
          <w:rFonts w:cs="Arial"/>
        </w:rPr>
        <w:t>)</w:t>
      </w:r>
    </w:p>
    <w:p w14:paraId="352CA964" w14:textId="77777777" w:rsidR="008A6E06" w:rsidRPr="000A416A" w:rsidRDefault="008A6E06" w:rsidP="008A6E06">
      <w:pPr>
        <w:rPr>
          <w:rFonts w:cs="Arial"/>
        </w:rPr>
      </w:pPr>
    </w:p>
    <w:p w14:paraId="0D6B28F7" w14:textId="77777777" w:rsidR="008A6E06" w:rsidRPr="000A416A" w:rsidRDefault="008A6E06" w:rsidP="008A6E06">
      <w:pPr>
        <w:pStyle w:val="Heading1"/>
      </w:pPr>
      <w:r w:rsidRPr="00DE4C6F">
        <w:rPr>
          <w:u w:val="none"/>
        </w:rPr>
        <w:t>1.</w:t>
      </w:r>
      <w:r w:rsidRPr="00DE4C6F">
        <w:rPr>
          <w:u w:val="none"/>
        </w:rPr>
        <w:tab/>
      </w:r>
      <w:r w:rsidRPr="000A416A">
        <w:t>Apologies</w:t>
      </w:r>
    </w:p>
    <w:p w14:paraId="630F31B8" w14:textId="77777777" w:rsidR="008A6E06" w:rsidRPr="000A416A" w:rsidRDefault="008A6E06" w:rsidP="008A6E06">
      <w:pPr>
        <w:tabs>
          <w:tab w:val="left" w:pos="567"/>
        </w:tabs>
        <w:rPr>
          <w:rFonts w:cs="Arial"/>
          <w:b/>
          <w:caps/>
          <w:sz w:val="28"/>
          <w:szCs w:val="28"/>
        </w:rPr>
      </w:pPr>
    </w:p>
    <w:p w14:paraId="58F33D34" w14:textId="77777777" w:rsidR="008A6E06" w:rsidRDefault="008A6E06" w:rsidP="008A6E06">
      <w:pPr>
        <w:tabs>
          <w:tab w:val="left" w:pos="567"/>
        </w:tabs>
        <w:rPr>
          <w:rFonts w:cs="Arial"/>
        </w:rPr>
      </w:pPr>
      <w:r>
        <w:rPr>
          <w:rFonts w:cs="Arial"/>
        </w:rPr>
        <w:t>The Chairman (Alderman Wilson) sought apologies at this stage.</w:t>
      </w:r>
    </w:p>
    <w:p w14:paraId="067FDA2C" w14:textId="77777777" w:rsidR="008A6E06" w:rsidRDefault="008A6E06" w:rsidP="008A6E06">
      <w:pPr>
        <w:tabs>
          <w:tab w:val="left" w:pos="567"/>
        </w:tabs>
        <w:rPr>
          <w:rFonts w:cs="Arial"/>
        </w:rPr>
      </w:pPr>
    </w:p>
    <w:p w14:paraId="71E17B22" w14:textId="77777777" w:rsidR="008A6E06" w:rsidRDefault="008A6E06" w:rsidP="008A6E06">
      <w:pPr>
        <w:tabs>
          <w:tab w:val="left" w:pos="567"/>
        </w:tabs>
        <w:rPr>
          <w:rFonts w:cs="Arial"/>
        </w:rPr>
      </w:pPr>
      <w:r>
        <w:rPr>
          <w:rFonts w:cs="Arial"/>
        </w:rPr>
        <w:t>Apologies were noted from Alderman Gibson, Councillor Blaney, David Kinsella – Deloitte  and Christine Hagan – ASM.</w:t>
      </w:r>
    </w:p>
    <w:p w14:paraId="723DCD8C" w14:textId="77777777" w:rsidR="008A6E06" w:rsidRDefault="008A6E06" w:rsidP="008A6E06">
      <w:pPr>
        <w:tabs>
          <w:tab w:val="left" w:pos="567"/>
        </w:tabs>
        <w:rPr>
          <w:rFonts w:cs="Arial"/>
        </w:rPr>
      </w:pPr>
    </w:p>
    <w:p w14:paraId="480359FD" w14:textId="77777777" w:rsidR="008A6E06" w:rsidRPr="000A416A" w:rsidRDefault="008A6E06" w:rsidP="008A6E06">
      <w:pPr>
        <w:tabs>
          <w:tab w:val="left" w:pos="567"/>
        </w:tabs>
        <w:rPr>
          <w:rFonts w:cs="Arial"/>
        </w:rPr>
      </w:pPr>
      <w:r w:rsidRPr="000A416A">
        <w:rPr>
          <w:rFonts w:cs="Arial"/>
          <w:b/>
        </w:rPr>
        <w:t>NOTED.</w:t>
      </w:r>
      <w:r w:rsidRPr="000A416A">
        <w:rPr>
          <w:rFonts w:cs="Arial"/>
        </w:rPr>
        <w:t xml:space="preserve"> </w:t>
      </w:r>
    </w:p>
    <w:p w14:paraId="43A00891" w14:textId="77777777" w:rsidR="008A6E06" w:rsidRPr="000A416A" w:rsidRDefault="008A6E06" w:rsidP="008A6E06">
      <w:pPr>
        <w:tabs>
          <w:tab w:val="left" w:pos="567"/>
        </w:tabs>
        <w:rPr>
          <w:rFonts w:cs="Arial"/>
        </w:rPr>
      </w:pPr>
    </w:p>
    <w:p w14:paraId="6D756B5B" w14:textId="77777777" w:rsidR="008A6E06" w:rsidRPr="000A416A" w:rsidRDefault="008A6E06" w:rsidP="008A6E06">
      <w:pPr>
        <w:pStyle w:val="Heading1"/>
        <w:rPr>
          <w:b w:val="0"/>
        </w:rPr>
      </w:pPr>
      <w:r w:rsidRPr="000A416A">
        <w:rPr>
          <w:u w:val="none"/>
        </w:rPr>
        <w:t>2.</w:t>
      </w:r>
      <w:r w:rsidRPr="000A416A">
        <w:rPr>
          <w:u w:val="none"/>
        </w:rPr>
        <w:tab/>
      </w:r>
      <w:r w:rsidRPr="000A416A">
        <w:t>Chairman’s Remarks</w:t>
      </w:r>
    </w:p>
    <w:p w14:paraId="4CA4633D" w14:textId="77777777" w:rsidR="008A6E06" w:rsidRPr="000A416A" w:rsidRDefault="008A6E06" w:rsidP="008A6E06"/>
    <w:p w14:paraId="59800BA0" w14:textId="77777777" w:rsidR="008A6E06" w:rsidRDefault="008A6E06" w:rsidP="008A6E06">
      <w:pPr>
        <w:tabs>
          <w:tab w:val="left" w:pos="567"/>
        </w:tabs>
        <w:spacing w:after="240"/>
        <w:rPr>
          <w:rFonts w:cs="Arial"/>
        </w:rPr>
      </w:pPr>
      <w:r w:rsidRPr="000A416A">
        <w:rPr>
          <w:rFonts w:cs="Arial"/>
        </w:rPr>
        <w:t>The Chairman</w:t>
      </w:r>
      <w:r>
        <w:rPr>
          <w:rFonts w:cs="Arial"/>
        </w:rPr>
        <w:t xml:space="preserve"> </w:t>
      </w:r>
      <w:r w:rsidRPr="000A416A">
        <w:rPr>
          <w:rFonts w:cs="Arial"/>
        </w:rPr>
        <w:t>welcomed everyone to the meeting</w:t>
      </w:r>
      <w:r>
        <w:rPr>
          <w:rFonts w:cs="Arial"/>
        </w:rPr>
        <w:t xml:space="preserve"> including the internal and external auditors to the Committee from the Northern Ireland Audit Office, ASM and Deloitte. Continuing he also expressed his thanks to the Vice Chairman for stepping in at the December 2021 Committee meeting in his absence.</w:t>
      </w:r>
    </w:p>
    <w:p w14:paraId="204AEB9E" w14:textId="77777777" w:rsidR="008A6E06" w:rsidRPr="000A416A" w:rsidRDefault="008A6E06" w:rsidP="008A6E06">
      <w:pPr>
        <w:tabs>
          <w:tab w:val="left" w:pos="567"/>
        </w:tabs>
        <w:rPr>
          <w:rFonts w:cs="Arial"/>
          <w:b/>
        </w:rPr>
      </w:pPr>
      <w:r w:rsidRPr="000A416A">
        <w:rPr>
          <w:rFonts w:cs="Arial"/>
          <w:b/>
        </w:rPr>
        <w:t xml:space="preserve">NOTED. </w:t>
      </w:r>
    </w:p>
    <w:p w14:paraId="753DD4DA" w14:textId="77777777" w:rsidR="008A6E06" w:rsidRPr="000A416A" w:rsidRDefault="008A6E06" w:rsidP="008A6E06">
      <w:pPr>
        <w:tabs>
          <w:tab w:val="left" w:pos="567"/>
        </w:tabs>
        <w:rPr>
          <w:rFonts w:cs="Arial"/>
        </w:rPr>
      </w:pPr>
    </w:p>
    <w:p w14:paraId="601BA1D5" w14:textId="77777777" w:rsidR="008A6E06" w:rsidRPr="000A416A" w:rsidRDefault="008A6E06" w:rsidP="008A6E06">
      <w:pPr>
        <w:pStyle w:val="Heading1"/>
        <w:rPr>
          <w:b w:val="0"/>
        </w:rPr>
      </w:pPr>
      <w:r w:rsidRPr="000A416A">
        <w:rPr>
          <w:u w:val="none"/>
        </w:rPr>
        <w:t>3.</w:t>
      </w:r>
      <w:r w:rsidRPr="000A416A">
        <w:rPr>
          <w:u w:val="none"/>
        </w:rPr>
        <w:tab/>
      </w:r>
      <w:r w:rsidRPr="000A416A">
        <w:t>Declarations of Interest</w:t>
      </w:r>
    </w:p>
    <w:p w14:paraId="1F1C6549" w14:textId="77777777" w:rsidR="008A6E06" w:rsidRPr="000A416A" w:rsidRDefault="008A6E06" w:rsidP="008A6E06"/>
    <w:p w14:paraId="1F66737E" w14:textId="77777777" w:rsidR="008A6E06" w:rsidRDefault="008A6E06" w:rsidP="008A6E06">
      <w:r w:rsidRPr="000A416A">
        <w:t xml:space="preserve">The Chairman asked for any </w:t>
      </w:r>
      <w:r>
        <w:t>D</w:t>
      </w:r>
      <w:r w:rsidRPr="000A416A">
        <w:t xml:space="preserve">eclarations of </w:t>
      </w:r>
      <w:r>
        <w:t>I</w:t>
      </w:r>
      <w:r w:rsidRPr="000A416A">
        <w:t>nterest</w:t>
      </w:r>
      <w:r>
        <w:t xml:space="preserve"> at this stage and none were made.</w:t>
      </w:r>
    </w:p>
    <w:p w14:paraId="386977AC" w14:textId="77777777" w:rsidR="008A6E06" w:rsidRDefault="008A6E06" w:rsidP="008A6E06"/>
    <w:p w14:paraId="4120E597" w14:textId="77777777" w:rsidR="008A6E06" w:rsidRPr="00D51DAD" w:rsidRDefault="008A6E06" w:rsidP="008A6E06">
      <w:r w:rsidRPr="000A416A">
        <w:rPr>
          <w:b/>
        </w:rPr>
        <w:t>NOTED.</w:t>
      </w:r>
      <w:r w:rsidRPr="000A416A">
        <w:t xml:space="preserve"> </w:t>
      </w:r>
    </w:p>
    <w:p w14:paraId="26149F1C" w14:textId="77777777" w:rsidR="008A6E06" w:rsidRPr="000A416A" w:rsidRDefault="008A6E06" w:rsidP="008A6E06">
      <w:pPr>
        <w:rPr>
          <w:b/>
        </w:rPr>
      </w:pPr>
    </w:p>
    <w:p w14:paraId="0028B311" w14:textId="77777777" w:rsidR="008A6E06" w:rsidRPr="00E379F1" w:rsidRDefault="008A6E06" w:rsidP="008A6E06">
      <w:pPr>
        <w:pStyle w:val="Heading1"/>
        <w:ind w:left="720" w:hanging="720"/>
      </w:pPr>
      <w:r w:rsidRPr="000A416A">
        <w:rPr>
          <w:u w:val="none"/>
        </w:rPr>
        <w:lastRenderedPageBreak/>
        <w:t>4.</w:t>
      </w:r>
      <w:r w:rsidRPr="000A416A">
        <w:rPr>
          <w:u w:val="none"/>
        </w:rPr>
        <w:tab/>
      </w:r>
      <w:r w:rsidRPr="00946759">
        <w:t xml:space="preserve">Matters Arising from Previous Meetings </w:t>
      </w:r>
    </w:p>
    <w:p w14:paraId="346A4800" w14:textId="77777777" w:rsidR="008A6E06" w:rsidRDefault="008A6E06" w:rsidP="008A6E06"/>
    <w:p w14:paraId="6C590403" w14:textId="77777777" w:rsidR="008A6E06" w:rsidRDefault="008A6E06" w:rsidP="008A6E06">
      <w:pPr>
        <w:pStyle w:val="Heading2"/>
        <w:rPr>
          <w:b w:val="0"/>
        </w:rPr>
      </w:pPr>
      <w:r w:rsidRPr="00DE4C6F">
        <w:rPr>
          <w:u w:val="none"/>
        </w:rPr>
        <w:t xml:space="preserve">(a) </w:t>
      </w:r>
      <w:r w:rsidRPr="00DE4C6F">
        <w:rPr>
          <w:u w:val="none"/>
        </w:rPr>
        <w:tab/>
      </w:r>
      <w:r w:rsidRPr="00D7671E">
        <w:t xml:space="preserve">Audit Committee Minutes </w:t>
      </w:r>
      <w:r>
        <w:t>from December 2021</w:t>
      </w:r>
    </w:p>
    <w:p w14:paraId="2DFBD16A" w14:textId="77777777" w:rsidR="008A6E06" w:rsidRDefault="008A6E06" w:rsidP="008A6E06">
      <w:pPr>
        <w:rPr>
          <w:b/>
        </w:rPr>
      </w:pPr>
    </w:p>
    <w:p w14:paraId="309D9FC2" w14:textId="77777777" w:rsidR="008A6E06" w:rsidRDefault="008A6E06" w:rsidP="008A6E06">
      <w:r w:rsidRPr="00B32EF2">
        <w:rPr>
          <w:caps/>
        </w:rPr>
        <w:t>Previously circulated</w:t>
      </w:r>
      <w:r>
        <w:t xml:space="preserve">:- Copy of the above minutes. </w:t>
      </w:r>
    </w:p>
    <w:p w14:paraId="2A069D8F" w14:textId="77777777" w:rsidR="008A6E06" w:rsidRDefault="008A6E06" w:rsidP="008A6E06"/>
    <w:p w14:paraId="5AD746BF" w14:textId="77777777" w:rsidR="008A6E06" w:rsidRDefault="008A6E06" w:rsidP="008A6E06">
      <w:pPr>
        <w:rPr>
          <w:b/>
        </w:rPr>
      </w:pPr>
      <w:r>
        <w:rPr>
          <w:b/>
        </w:rPr>
        <w:t xml:space="preserve">AGREED TO RECOMMEND, on the proposal of Councillor Douglas, seconded by Councillor Armstrong-Cotter, that the minutes be noted. </w:t>
      </w:r>
    </w:p>
    <w:p w14:paraId="0FC1F863" w14:textId="77777777" w:rsidR="008A6E06" w:rsidRDefault="008A6E06" w:rsidP="008A6E06"/>
    <w:p w14:paraId="1F62B021" w14:textId="67073E5E" w:rsidR="008A6E06" w:rsidRPr="007162D3" w:rsidRDefault="008A6E06" w:rsidP="00E857C7">
      <w:pPr>
        <w:pStyle w:val="Heading2"/>
      </w:pPr>
      <w:r w:rsidRPr="00E857C7">
        <w:rPr>
          <w:u w:val="none"/>
        </w:rPr>
        <w:t xml:space="preserve">(b) </w:t>
      </w:r>
      <w:r w:rsidRPr="00E857C7">
        <w:rPr>
          <w:u w:val="none"/>
        </w:rPr>
        <w:tab/>
      </w:r>
      <w:r w:rsidRPr="00C8778B">
        <w:t>Actions Register</w:t>
      </w:r>
      <w:r>
        <w:t xml:space="preserve"> (File AUD02)</w:t>
      </w:r>
      <w:r w:rsidRPr="00E857C7">
        <w:rPr>
          <w:u w:val="none"/>
        </w:rPr>
        <w:t xml:space="preserve"> </w:t>
      </w:r>
      <w:r w:rsidRPr="00E857C7">
        <w:rPr>
          <w:b w:val="0"/>
          <w:bCs/>
          <w:u w:val="none"/>
        </w:rPr>
        <w:t>(Appendix I)</w:t>
      </w:r>
    </w:p>
    <w:p w14:paraId="280BA460" w14:textId="77777777" w:rsidR="008A6E06" w:rsidRDefault="008A6E06" w:rsidP="008A6E06">
      <w:pPr>
        <w:rPr>
          <w:b/>
          <w:bCs/>
        </w:rPr>
      </w:pPr>
    </w:p>
    <w:p w14:paraId="61ADCE2A" w14:textId="77777777" w:rsidR="008A6E06" w:rsidRDefault="008A6E06" w:rsidP="008A6E06">
      <w:pPr>
        <w:rPr>
          <w:rFonts w:cs="Arial"/>
          <w:bCs/>
        </w:rPr>
      </w:pPr>
      <w:r w:rsidRPr="00422852">
        <w:t>PREVIOUSLY CIRCULATED:- Report from the Di</w:t>
      </w:r>
      <w:r>
        <w:t xml:space="preserve">rector of Finance and Performance detailing </w:t>
      </w:r>
      <w:r>
        <w:rPr>
          <w:rFonts w:cs="Arial"/>
          <w:bCs/>
        </w:rPr>
        <w:t>that i</w:t>
      </w:r>
      <w:r w:rsidRPr="00885CF4">
        <w:rPr>
          <w:rFonts w:cs="Arial"/>
          <w:bCs/>
        </w:rPr>
        <w:t xml:space="preserve">n line with best practice, the purpose of this report </w:t>
      </w:r>
      <w:r>
        <w:rPr>
          <w:rFonts w:cs="Arial"/>
          <w:bCs/>
        </w:rPr>
        <w:t>wa</w:t>
      </w:r>
      <w:r w:rsidRPr="00885CF4">
        <w:rPr>
          <w:rFonts w:cs="Arial"/>
          <w:bCs/>
        </w:rPr>
        <w:t>s to make the Audit Committee aware of the status of outstanding recommendations o</w:t>
      </w:r>
      <w:r>
        <w:rPr>
          <w:rFonts w:cs="Arial"/>
          <w:bCs/>
        </w:rPr>
        <w:t xml:space="preserve">r </w:t>
      </w:r>
      <w:r w:rsidRPr="00885CF4">
        <w:rPr>
          <w:rFonts w:cs="Arial"/>
          <w:bCs/>
        </w:rPr>
        <w:t>any outstanding actions from the previous Audit Committee meeting</w:t>
      </w:r>
      <w:r>
        <w:rPr>
          <w:rFonts w:cs="Arial"/>
          <w:bCs/>
        </w:rPr>
        <w:t>s</w:t>
      </w:r>
      <w:r w:rsidRPr="00885CF4">
        <w:rPr>
          <w:rFonts w:cs="Arial"/>
          <w:bCs/>
        </w:rPr>
        <w:t xml:space="preserve">. </w:t>
      </w:r>
    </w:p>
    <w:p w14:paraId="63CB128C" w14:textId="77777777" w:rsidR="008A6E06" w:rsidRDefault="008A6E06" w:rsidP="008A6E06">
      <w:pPr>
        <w:rPr>
          <w:rFonts w:cs="Arial"/>
          <w:bCs/>
        </w:rPr>
      </w:pPr>
    </w:p>
    <w:p w14:paraId="00937747" w14:textId="77777777" w:rsidR="008A6E06" w:rsidRDefault="008A6E06" w:rsidP="008A6E06">
      <w:pPr>
        <w:rPr>
          <w:rFonts w:cs="Arial"/>
          <w:bCs/>
        </w:rPr>
      </w:pPr>
      <w:r>
        <w:rPr>
          <w:rFonts w:cs="Arial"/>
          <w:bCs/>
        </w:rPr>
        <w:t>It was noted there was one item from the previous committee, which had been completed.</w:t>
      </w:r>
    </w:p>
    <w:p w14:paraId="3453A048" w14:textId="77777777" w:rsidR="008A6E06" w:rsidRDefault="008A6E06" w:rsidP="008A6E06">
      <w:pPr>
        <w:rPr>
          <w:rFonts w:cs="Arial"/>
          <w:bCs/>
        </w:rPr>
      </w:pPr>
    </w:p>
    <w:p w14:paraId="0738BA8F" w14:textId="77777777" w:rsidR="008A6E06" w:rsidRDefault="008A6E06" w:rsidP="008A6E06">
      <w:r>
        <w:rPr>
          <w:rFonts w:cs="Arial"/>
          <w:bCs/>
        </w:rPr>
        <w:t xml:space="preserve">RECOMMENDED that the </w:t>
      </w:r>
      <w:r w:rsidRPr="00093156">
        <w:t xml:space="preserve">Committee notes the </w:t>
      </w:r>
      <w:r>
        <w:t>report.</w:t>
      </w:r>
    </w:p>
    <w:p w14:paraId="2659BB1B" w14:textId="77777777" w:rsidR="008A6E06" w:rsidRDefault="008A6E06" w:rsidP="008A6E06"/>
    <w:p w14:paraId="5B6BD103" w14:textId="77777777" w:rsidR="008A6E06" w:rsidRDefault="008A6E06" w:rsidP="008A6E06">
      <w:pPr>
        <w:rPr>
          <w:b/>
        </w:rPr>
      </w:pPr>
      <w:r>
        <w:rPr>
          <w:b/>
        </w:rPr>
        <w:t>AGREED TO RECOMMEND, on the proposal of Councillor Armstrong-Cotter, seconded by Councillor Douglas, that the recommendation be adopted.</w:t>
      </w:r>
    </w:p>
    <w:p w14:paraId="523E4C3F" w14:textId="77777777" w:rsidR="008A6E06" w:rsidRDefault="008A6E06" w:rsidP="008A6E06"/>
    <w:p w14:paraId="3B00017A" w14:textId="77777777" w:rsidR="008A6E06" w:rsidRPr="00EF5788" w:rsidRDefault="008A6E06" w:rsidP="008A6E06">
      <w:pPr>
        <w:pStyle w:val="Heading1"/>
        <w:ind w:left="720" w:hanging="720"/>
        <w:rPr>
          <w:sz w:val="24"/>
          <w:szCs w:val="24"/>
          <w:u w:val="none"/>
        </w:rPr>
      </w:pPr>
      <w:r>
        <w:rPr>
          <w:u w:val="none"/>
        </w:rPr>
        <w:t>5</w:t>
      </w:r>
      <w:r w:rsidRPr="00B55DB6">
        <w:rPr>
          <w:u w:val="none"/>
        </w:rPr>
        <w:t xml:space="preserve">. </w:t>
      </w:r>
      <w:r w:rsidRPr="00B55DB6">
        <w:rPr>
          <w:u w:val="none"/>
        </w:rPr>
        <w:tab/>
      </w:r>
      <w:r>
        <w:t xml:space="preserve">external Audit </w:t>
      </w:r>
    </w:p>
    <w:p w14:paraId="0A457114" w14:textId="77777777" w:rsidR="008A6E06" w:rsidRDefault="008A6E06" w:rsidP="001D481F"/>
    <w:p w14:paraId="250FB1E2" w14:textId="1F2797D6" w:rsidR="008A6E06" w:rsidRDefault="008A6E06" w:rsidP="001D481F">
      <w:pPr>
        <w:pStyle w:val="Heading2"/>
        <w:numPr>
          <w:ilvl w:val="0"/>
          <w:numId w:val="11"/>
        </w:numPr>
        <w:ind w:hanging="720"/>
      </w:pPr>
      <w:r w:rsidRPr="00EC5D4A">
        <w:t>Annual Audit Letter</w:t>
      </w:r>
      <w:r>
        <w:t xml:space="preserve"> </w:t>
      </w:r>
      <w:r w:rsidRPr="00EC5D4A">
        <w:t>2020/21</w:t>
      </w:r>
      <w:r w:rsidRPr="00CA645D">
        <w:t xml:space="preserve"> </w:t>
      </w:r>
      <w:r>
        <w:t xml:space="preserve"> (Appendix II)</w:t>
      </w:r>
    </w:p>
    <w:p w14:paraId="6627E59E" w14:textId="77777777" w:rsidR="008A6E06" w:rsidRDefault="008A6E06" w:rsidP="008A6E06">
      <w:pPr>
        <w:rPr>
          <w:b/>
          <w:bCs/>
          <w:u w:val="single"/>
        </w:rPr>
      </w:pPr>
    </w:p>
    <w:p w14:paraId="23A0D948" w14:textId="77777777" w:rsidR="008A6E06" w:rsidRDefault="008A6E06" w:rsidP="008A6E06">
      <w:r>
        <w:t>PREVIOUSLY CIRCULATED:- Report from the Northern Ireland Audit Office outlining the Annual Audit letter for the Council for 2020/21.</w:t>
      </w:r>
    </w:p>
    <w:p w14:paraId="6CBC74CC" w14:textId="77777777" w:rsidR="008A6E06" w:rsidRDefault="008A6E06" w:rsidP="008A6E06"/>
    <w:p w14:paraId="14D9A78E" w14:textId="77777777" w:rsidR="008A6E06" w:rsidRDefault="008A6E06" w:rsidP="008A6E06">
      <w:r>
        <w:t>RECOMMENDED that the report be noted.</w:t>
      </w:r>
    </w:p>
    <w:p w14:paraId="7CFDA65C" w14:textId="77777777" w:rsidR="008A6E06" w:rsidRDefault="008A6E06" w:rsidP="008A6E06"/>
    <w:p w14:paraId="29E404F8" w14:textId="77777777" w:rsidR="008A6E06" w:rsidRDefault="008A6E06" w:rsidP="008A6E06">
      <w:r>
        <w:t>At this stage, Mr Allen, provided members with a detailed overview of the report which included matters such as Audit of Financial Statements, Audit on Economy, Efficiency &amp; Effectiveness and Governance.</w:t>
      </w:r>
    </w:p>
    <w:p w14:paraId="2B9F6727" w14:textId="77777777" w:rsidR="008A6E06" w:rsidRDefault="008A6E06" w:rsidP="008A6E06"/>
    <w:p w14:paraId="1D44FA78" w14:textId="77777777" w:rsidR="008A6E06" w:rsidRDefault="008A6E06" w:rsidP="008A6E06">
      <w:pPr>
        <w:rPr>
          <w:b/>
        </w:rPr>
      </w:pPr>
      <w:r>
        <w:rPr>
          <w:b/>
        </w:rPr>
        <w:t>AGREED TO RECOMMEND, on the proposal of Councillor Armstrong-Cotter, seconded by Councillor Douglas, that the report be noted.</w:t>
      </w:r>
    </w:p>
    <w:p w14:paraId="7A498304" w14:textId="77777777" w:rsidR="008A6E06" w:rsidRDefault="008A6E06" w:rsidP="008A6E06">
      <w:pPr>
        <w:rPr>
          <w:b/>
          <w:bCs/>
          <w:u w:val="single"/>
        </w:rPr>
      </w:pPr>
    </w:p>
    <w:p w14:paraId="71341DD9" w14:textId="6F066EE5" w:rsidR="008A6E06" w:rsidRDefault="008A6E06" w:rsidP="001D481F">
      <w:pPr>
        <w:pStyle w:val="Heading2"/>
        <w:numPr>
          <w:ilvl w:val="0"/>
          <w:numId w:val="11"/>
        </w:numPr>
        <w:ind w:hanging="720"/>
      </w:pPr>
      <w:r w:rsidRPr="00EC5D4A">
        <w:t>S95 Audit and Assessment report 2021/22 and certificate</w:t>
      </w:r>
      <w:r w:rsidRPr="00CA645D">
        <w:t xml:space="preserve"> </w:t>
      </w:r>
      <w:r>
        <w:t>(Appendix III)</w:t>
      </w:r>
    </w:p>
    <w:p w14:paraId="7769EF29" w14:textId="77777777" w:rsidR="008A6E06" w:rsidRDefault="008A6E06" w:rsidP="008A6E06">
      <w:pPr>
        <w:rPr>
          <w:b/>
          <w:bCs/>
          <w:u w:val="single"/>
        </w:rPr>
      </w:pPr>
    </w:p>
    <w:p w14:paraId="3608F64D" w14:textId="77777777" w:rsidR="008A6E06" w:rsidRDefault="008A6E06" w:rsidP="008A6E06">
      <w:r>
        <w:t>PREVIOUSLY CIRCULATED:- Report from the Northern Ireland Audit Office detailing the Audit and Assessment report for the Council for the period 2021/22, also letter dated 28 February 2022 and Certificate of Compliance.</w:t>
      </w:r>
    </w:p>
    <w:p w14:paraId="10DDABF0" w14:textId="77777777" w:rsidR="008A6E06" w:rsidRDefault="008A6E06" w:rsidP="008A6E06"/>
    <w:p w14:paraId="2319C000" w14:textId="77777777" w:rsidR="008A6E06" w:rsidRDefault="008A6E06" w:rsidP="008A6E06">
      <w:r>
        <w:t>RECOMMENDED that the report be noted.</w:t>
      </w:r>
    </w:p>
    <w:p w14:paraId="2DE7811D" w14:textId="77777777" w:rsidR="008A6E06" w:rsidRDefault="008A6E06" w:rsidP="008A6E06"/>
    <w:p w14:paraId="25510975" w14:textId="77777777" w:rsidR="008A6E06" w:rsidRDefault="008A6E06" w:rsidP="008A6E06">
      <w:r>
        <w:lastRenderedPageBreak/>
        <w:t>At this stage, Mr McCallion, thanked the Chief Executive and his staff for their assistance and hard work and proceeded to provide members with a detailed overview of the report. He highlighted that the Auditor had been unable to assess whether Council was likely to comply with Part 12 of the Local Government Act (Northern Ireland) 2014 (the Act) during 2021-22 due to the impact of the COVID-19 pandemic on normal services. It was further noted that in respect of Statutory recommendations, the Auditor had made no statutory recommendations however there had been five new proposals made for improvement.</w:t>
      </w:r>
    </w:p>
    <w:p w14:paraId="30E491C4" w14:textId="77777777" w:rsidR="008A6E06" w:rsidRDefault="008A6E06" w:rsidP="008A6E06"/>
    <w:p w14:paraId="4BB8D1E3" w14:textId="77777777" w:rsidR="008A6E06" w:rsidRDefault="008A6E06" w:rsidP="008A6E06">
      <w:r>
        <w:t>(Councillor McAlpine joined the meeting at this stage – 7.08pm)</w:t>
      </w:r>
    </w:p>
    <w:p w14:paraId="0C58C876" w14:textId="77777777" w:rsidR="008A6E06" w:rsidRDefault="008A6E06" w:rsidP="008A6E06"/>
    <w:p w14:paraId="450F05EC" w14:textId="77777777" w:rsidR="008A6E06" w:rsidRDefault="008A6E06" w:rsidP="008A6E06">
      <w:r>
        <w:t>At this stage the Chairman sought questions from members.</w:t>
      </w:r>
    </w:p>
    <w:p w14:paraId="6C630B45" w14:textId="77777777" w:rsidR="008A6E06" w:rsidRDefault="008A6E06" w:rsidP="008A6E06"/>
    <w:p w14:paraId="2EB43C6B" w14:textId="77777777" w:rsidR="008A6E06" w:rsidRDefault="008A6E06" w:rsidP="008A6E06">
      <w:r>
        <w:t>Picking up on the issues raised in respect of the Council’s Consultation process, Councillor Douglas sought further details asking particularly if this was an issue for all Council consultations undertaken.</w:t>
      </w:r>
    </w:p>
    <w:p w14:paraId="537EB381" w14:textId="77777777" w:rsidR="008A6E06" w:rsidRDefault="008A6E06" w:rsidP="008A6E06"/>
    <w:p w14:paraId="3EB94583" w14:textId="77777777" w:rsidR="008A6E06" w:rsidRDefault="008A6E06" w:rsidP="008A6E06">
      <w:r>
        <w:t>In response Mr McCallion confirmed that the Council did not have a specific consultation strategy stating the number of weeks required for consultations. He indicated that some other Councils did have a strategy. Furthermore it was noted the consultation period for the 2021-21 PIP ran for only three weeks, which was a reduction from four weeks in the 2019-20 process, however he acknowledged that may have been impacted by the Covid 19 pandemic.</w:t>
      </w:r>
    </w:p>
    <w:p w14:paraId="64AC90C6" w14:textId="77777777" w:rsidR="008A6E06" w:rsidRDefault="008A6E06" w:rsidP="008A6E06"/>
    <w:p w14:paraId="4B3AE222" w14:textId="77777777" w:rsidR="008A6E06" w:rsidRDefault="008A6E06" w:rsidP="008A6E06">
      <w:r>
        <w:t>Councillor Douglas referred to major criticism directed towards the Council about recent consultations undertaken.</w:t>
      </w:r>
    </w:p>
    <w:p w14:paraId="2D0202E7" w14:textId="77777777" w:rsidR="008A6E06" w:rsidRDefault="008A6E06" w:rsidP="008A6E06"/>
    <w:p w14:paraId="41361582" w14:textId="77777777" w:rsidR="008A6E06" w:rsidRDefault="008A6E06" w:rsidP="008A6E06">
      <w:r>
        <w:t>Councillor Douglas was aware that currently the Council could be open to challenge and as such she would welcome the development of a consultation strategy.</w:t>
      </w:r>
    </w:p>
    <w:p w14:paraId="52E401E7" w14:textId="77777777" w:rsidR="008A6E06" w:rsidRDefault="008A6E06" w:rsidP="008A6E06"/>
    <w:p w14:paraId="1029E76B" w14:textId="77777777" w:rsidR="008A6E06" w:rsidRDefault="008A6E06" w:rsidP="008A6E06">
      <w:pPr>
        <w:rPr>
          <w:b/>
        </w:rPr>
      </w:pPr>
      <w:r>
        <w:rPr>
          <w:b/>
        </w:rPr>
        <w:t>AGREED TO RECOMMEND, on the proposal of Councillor Douglas, seconded by Councillor P Smith, that the report be noted.</w:t>
      </w:r>
    </w:p>
    <w:p w14:paraId="329FA7F3" w14:textId="77777777" w:rsidR="008A6E06" w:rsidRDefault="008A6E06" w:rsidP="008A6E06">
      <w:pPr>
        <w:rPr>
          <w:b/>
        </w:rPr>
      </w:pPr>
    </w:p>
    <w:p w14:paraId="31FAD1F8" w14:textId="3BE764C0" w:rsidR="008A6E06" w:rsidRPr="00E87AEA" w:rsidRDefault="00E87AEA" w:rsidP="00E87AEA">
      <w:pPr>
        <w:pStyle w:val="Heading2"/>
        <w:rPr>
          <w:b w:val="0"/>
          <w:bCs/>
          <w:u w:val="none"/>
        </w:rPr>
      </w:pPr>
      <w:r w:rsidRPr="00E87AEA">
        <w:rPr>
          <w:u w:val="none"/>
        </w:rPr>
        <w:t>(c)</w:t>
      </w:r>
      <w:r w:rsidRPr="00E87AEA">
        <w:rPr>
          <w:u w:val="none"/>
        </w:rPr>
        <w:tab/>
      </w:r>
      <w:r w:rsidR="008A6E06" w:rsidRPr="00490E91">
        <w:t>Draft Audit Strategy 2021/22</w:t>
      </w:r>
      <w:r w:rsidR="008A6E06" w:rsidRPr="00E87AEA">
        <w:rPr>
          <w:u w:val="none"/>
        </w:rPr>
        <w:t xml:space="preserve"> </w:t>
      </w:r>
      <w:r w:rsidR="008A6E06" w:rsidRPr="00E87AEA">
        <w:rPr>
          <w:b w:val="0"/>
          <w:bCs/>
          <w:u w:val="none"/>
        </w:rPr>
        <w:t>(Appendix IV)</w:t>
      </w:r>
    </w:p>
    <w:p w14:paraId="7E55F5E0" w14:textId="77777777" w:rsidR="008A6E06" w:rsidRDefault="008A6E06" w:rsidP="008A6E06">
      <w:pPr>
        <w:ind w:left="-142"/>
        <w:rPr>
          <w:b/>
        </w:rPr>
      </w:pPr>
    </w:p>
    <w:p w14:paraId="42C689F6" w14:textId="77777777" w:rsidR="008A6E06" w:rsidRDefault="008A6E06" w:rsidP="008A6E06">
      <w:r>
        <w:t>PREVIOUSLY CIRCULATED:- Report from the Northern Ireland Audit Office detailing the Draft Audit Strategy for the Council for 2021/22.</w:t>
      </w:r>
    </w:p>
    <w:p w14:paraId="55A7784F" w14:textId="77777777" w:rsidR="008A6E06" w:rsidRDefault="008A6E06" w:rsidP="008A6E06"/>
    <w:p w14:paraId="14BF55A7" w14:textId="77777777" w:rsidR="008A6E06" w:rsidRDefault="008A6E06" w:rsidP="008A6E06">
      <w:r>
        <w:t>RECOMMENDED that the report be noted.</w:t>
      </w:r>
    </w:p>
    <w:p w14:paraId="0B45B12D" w14:textId="77777777" w:rsidR="008A6E06" w:rsidRDefault="008A6E06" w:rsidP="008A6E06"/>
    <w:p w14:paraId="0BAAC618" w14:textId="77777777" w:rsidR="008A6E06" w:rsidRDefault="008A6E06" w:rsidP="008A6E06">
      <w:r>
        <w:t xml:space="preserve">At this stage, Mr McCallion, provided members with a detailed overview of the report highlighting the Key Messages and Audit Risks. </w:t>
      </w:r>
    </w:p>
    <w:p w14:paraId="317E49C8" w14:textId="77777777" w:rsidR="008A6E06" w:rsidRDefault="008A6E06" w:rsidP="008A6E06"/>
    <w:p w14:paraId="54E146EF" w14:textId="77777777" w:rsidR="008A6E06" w:rsidRDefault="008A6E06" w:rsidP="008A6E06">
      <w:r>
        <w:t>The Chairman sought questions from members.</w:t>
      </w:r>
    </w:p>
    <w:p w14:paraId="616B3163" w14:textId="77777777" w:rsidR="008A6E06" w:rsidRDefault="008A6E06" w:rsidP="008A6E06"/>
    <w:p w14:paraId="685298C0" w14:textId="77777777" w:rsidR="008A6E06" w:rsidRDefault="008A6E06" w:rsidP="008A6E06">
      <w:r>
        <w:t xml:space="preserve">Referring to Section 3 of the report, Audit Approach, Mr McGonigal noted the key accounting changes introduced by the 2021-22 Code of Practice on Local Authority Accounting in the United Kingdom (the Code) including the Reframing the Code requirements in terms of UK-adopted standards rather than EU adopted standards, </w:t>
      </w:r>
      <w:r>
        <w:lastRenderedPageBreak/>
        <w:t>reflecting the United Kingdom's withdrawal from the European Union. He commented that he would have assumed there would have been very little in the way of changes.</w:t>
      </w:r>
    </w:p>
    <w:p w14:paraId="43BAEC45" w14:textId="77777777" w:rsidR="008A6E06" w:rsidRDefault="008A6E06" w:rsidP="008A6E06"/>
    <w:p w14:paraId="7506E9D5" w14:textId="77777777" w:rsidR="008A6E06" w:rsidRDefault="008A6E06" w:rsidP="008A6E06">
      <w:r>
        <w:t xml:space="preserve">Mr Allen informed Mr McGonigal that element of the report had been undertaken by another section of the team and as such he would report back to him on that point.  He added that he would not have anticipated there being any major changes made to this. </w:t>
      </w:r>
    </w:p>
    <w:p w14:paraId="25457742" w14:textId="77777777" w:rsidR="008A6E06" w:rsidRDefault="008A6E06" w:rsidP="008A6E06"/>
    <w:p w14:paraId="74FCE196" w14:textId="77777777" w:rsidR="008A6E06" w:rsidRDefault="008A6E06" w:rsidP="008A6E06">
      <w:pPr>
        <w:rPr>
          <w:b/>
        </w:rPr>
      </w:pPr>
      <w:r>
        <w:rPr>
          <w:b/>
        </w:rPr>
        <w:t>AGREED TO RECOMMEND, on the proposal of Councillor P Smith, seconded by Councillor Armstrong-Cotter, that the recommendation be adopted.</w:t>
      </w:r>
    </w:p>
    <w:p w14:paraId="246723B1" w14:textId="77777777" w:rsidR="008A6E06" w:rsidRPr="00EC5D4A" w:rsidRDefault="008A6E06" w:rsidP="008A6E06">
      <w:pPr>
        <w:ind w:left="-142"/>
        <w:rPr>
          <w:b/>
        </w:rPr>
      </w:pPr>
    </w:p>
    <w:p w14:paraId="23D0FBDE" w14:textId="77777777" w:rsidR="008A6E06" w:rsidRDefault="008A6E06" w:rsidP="008A6E06">
      <w:pPr>
        <w:pStyle w:val="Heading1"/>
      </w:pPr>
      <w:r>
        <w:rPr>
          <w:u w:val="none"/>
        </w:rPr>
        <w:t>6</w:t>
      </w:r>
      <w:r w:rsidRPr="0027514E">
        <w:rPr>
          <w:u w:val="none"/>
        </w:rPr>
        <w:t>.</w:t>
      </w:r>
      <w:r w:rsidRPr="0027514E">
        <w:rPr>
          <w:u w:val="none"/>
        </w:rPr>
        <w:tab/>
      </w:r>
      <w:r>
        <w:t xml:space="preserve">Internal audit </w:t>
      </w:r>
    </w:p>
    <w:p w14:paraId="235B40D4" w14:textId="77777777" w:rsidR="008A6E06" w:rsidRDefault="008A6E06" w:rsidP="008A6E06"/>
    <w:p w14:paraId="7ED2BBEF" w14:textId="2F1DFF60" w:rsidR="008A6E06" w:rsidRPr="00E87AEA" w:rsidRDefault="00E87AEA" w:rsidP="00E87AEA">
      <w:pPr>
        <w:pStyle w:val="Heading2"/>
        <w:rPr>
          <w:b w:val="0"/>
          <w:bCs/>
          <w:u w:val="none"/>
        </w:rPr>
      </w:pPr>
      <w:r w:rsidRPr="00380AEC">
        <w:rPr>
          <w:u w:val="none"/>
        </w:rPr>
        <w:t>(a)</w:t>
      </w:r>
      <w:r w:rsidRPr="00380AEC">
        <w:rPr>
          <w:u w:val="none"/>
        </w:rPr>
        <w:tab/>
      </w:r>
      <w:r w:rsidR="008A6E06" w:rsidRPr="000228CA">
        <w:t>Internal Audit Progress Report</w:t>
      </w:r>
      <w:r w:rsidR="008A6E06" w:rsidRPr="00E87AEA">
        <w:rPr>
          <w:u w:val="none"/>
        </w:rPr>
        <w:t xml:space="preserve"> </w:t>
      </w:r>
      <w:r w:rsidR="008A6E06" w:rsidRPr="00E87AEA">
        <w:rPr>
          <w:b w:val="0"/>
          <w:bCs/>
          <w:u w:val="none"/>
        </w:rPr>
        <w:t xml:space="preserve">(Appendix V) </w:t>
      </w:r>
    </w:p>
    <w:p w14:paraId="7580C57E" w14:textId="77777777" w:rsidR="008A6E06" w:rsidRDefault="008A6E06" w:rsidP="008A6E06">
      <w:pPr>
        <w:rPr>
          <w:b/>
          <w:bCs/>
          <w:u w:val="single"/>
        </w:rPr>
      </w:pPr>
    </w:p>
    <w:p w14:paraId="682574C6" w14:textId="77777777" w:rsidR="008A6E06" w:rsidRDefault="008A6E06" w:rsidP="008A6E06">
      <w:r>
        <w:t>PREVIOUSLY CIRCULATED:- Report from Deloitte detailing the Audit Committee progress on the following service areas (reports attached at appendix):</w:t>
      </w:r>
    </w:p>
    <w:p w14:paraId="7FFDAF76" w14:textId="77777777" w:rsidR="008A6E06" w:rsidRDefault="008A6E06" w:rsidP="008A6E06"/>
    <w:p w14:paraId="42413269" w14:textId="77777777" w:rsidR="008A6E06" w:rsidRPr="00BC3D26" w:rsidRDefault="008A6E06" w:rsidP="008A6E06">
      <w:pPr>
        <w:numPr>
          <w:ilvl w:val="2"/>
          <w:numId w:val="7"/>
        </w:numPr>
        <w:suppressAutoHyphens w:val="0"/>
        <w:autoSpaceDN/>
        <w:ind w:left="709" w:hanging="425"/>
        <w:textAlignment w:val="auto"/>
        <w:rPr>
          <w:rFonts w:cs="Arial"/>
        </w:rPr>
      </w:pPr>
      <w:r>
        <w:rPr>
          <w:rFonts w:cs="Arial"/>
        </w:rPr>
        <w:t xml:space="preserve">Supplier Payments </w:t>
      </w:r>
    </w:p>
    <w:p w14:paraId="5A37B963" w14:textId="77777777" w:rsidR="008A6E06" w:rsidRDefault="008A6E06" w:rsidP="008A6E06">
      <w:pPr>
        <w:numPr>
          <w:ilvl w:val="2"/>
          <w:numId w:val="7"/>
        </w:numPr>
        <w:suppressAutoHyphens w:val="0"/>
        <w:autoSpaceDN/>
        <w:ind w:left="709" w:hanging="425"/>
        <w:textAlignment w:val="auto"/>
        <w:rPr>
          <w:rFonts w:cs="Arial"/>
        </w:rPr>
      </w:pPr>
      <w:r>
        <w:rPr>
          <w:rFonts w:cs="Arial"/>
        </w:rPr>
        <w:t xml:space="preserve">Organisational Development </w:t>
      </w:r>
    </w:p>
    <w:p w14:paraId="26D0039A" w14:textId="77777777" w:rsidR="008A6E06" w:rsidRDefault="008A6E06" w:rsidP="008A6E06">
      <w:pPr>
        <w:numPr>
          <w:ilvl w:val="2"/>
          <w:numId w:val="7"/>
        </w:numPr>
        <w:suppressAutoHyphens w:val="0"/>
        <w:autoSpaceDN/>
        <w:ind w:left="709" w:hanging="425"/>
        <w:textAlignment w:val="auto"/>
        <w:rPr>
          <w:rFonts w:cs="Arial"/>
        </w:rPr>
      </w:pPr>
      <w:r>
        <w:rPr>
          <w:rFonts w:cs="Arial"/>
        </w:rPr>
        <w:t xml:space="preserve">Policing Community Safety Partnerships (PCSP) </w:t>
      </w:r>
    </w:p>
    <w:p w14:paraId="1526EF5C" w14:textId="77777777" w:rsidR="008A6E06" w:rsidRDefault="008A6E06" w:rsidP="008A6E06">
      <w:pPr>
        <w:numPr>
          <w:ilvl w:val="2"/>
          <w:numId w:val="7"/>
        </w:numPr>
        <w:suppressAutoHyphens w:val="0"/>
        <w:autoSpaceDN/>
        <w:ind w:left="709" w:hanging="425"/>
        <w:textAlignment w:val="auto"/>
        <w:rPr>
          <w:rFonts w:cs="Arial"/>
        </w:rPr>
      </w:pPr>
      <w:r>
        <w:rPr>
          <w:rFonts w:cs="Arial"/>
        </w:rPr>
        <w:t xml:space="preserve">Grant Funding </w:t>
      </w:r>
    </w:p>
    <w:p w14:paraId="11B949AF" w14:textId="77777777" w:rsidR="008A6E06" w:rsidRDefault="008A6E06" w:rsidP="008A6E06">
      <w:pPr>
        <w:numPr>
          <w:ilvl w:val="2"/>
          <w:numId w:val="7"/>
        </w:numPr>
        <w:suppressAutoHyphens w:val="0"/>
        <w:autoSpaceDN/>
        <w:ind w:left="709" w:hanging="425"/>
        <w:textAlignment w:val="auto"/>
        <w:rPr>
          <w:rFonts w:cs="Arial"/>
        </w:rPr>
      </w:pPr>
      <w:r>
        <w:rPr>
          <w:rFonts w:cs="Arial"/>
        </w:rPr>
        <w:t>Waste Services</w:t>
      </w:r>
    </w:p>
    <w:p w14:paraId="0C4C66F7" w14:textId="77777777" w:rsidR="008A6E06" w:rsidRDefault="008A6E06" w:rsidP="008A6E06">
      <w:pPr>
        <w:numPr>
          <w:ilvl w:val="2"/>
          <w:numId w:val="7"/>
        </w:numPr>
        <w:suppressAutoHyphens w:val="0"/>
        <w:autoSpaceDN/>
        <w:ind w:left="709" w:hanging="425"/>
        <w:textAlignment w:val="auto"/>
        <w:rPr>
          <w:rFonts w:cs="Arial"/>
        </w:rPr>
      </w:pPr>
      <w:r>
        <w:rPr>
          <w:rFonts w:cs="Arial"/>
        </w:rPr>
        <w:t xml:space="preserve">Customer Service </w:t>
      </w:r>
    </w:p>
    <w:p w14:paraId="6A16C188" w14:textId="77777777" w:rsidR="008A6E06" w:rsidRPr="00490E91" w:rsidRDefault="008A6E06" w:rsidP="008A6E06">
      <w:pPr>
        <w:numPr>
          <w:ilvl w:val="2"/>
          <w:numId w:val="7"/>
        </w:numPr>
        <w:suppressAutoHyphens w:val="0"/>
        <w:autoSpaceDN/>
        <w:ind w:left="709" w:hanging="425"/>
        <w:textAlignment w:val="auto"/>
        <w:rPr>
          <w:rFonts w:cs="Arial"/>
        </w:rPr>
      </w:pPr>
      <w:r>
        <w:rPr>
          <w:rFonts w:cs="Arial"/>
        </w:rPr>
        <w:t>Bi-annual Follow up March 2022</w:t>
      </w:r>
    </w:p>
    <w:p w14:paraId="060B7A44" w14:textId="77777777" w:rsidR="008A6E06" w:rsidRDefault="008A6E06" w:rsidP="008A6E06"/>
    <w:p w14:paraId="015E3FD9" w14:textId="77777777" w:rsidR="008A6E06" w:rsidRDefault="008A6E06" w:rsidP="008A6E06">
      <w:r>
        <w:t xml:space="preserve">RECOMMENDED </w:t>
      </w:r>
      <w:r w:rsidRPr="00BB3A80">
        <w:t xml:space="preserve">that </w:t>
      </w:r>
      <w:r>
        <w:t>the reports be noted.</w:t>
      </w:r>
    </w:p>
    <w:p w14:paraId="17C423B4" w14:textId="77777777" w:rsidR="008A6E06" w:rsidRDefault="008A6E06" w:rsidP="008A6E06"/>
    <w:p w14:paraId="5A9A68E3" w14:textId="77777777" w:rsidR="008A6E06" w:rsidRDefault="008A6E06" w:rsidP="008A6E06">
      <w:r>
        <w:t>Ms McDermott, Deloitte, summarised the progress report which had been tabled confirming that all planned audits had now been completed. She expressed her gratitude to Council staff for their assistance throughout the audit process and proceeded to guide members through the reports for each of the service areas.</w:t>
      </w:r>
    </w:p>
    <w:p w14:paraId="70B6B027" w14:textId="77777777" w:rsidR="008A6E06" w:rsidRPr="0090782A" w:rsidRDefault="008A6E06" w:rsidP="008A6E06">
      <w:r>
        <w:t xml:space="preserve"> </w:t>
      </w:r>
    </w:p>
    <w:p w14:paraId="2B90CF0A" w14:textId="77777777" w:rsidR="008A6E06" w:rsidRPr="000228CA" w:rsidRDefault="008A6E06" w:rsidP="008A6E06">
      <w:pPr>
        <w:numPr>
          <w:ilvl w:val="0"/>
          <w:numId w:val="6"/>
        </w:numPr>
        <w:rPr>
          <w:b/>
          <w:bCs/>
        </w:rPr>
      </w:pPr>
      <w:r>
        <w:rPr>
          <w:rFonts w:cs="Arial"/>
          <w:b/>
          <w:bCs/>
        </w:rPr>
        <w:t>Supplier Payments</w:t>
      </w:r>
    </w:p>
    <w:p w14:paraId="6D638AAC" w14:textId="77777777" w:rsidR="008A6E06" w:rsidRDefault="008A6E06" w:rsidP="008A6E06">
      <w:pPr>
        <w:ind w:left="1080"/>
      </w:pPr>
    </w:p>
    <w:p w14:paraId="1ECBD2BC" w14:textId="77777777" w:rsidR="008A6E06" w:rsidRDefault="008A6E06" w:rsidP="008A6E06">
      <w:r>
        <w:t>Ms McDermott highlighted the salient points and audit priorities within the report and noted there were no Priority 1 recommendations, two Priority 2 recommendations and one Priority  3 recommendation  with an overall Satisfactory level of assurance given.  Ms McDermott provided members with a brief synopsis of each of those Priority findings before seeking queries from members at this stage.</w:t>
      </w:r>
    </w:p>
    <w:p w14:paraId="0C603FA8" w14:textId="77777777" w:rsidR="008A6E06" w:rsidRDefault="008A6E06" w:rsidP="008A6E06"/>
    <w:p w14:paraId="6376BCD6" w14:textId="77777777" w:rsidR="008A6E06" w:rsidRDefault="008A6E06" w:rsidP="008A6E06">
      <w:r>
        <w:t>Referring to Supplier Payments, Councillor P Smith commented that it would normally be necessary to have either a Purchase Order or Cost Code to enable a payment to be progressed.</w:t>
      </w:r>
    </w:p>
    <w:p w14:paraId="5D374F68" w14:textId="77777777" w:rsidR="008A6E06" w:rsidRDefault="008A6E06" w:rsidP="008A6E06"/>
    <w:p w14:paraId="2DEE37AD" w14:textId="77777777" w:rsidR="008A6E06" w:rsidRDefault="008A6E06" w:rsidP="008A6E06">
      <w:r>
        <w:t>Ms McDermott confirmed that a manual system for that was currently in place, however it was being suggested that new finance system would support the process better.</w:t>
      </w:r>
    </w:p>
    <w:p w14:paraId="26DABB18" w14:textId="77777777" w:rsidR="008A6E06" w:rsidRDefault="008A6E06" w:rsidP="008A6E06"/>
    <w:p w14:paraId="304859FE" w14:textId="77777777" w:rsidR="008A6E06" w:rsidRDefault="008A6E06" w:rsidP="008A6E06">
      <w:r>
        <w:lastRenderedPageBreak/>
        <w:t>The Head of Finance added that the section’s Service Plan included reference to the provision of a Business Case for the introduction of such a system.</w:t>
      </w:r>
    </w:p>
    <w:p w14:paraId="62B129AE" w14:textId="77777777" w:rsidR="008A6E06" w:rsidRDefault="008A6E06" w:rsidP="008A6E06"/>
    <w:p w14:paraId="4198F232" w14:textId="77777777" w:rsidR="008A6E06" w:rsidRDefault="008A6E06" w:rsidP="008A6E06">
      <w:r>
        <w:t>Mr McGonigal referred to the Management responses to the report and suggested that future reports detailed such responses as either: Accepted, Rejected or Partially Accepted. Continuing he noted two actions points had been described as not feasible by management and sought further clarification on that.</w:t>
      </w:r>
    </w:p>
    <w:p w14:paraId="239036EA" w14:textId="77777777" w:rsidR="008A6E06" w:rsidRDefault="008A6E06" w:rsidP="008A6E06"/>
    <w:p w14:paraId="6E97852C" w14:textId="77777777" w:rsidR="008A6E06" w:rsidRDefault="008A6E06" w:rsidP="008A6E06">
      <w:r>
        <w:t>The Director of Finance &amp; Performance stated that generally management accepted all recommendations and if it was felt that it could not then this would be specifically drawn to the attention of the committee.  Alluding to the recommendations referred to, the Director indicated that they had been accepted and the first step to implement would be the development of a business case for the purchase of a new finance system. He added that in such cases it was probable that some recommendations could take considerable time to implement.</w:t>
      </w:r>
    </w:p>
    <w:p w14:paraId="45DCE4D7" w14:textId="77777777" w:rsidR="008A6E06" w:rsidRDefault="008A6E06" w:rsidP="008A6E06"/>
    <w:p w14:paraId="4643EFAF" w14:textId="77777777" w:rsidR="008A6E06" w:rsidRDefault="008A6E06" w:rsidP="008A6E06">
      <w:r>
        <w:t>Mr McGonigal quoted directly from the report which indicated management had said a recommendation ‘was not feasible’.</w:t>
      </w:r>
    </w:p>
    <w:p w14:paraId="374EF5C6" w14:textId="77777777" w:rsidR="008A6E06" w:rsidRDefault="008A6E06" w:rsidP="008A6E06"/>
    <w:p w14:paraId="6B3787AA" w14:textId="77777777" w:rsidR="008A6E06" w:rsidRDefault="008A6E06" w:rsidP="008A6E06">
      <w:r>
        <w:t>The Director of Finance &amp; Performance reiterated that the recommendation in that case had been accepted but a business case would need to be developed in order to implement it.</w:t>
      </w:r>
    </w:p>
    <w:p w14:paraId="4C5C83B0" w14:textId="77777777" w:rsidR="008A6E06" w:rsidRDefault="008A6E06" w:rsidP="008A6E06"/>
    <w:p w14:paraId="1434C564" w14:textId="77777777" w:rsidR="008A6E06" w:rsidRDefault="008A6E06" w:rsidP="008A6E06">
      <w:r>
        <w:t>At this stage the Head of Finance confirmed that the recommendation had been accepted in principal and added that currently a manual system was in place which mitigated the level of risk.</w:t>
      </w:r>
    </w:p>
    <w:p w14:paraId="4785479F" w14:textId="77777777" w:rsidR="008A6E06" w:rsidRPr="00102518" w:rsidRDefault="008A6E06" w:rsidP="008A6E06">
      <w:pPr>
        <w:rPr>
          <w:b/>
          <w:bCs/>
        </w:rPr>
      </w:pPr>
    </w:p>
    <w:p w14:paraId="5F1984BD" w14:textId="77777777" w:rsidR="008A6E06" w:rsidRPr="00102518" w:rsidRDefault="008A6E06" w:rsidP="008A6E06">
      <w:pPr>
        <w:numPr>
          <w:ilvl w:val="0"/>
          <w:numId w:val="6"/>
        </w:numPr>
        <w:suppressAutoHyphens w:val="0"/>
        <w:autoSpaceDN/>
        <w:textAlignment w:val="auto"/>
        <w:rPr>
          <w:rFonts w:cs="Arial"/>
          <w:b/>
          <w:bCs/>
        </w:rPr>
      </w:pPr>
      <w:r w:rsidRPr="00102518">
        <w:rPr>
          <w:rFonts w:cs="Arial"/>
          <w:b/>
          <w:bCs/>
        </w:rPr>
        <w:t xml:space="preserve">Organisational Development </w:t>
      </w:r>
    </w:p>
    <w:p w14:paraId="710628AA" w14:textId="77777777" w:rsidR="008A6E06" w:rsidRDefault="008A6E06" w:rsidP="008A6E06"/>
    <w:p w14:paraId="1452F214" w14:textId="77777777" w:rsidR="008A6E06" w:rsidRDefault="008A6E06" w:rsidP="008A6E06">
      <w:r>
        <w:t>Ms McDermott highlighted the salient points and audit priorities within the report and noted there were no Priority I recommendations, one Priority 2 recommendation and five Priority 3 recommendations with an overall Satisfactory level of assurance given.  Ms McDermott provided members with a brief synopsis of each of those Priority findings before seeking queries from members at this stage. There were no questions from members.</w:t>
      </w:r>
    </w:p>
    <w:p w14:paraId="4D1DA788" w14:textId="77777777" w:rsidR="008A6E06" w:rsidRDefault="008A6E06" w:rsidP="008A6E06"/>
    <w:p w14:paraId="05B0E414" w14:textId="77777777" w:rsidR="008A6E06" w:rsidRPr="006E26CD" w:rsidRDefault="008A6E06" w:rsidP="008A6E06">
      <w:pPr>
        <w:numPr>
          <w:ilvl w:val="0"/>
          <w:numId w:val="6"/>
        </w:numPr>
        <w:suppressAutoHyphens w:val="0"/>
        <w:autoSpaceDN/>
        <w:textAlignment w:val="auto"/>
        <w:rPr>
          <w:rFonts w:cs="Arial"/>
          <w:b/>
          <w:bCs/>
        </w:rPr>
      </w:pPr>
      <w:r w:rsidRPr="006E26CD">
        <w:rPr>
          <w:rFonts w:cs="Arial"/>
          <w:b/>
          <w:bCs/>
        </w:rPr>
        <w:t xml:space="preserve">Policing Community Safety Partnerships (PCSP) </w:t>
      </w:r>
    </w:p>
    <w:p w14:paraId="6E2A744E" w14:textId="77777777" w:rsidR="008A6E06" w:rsidRDefault="008A6E06" w:rsidP="008A6E06"/>
    <w:p w14:paraId="6DBCD882" w14:textId="77777777" w:rsidR="008A6E06" w:rsidRDefault="008A6E06" w:rsidP="008A6E06">
      <w:r>
        <w:t>Ms McDermott highlighted the salient points and audit priorities within the report and noted there were no  Priority 1 recommendations,  two Priority 2 recommendations and two Priority 3 recommendations  with an overall Satisfactory level of assurance given.  Ms McDermott provided members with a brief synopsis of each of those Priority findings before seeking queries from members at this stage.</w:t>
      </w:r>
    </w:p>
    <w:p w14:paraId="00CADCF4" w14:textId="77777777" w:rsidR="008A6E06" w:rsidRDefault="008A6E06" w:rsidP="008A6E06"/>
    <w:p w14:paraId="018B3B82" w14:textId="77777777" w:rsidR="008A6E06" w:rsidRDefault="008A6E06" w:rsidP="008A6E06">
      <w:r>
        <w:t>Mr McGonigal noted the projected sign off date of March 2023 in respect of the introduction of electronic sign offs and suggested that was something which should already be taking place  due to new working arrangements introduced as the result of the Covid 19 pandemic.</w:t>
      </w:r>
    </w:p>
    <w:p w14:paraId="5576ACEA" w14:textId="77777777" w:rsidR="008A6E06" w:rsidRDefault="008A6E06" w:rsidP="008A6E06"/>
    <w:p w14:paraId="44D4654F" w14:textId="77777777" w:rsidR="008A6E06" w:rsidRDefault="008A6E06" w:rsidP="008A6E06">
      <w:r>
        <w:lastRenderedPageBreak/>
        <w:t>In response the Director of Finance &amp; Performance indicated that he would liaise with his PCSP colleagues on this matter and report back to Mr McGonigal in due course. He suspected that it may be a typographical error within the report.</w:t>
      </w:r>
    </w:p>
    <w:p w14:paraId="233F6031" w14:textId="77777777" w:rsidR="008A6E06" w:rsidRDefault="008A6E06" w:rsidP="008A6E06"/>
    <w:p w14:paraId="5159FF22" w14:textId="77777777" w:rsidR="008A6E06" w:rsidRPr="00512561" w:rsidRDefault="008A6E06" w:rsidP="008A6E06">
      <w:pPr>
        <w:numPr>
          <w:ilvl w:val="0"/>
          <w:numId w:val="6"/>
        </w:numPr>
        <w:suppressAutoHyphens w:val="0"/>
        <w:autoSpaceDN/>
        <w:textAlignment w:val="auto"/>
        <w:rPr>
          <w:rFonts w:cs="Arial"/>
          <w:b/>
          <w:bCs/>
        </w:rPr>
      </w:pPr>
      <w:r w:rsidRPr="00512561">
        <w:rPr>
          <w:rFonts w:cs="Arial"/>
          <w:b/>
          <w:bCs/>
        </w:rPr>
        <w:t xml:space="preserve">Grant Funding </w:t>
      </w:r>
    </w:p>
    <w:p w14:paraId="049D9233" w14:textId="77777777" w:rsidR="008A6E06" w:rsidRDefault="008A6E06" w:rsidP="008A6E06"/>
    <w:p w14:paraId="2BFE4FA6" w14:textId="77777777" w:rsidR="008A6E06" w:rsidRDefault="008A6E06" w:rsidP="008A6E06">
      <w:r>
        <w:t>Ms McDermott highlighted the salient points and audit priorities within the report and noted there were no  Priority 1 recommendations, three Priority 2 recommendations and three Priority 3 recommendations  with an overall Satisfactory level of assurance given.  Ms McDermott provided members with a brief synopsis of each of those Priority findings before seeking queries from members at this stage. There were no questions from members.</w:t>
      </w:r>
    </w:p>
    <w:p w14:paraId="564251B8" w14:textId="77777777" w:rsidR="008A6E06" w:rsidRDefault="008A6E06" w:rsidP="008A6E06"/>
    <w:p w14:paraId="4945E572" w14:textId="77777777" w:rsidR="008A6E06" w:rsidRPr="006F5064" w:rsidRDefault="008A6E06" w:rsidP="008A6E06">
      <w:pPr>
        <w:numPr>
          <w:ilvl w:val="0"/>
          <w:numId w:val="6"/>
        </w:numPr>
        <w:suppressAutoHyphens w:val="0"/>
        <w:autoSpaceDN/>
        <w:textAlignment w:val="auto"/>
        <w:rPr>
          <w:rFonts w:cs="Arial"/>
          <w:b/>
          <w:bCs/>
        </w:rPr>
      </w:pPr>
      <w:r w:rsidRPr="006F5064">
        <w:rPr>
          <w:rFonts w:cs="Arial"/>
          <w:b/>
          <w:bCs/>
        </w:rPr>
        <w:t>Waste Services</w:t>
      </w:r>
    </w:p>
    <w:p w14:paraId="19802BF2" w14:textId="77777777" w:rsidR="008A6E06" w:rsidRDefault="008A6E06" w:rsidP="008A6E06"/>
    <w:p w14:paraId="65229B1C" w14:textId="77777777" w:rsidR="008A6E06" w:rsidRDefault="008A6E06" w:rsidP="008A6E06">
      <w:r>
        <w:t>Ms McDermott highlighted the salient points and audit priorities within the report and noted there were no  Priority  1 recommendations, no Priority two recommendations and four Priority 3 recommendations  with an overall Satisfactory level of assurance given.  Ms McDermott provided members with a brief synopsis of each of those Priority findings before seeking queries from members at this stage.</w:t>
      </w:r>
      <w:r w:rsidRPr="00C07200">
        <w:t xml:space="preserve"> </w:t>
      </w:r>
      <w:r>
        <w:t>There were no questions from members.</w:t>
      </w:r>
    </w:p>
    <w:p w14:paraId="7BA563D9" w14:textId="77777777" w:rsidR="008A6E06" w:rsidRDefault="008A6E06" w:rsidP="008A6E06"/>
    <w:p w14:paraId="12F48481" w14:textId="77777777" w:rsidR="008A6E06" w:rsidRPr="00C07200" w:rsidRDefault="008A6E06" w:rsidP="008A6E06">
      <w:pPr>
        <w:numPr>
          <w:ilvl w:val="0"/>
          <w:numId w:val="6"/>
        </w:numPr>
        <w:suppressAutoHyphens w:val="0"/>
        <w:autoSpaceDN/>
        <w:textAlignment w:val="auto"/>
        <w:rPr>
          <w:rFonts w:cs="Arial"/>
          <w:b/>
          <w:bCs/>
        </w:rPr>
      </w:pPr>
      <w:r w:rsidRPr="00C07200">
        <w:rPr>
          <w:rFonts w:cs="Arial"/>
          <w:b/>
          <w:bCs/>
        </w:rPr>
        <w:t xml:space="preserve">Customer Service </w:t>
      </w:r>
    </w:p>
    <w:p w14:paraId="498C0854" w14:textId="77777777" w:rsidR="008A6E06" w:rsidRDefault="008A6E06" w:rsidP="008A6E06">
      <w:pPr>
        <w:ind w:left="360"/>
      </w:pPr>
    </w:p>
    <w:p w14:paraId="1C285296" w14:textId="77777777" w:rsidR="008A6E06" w:rsidRDefault="008A6E06" w:rsidP="008A6E06">
      <w:r>
        <w:t>Ms McDermott highlighted the salient points and audit priorities within the report and noted there were no  Priority 1 recommendations,  two Priority 2 recommendations and one Priority 3 recommendation with an overall Satisfactory level of assurance given.  Ms McDermott provided members with a brief synopsis of each of those Priority findings before seeking queries from members at this stage.</w:t>
      </w:r>
    </w:p>
    <w:p w14:paraId="51F516B0" w14:textId="77777777" w:rsidR="008A6E06" w:rsidRDefault="008A6E06" w:rsidP="008A6E06"/>
    <w:p w14:paraId="427441BE" w14:textId="77777777" w:rsidR="008A6E06" w:rsidRDefault="008A6E06" w:rsidP="008A6E06">
      <w:r>
        <w:t>Mr McGonigal noted a March 2023 Target Date for implementation throughout the report and sought clarification on the rationale for that.</w:t>
      </w:r>
    </w:p>
    <w:p w14:paraId="010AEDC5" w14:textId="77777777" w:rsidR="008A6E06" w:rsidRDefault="008A6E06" w:rsidP="008A6E06"/>
    <w:p w14:paraId="1B504695" w14:textId="77777777" w:rsidR="008A6E06" w:rsidRDefault="008A6E06" w:rsidP="008A6E06">
      <w:r>
        <w:t>Ms McDermott commented that she felt a target date of March 2023 was reasonable  as training would need to be carried out. Furthermore she noted that a lot of work had already been carried out by the team throughout the past year with a lot of good progress made.</w:t>
      </w:r>
    </w:p>
    <w:p w14:paraId="71B07574" w14:textId="77777777" w:rsidR="008A6E06" w:rsidRDefault="008A6E06" w:rsidP="008A6E06"/>
    <w:p w14:paraId="1996D8BE" w14:textId="77777777" w:rsidR="008A6E06" w:rsidRPr="00701F43" w:rsidRDefault="008A6E06" w:rsidP="008A6E06">
      <w:pPr>
        <w:numPr>
          <w:ilvl w:val="0"/>
          <w:numId w:val="6"/>
        </w:numPr>
        <w:suppressAutoHyphens w:val="0"/>
        <w:autoSpaceDN/>
        <w:textAlignment w:val="auto"/>
        <w:rPr>
          <w:rFonts w:cs="Arial"/>
          <w:b/>
          <w:bCs/>
        </w:rPr>
      </w:pPr>
      <w:r w:rsidRPr="00701F43">
        <w:rPr>
          <w:rFonts w:cs="Arial"/>
          <w:b/>
          <w:bCs/>
        </w:rPr>
        <w:t>Bi-annual Follow up March 2022</w:t>
      </w:r>
    </w:p>
    <w:p w14:paraId="4B05BAFA" w14:textId="77777777" w:rsidR="008A6E06" w:rsidRDefault="008A6E06" w:rsidP="008A6E06"/>
    <w:p w14:paraId="35E2ED60" w14:textId="77777777" w:rsidR="008A6E06" w:rsidRDefault="008A6E06" w:rsidP="008A6E06">
      <w:r>
        <w:t>Ms McDermott highlighted the salient points and audit priorities within the report and referred to the Summary Update for the Status of Implementation of Internal Audit Recommendations which detailed the following:</w:t>
      </w:r>
    </w:p>
    <w:p w14:paraId="5DB94C92" w14:textId="77777777" w:rsidR="008A6E06" w:rsidRDefault="008A6E06" w:rsidP="008A6E06"/>
    <w:p w14:paraId="28BB6EEF" w14:textId="77777777" w:rsidR="008A6E06" w:rsidRDefault="008A6E06" w:rsidP="008A6E06">
      <w:pPr>
        <w:numPr>
          <w:ilvl w:val="0"/>
          <w:numId w:val="9"/>
        </w:numPr>
      </w:pPr>
      <w:r>
        <w:t>Total open issues as at last Audit Committee report – December 2021 – 68</w:t>
      </w:r>
    </w:p>
    <w:p w14:paraId="399B7DE6" w14:textId="77777777" w:rsidR="008A6E06" w:rsidRDefault="008A6E06" w:rsidP="008A6E06">
      <w:pPr>
        <w:numPr>
          <w:ilvl w:val="0"/>
          <w:numId w:val="9"/>
        </w:numPr>
      </w:pPr>
      <w:r>
        <w:t>Items added to the tracker since the last Audit Committee meeting as at 31/01/2022 – 8</w:t>
      </w:r>
    </w:p>
    <w:p w14:paraId="1D39A770" w14:textId="77777777" w:rsidR="008A6E06" w:rsidRDefault="008A6E06" w:rsidP="008A6E06">
      <w:pPr>
        <w:numPr>
          <w:ilvl w:val="0"/>
          <w:numId w:val="9"/>
        </w:numPr>
      </w:pPr>
      <w:r>
        <w:t>Issues closed / superseded since the last Audit Committee meeting – 10</w:t>
      </w:r>
    </w:p>
    <w:p w14:paraId="47D94715" w14:textId="77777777" w:rsidR="008A6E06" w:rsidRDefault="008A6E06" w:rsidP="008A6E06">
      <w:pPr>
        <w:numPr>
          <w:ilvl w:val="0"/>
          <w:numId w:val="9"/>
        </w:numPr>
      </w:pPr>
      <w:r>
        <w:t xml:space="preserve">Issues remaining open as at 31/01/2022 – </w:t>
      </w:r>
    </w:p>
    <w:p w14:paraId="7588D0D5" w14:textId="77777777" w:rsidR="008A6E06" w:rsidRDefault="008A6E06" w:rsidP="008A6E06">
      <w:r>
        <w:t>Priority 1 – 4</w:t>
      </w:r>
    </w:p>
    <w:p w14:paraId="1CC08446" w14:textId="77777777" w:rsidR="008A6E06" w:rsidRDefault="008A6E06" w:rsidP="008A6E06">
      <w:r>
        <w:lastRenderedPageBreak/>
        <w:t>Priority 2 – 30</w:t>
      </w:r>
    </w:p>
    <w:p w14:paraId="209F45E0" w14:textId="77777777" w:rsidR="008A6E06" w:rsidRDefault="008A6E06" w:rsidP="008A6E06">
      <w:r>
        <w:t>Priority 3 – 31</w:t>
      </w:r>
    </w:p>
    <w:p w14:paraId="1948710D" w14:textId="77777777" w:rsidR="008A6E06" w:rsidRDefault="008A6E06" w:rsidP="008A6E06"/>
    <w:p w14:paraId="0B25CEED" w14:textId="77777777" w:rsidR="008A6E06" w:rsidRDefault="008A6E06" w:rsidP="008A6E06">
      <w:r>
        <w:t>Continuing Ms McDermott informed members of 57 Total Overdue Issues adding that Appendix I detailed those Target Dates for Implementation. Ms McDermott sought questions from members at this stage and there were none.</w:t>
      </w:r>
    </w:p>
    <w:p w14:paraId="44800D59" w14:textId="77777777" w:rsidR="008A6E06" w:rsidRDefault="008A6E06" w:rsidP="008A6E06"/>
    <w:p w14:paraId="7F8CF275" w14:textId="77777777" w:rsidR="008A6E06" w:rsidRDefault="008A6E06" w:rsidP="008A6E06">
      <w:pPr>
        <w:rPr>
          <w:b/>
        </w:rPr>
      </w:pPr>
      <w:r>
        <w:rPr>
          <w:b/>
        </w:rPr>
        <w:t>AGREED TO RECOMMEND, on the proposal of Councillor P Smith, seconded by Councillor Armstrong-Cotter, that the recommendation be adopted.</w:t>
      </w:r>
    </w:p>
    <w:p w14:paraId="5D3E7E9E" w14:textId="77777777" w:rsidR="008A6E06" w:rsidRDefault="008A6E06" w:rsidP="008A6E06">
      <w:pPr>
        <w:rPr>
          <w:b/>
        </w:rPr>
      </w:pPr>
    </w:p>
    <w:p w14:paraId="418C6703" w14:textId="0862F56C" w:rsidR="008A6E06" w:rsidRPr="00B8482A" w:rsidRDefault="00B8482A" w:rsidP="00B8482A">
      <w:pPr>
        <w:pStyle w:val="Heading2"/>
        <w:rPr>
          <w:b w:val="0"/>
          <w:bCs/>
          <w:u w:val="none"/>
        </w:rPr>
      </w:pPr>
      <w:r w:rsidRPr="00B8482A">
        <w:rPr>
          <w:u w:val="none"/>
        </w:rPr>
        <w:t>(a)</w:t>
      </w:r>
      <w:r w:rsidRPr="00B8482A">
        <w:rPr>
          <w:u w:val="none"/>
        </w:rPr>
        <w:tab/>
      </w:r>
      <w:r w:rsidR="008A6E06" w:rsidRPr="001F1ECF">
        <w:t>Annual Assurance Statement 2021/22</w:t>
      </w:r>
      <w:r w:rsidR="008A6E06" w:rsidRPr="00B8482A">
        <w:rPr>
          <w:u w:val="none"/>
        </w:rPr>
        <w:t xml:space="preserve"> </w:t>
      </w:r>
      <w:r w:rsidR="008A6E06" w:rsidRPr="00B8482A">
        <w:rPr>
          <w:b w:val="0"/>
          <w:bCs/>
          <w:u w:val="none"/>
        </w:rPr>
        <w:t>(Appendix VI)</w:t>
      </w:r>
    </w:p>
    <w:p w14:paraId="4258C258" w14:textId="77777777" w:rsidR="008A6E06" w:rsidRDefault="008A6E06" w:rsidP="008A6E06">
      <w:pPr>
        <w:rPr>
          <w:b/>
          <w:bCs/>
          <w:u w:val="single"/>
        </w:rPr>
      </w:pPr>
    </w:p>
    <w:p w14:paraId="62248528" w14:textId="77777777" w:rsidR="008A6E06" w:rsidRDefault="008A6E06" w:rsidP="008A6E06">
      <w:r>
        <w:t>PREVIOUSLY CIRCULATED:- Report from Deloitte detailing the Council’s Annual Assurance Statement 2021/22.</w:t>
      </w:r>
    </w:p>
    <w:p w14:paraId="2E152B8B" w14:textId="77777777" w:rsidR="008A6E06" w:rsidRDefault="008A6E06" w:rsidP="008A6E06"/>
    <w:p w14:paraId="7D344F6E" w14:textId="77777777" w:rsidR="008A6E06" w:rsidRDefault="008A6E06" w:rsidP="008A6E06">
      <w:r>
        <w:t>RECOMMENDED that the report be noted.</w:t>
      </w:r>
    </w:p>
    <w:p w14:paraId="5AD82A4B" w14:textId="77777777" w:rsidR="008A6E06" w:rsidRDefault="008A6E06" w:rsidP="008A6E06"/>
    <w:p w14:paraId="31DB587D" w14:textId="77777777" w:rsidR="008A6E06" w:rsidRDefault="008A6E06" w:rsidP="008A6E06">
      <w:r>
        <w:t>At this stage, Ms McDermott, provided members with a detailed overview of the report before seeking questions from members.</w:t>
      </w:r>
    </w:p>
    <w:p w14:paraId="46DE73B3" w14:textId="77777777" w:rsidR="008A6E06" w:rsidRDefault="008A6E06" w:rsidP="008A6E06"/>
    <w:p w14:paraId="5F096E05" w14:textId="77777777" w:rsidR="008A6E06" w:rsidRDefault="008A6E06" w:rsidP="008A6E06">
      <w:r>
        <w:t>Mr McGonigal commented that he found some of the tables within the report a little confusing. He noted that in Table 1 of the recommendations there were 14 in total and asked if those had been added to the Tracker in the previous document.</w:t>
      </w:r>
    </w:p>
    <w:p w14:paraId="07CEA769" w14:textId="77777777" w:rsidR="008A6E06" w:rsidRDefault="008A6E06" w:rsidP="008A6E06"/>
    <w:p w14:paraId="1DF928B6" w14:textId="77777777" w:rsidR="008A6E06" w:rsidRDefault="008A6E06" w:rsidP="008A6E06">
      <w:r>
        <w:t xml:space="preserve">Ms McDermott advised that once this report had been formally finalised and approved by the Audit Committee it would be added to the Tracker at that point.  </w:t>
      </w:r>
    </w:p>
    <w:p w14:paraId="7A9B7F1E" w14:textId="77777777" w:rsidR="008A6E06" w:rsidRDefault="008A6E06" w:rsidP="008A6E06"/>
    <w:p w14:paraId="3A689A29" w14:textId="77777777" w:rsidR="008A6E06" w:rsidRDefault="008A6E06" w:rsidP="008A6E06">
      <w:r>
        <w:t xml:space="preserve">At this stage Mr McGonigal sought further clarification on some of the items to be added to the Tracker and Ms McDermott outlined when that would take place. </w:t>
      </w:r>
    </w:p>
    <w:p w14:paraId="59EEDEE6" w14:textId="77777777" w:rsidR="008A6E06" w:rsidRDefault="008A6E06" w:rsidP="008A6E06"/>
    <w:p w14:paraId="3BEA0CC0" w14:textId="77777777" w:rsidR="008A6E06" w:rsidRDefault="008A6E06" w:rsidP="008A6E06">
      <w:pPr>
        <w:rPr>
          <w:b/>
        </w:rPr>
      </w:pPr>
      <w:r>
        <w:rPr>
          <w:b/>
        </w:rPr>
        <w:t>AGREED TO RECOMMEND, on the proposal of Councillor Douglas, seconded by Councillor Armstrong-Cotter, that the recommendation be adopted.</w:t>
      </w:r>
    </w:p>
    <w:p w14:paraId="1CF7EA82" w14:textId="77777777" w:rsidR="008A6E06" w:rsidRDefault="008A6E06" w:rsidP="008A6E06">
      <w:pPr>
        <w:rPr>
          <w:b/>
          <w:bCs/>
          <w:u w:val="single"/>
        </w:rPr>
      </w:pPr>
    </w:p>
    <w:p w14:paraId="6DEC3F03" w14:textId="3595E0BE" w:rsidR="008A6E06" w:rsidRPr="00B8482A" w:rsidRDefault="00B8482A" w:rsidP="00B8482A">
      <w:pPr>
        <w:pStyle w:val="Heading2"/>
        <w:rPr>
          <w:b w:val="0"/>
          <w:bCs/>
          <w:u w:val="none"/>
        </w:rPr>
      </w:pPr>
      <w:r w:rsidRPr="00B8482A">
        <w:rPr>
          <w:u w:val="none"/>
        </w:rPr>
        <w:t>(b)</w:t>
      </w:r>
      <w:r w:rsidRPr="00B8482A">
        <w:rPr>
          <w:u w:val="none"/>
        </w:rPr>
        <w:tab/>
      </w:r>
      <w:r w:rsidR="008A6E06" w:rsidRPr="001F1ECF">
        <w:t>Draft Internal Audit Plan 2022/23</w:t>
      </w:r>
      <w:r w:rsidR="008A6E06" w:rsidRPr="00B8482A">
        <w:rPr>
          <w:u w:val="none"/>
        </w:rPr>
        <w:t xml:space="preserve"> </w:t>
      </w:r>
      <w:r w:rsidR="008A6E06" w:rsidRPr="00B8482A">
        <w:rPr>
          <w:b w:val="0"/>
          <w:bCs/>
          <w:u w:val="none"/>
        </w:rPr>
        <w:t>(Appendix VII)</w:t>
      </w:r>
    </w:p>
    <w:p w14:paraId="1B3A425D" w14:textId="77777777" w:rsidR="008A6E06" w:rsidRDefault="008A6E06" w:rsidP="008A6E06">
      <w:pPr>
        <w:rPr>
          <w:b/>
          <w:bCs/>
          <w:u w:val="single"/>
        </w:rPr>
      </w:pPr>
    </w:p>
    <w:p w14:paraId="2510AF65" w14:textId="77777777" w:rsidR="008A6E06" w:rsidRDefault="008A6E06" w:rsidP="008A6E06">
      <w:r>
        <w:t>PREVIOUSLY CIRCULATED:- Report from Deloitte detailing the Council’s Internal Audit Plan 2022/23.</w:t>
      </w:r>
    </w:p>
    <w:p w14:paraId="0C2585B8" w14:textId="77777777" w:rsidR="008A6E06" w:rsidRDefault="008A6E06" w:rsidP="008A6E06"/>
    <w:p w14:paraId="16879706" w14:textId="77777777" w:rsidR="008A6E06" w:rsidRDefault="008A6E06" w:rsidP="008A6E06">
      <w:r>
        <w:t>RECOMMENDED that the report be noted.</w:t>
      </w:r>
    </w:p>
    <w:p w14:paraId="6AB976FA" w14:textId="77777777" w:rsidR="008A6E06" w:rsidRDefault="008A6E06" w:rsidP="008A6E06"/>
    <w:p w14:paraId="68163EB1" w14:textId="77777777" w:rsidR="008A6E06" w:rsidRDefault="008A6E06" w:rsidP="008A6E06">
      <w:r>
        <w:t>At this stage, Ms McDermott, provided members with a detailed overview of the report highlighting three new audit areas those being:</w:t>
      </w:r>
    </w:p>
    <w:p w14:paraId="386FFF64" w14:textId="77777777" w:rsidR="008A6E06" w:rsidRDefault="008A6E06" w:rsidP="008A6E06"/>
    <w:p w14:paraId="3BA5792B" w14:textId="77777777" w:rsidR="008A6E06" w:rsidRDefault="008A6E06" w:rsidP="008A6E06">
      <w:pPr>
        <w:numPr>
          <w:ilvl w:val="0"/>
          <w:numId w:val="10"/>
        </w:numPr>
      </w:pPr>
      <w:r>
        <w:t>Labour Market Partnership</w:t>
      </w:r>
    </w:p>
    <w:p w14:paraId="5626384B" w14:textId="77777777" w:rsidR="008A6E06" w:rsidRDefault="008A6E06" w:rsidP="008A6E06">
      <w:pPr>
        <w:numPr>
          <w:ilvl w:val="0"/>
          <w:numId w:val="10"/>
        </w:numPr>
      </w:pPr>
      <w:r>
        <w:t>Planning for New Ways of Working in Post Covid Environment</w:t>
      </w:r>
    </w:p>
    <w:p w14:paraId="134A6EA3" w14:textId="77777777" w:rsidR="008A6E06" w:rsidRDefault="008A6E06" w:rsidP="008A6E06">
      <w:pPr>
        <w:numPr>
          <w:ilvl w:val="0"/>
          <w:numId w:val="10"/>
        </w:numPr>
      </w:pPr>
      <w:r>
        <w:t>Strategic Environmental Planning</w:t>
      </w:r>
    </w:p>
    <w:p w14:paraId="29833171" w14:textId="77777777" w:rsidR="008A6E06" w:rsidRDefault="008A6E06" w:rsidP="008A6E06"/>
    <w:p w14:paraId="290C87CE" w14:textId="77777777" w:rsidR="008A6E06" w:rsidRDefault="008A6E06" w:rsidP="008A6E06"/>
    <w:p w14:paraId="60C2B5D0" w14:textId="77777777" w:rsidR="008A6E06" w:rsidRDefault="008A6E06" w:rsidP="008A6E06"/>
    <w:p w14:paraId="28C5CD72" w14:textId="77777777" w:rsidR="008A6E06" w:rsidRDefault="008A6E06" w:rsidP="008A6E06">
      <w:r>
        <w:lastRenderedPageBreak/>
        <w:t>Ms McDermott sought queries from members at this stage, however there were none.</w:t>
      </w:r>
    </w:p>
    <w:p w14:paraId="476762EF" w14:textId="77777777" w:rsidR="008A6E06" w:rsidRDefault="008A6E06" w:rsidP="008A6E06"/>
    <w:p w14:paraId="644B4077" w14:textId="77777777" w:rsidR="008A6E06" w:rsidRPr="001F1ECF" w:rsidRDefault="008A6E06" w:rsidP="008A6E06">
      <w:pPr>
        <w:rPr>
          <w:b/>
        </w:rPr>
      </w:pPr>
      <w:r>
        <w:rPr>
          <w:b/>
        </w:rPr>
        <w:t>AGREED TO RECOMMEND, on the proposal of Councillor P Smith, seconded by Councillor Douglas, that the recommendation be adopted.</w:t>
      </w:r>
    </w:p>
    <w:p w14:paraId="35F506AC" w14:textId="77777777" w:rsidR="008A6E06" w:rsidRDefault="008A6E06" w:rsidP="008A6E06"/>
    <w:p w14:paraId="140DCE7A" w14:textId="77777777" w:rsidR="008A6E06" w:rsidRPr="001F1ECF" w:rsidRDefault="008A6E06" w:rsidP="00F263A4">
      <w:pPr>
        <w:pStyle w:val="Heading1"/>
      </w:pPr>
      <w:r w:rsidRPr="00F263A4">
        <w:rPr>
          <w:u w:val="none"/>
        </w:rPr>
        <w:t>7.</w:t>
      </w:r>
      <w:r w:rsidRPr="00F263A4">
        <w:rPr>
          <w:u w:val="none"/>
        </w:rPr>
        <w:tab/>
      </w:r>
      <w:r w:rsidRPr="001F1ECF">
        <w:t>Performance Improvement</w:t>
      </w:r>
    </w:p>
    <w:p w14:paraId="70B6D790" w14:textId="77777777" w:rsidR="008A6E06" w:rsidRPr="000228CA" w:rsidRDefault="008A6E06" w:rsidP="00F263A4"/>
    <w:p w14:paraId="3178A6D3" w14:textId="65C995A9" w:rsidR="008A6E06" w:rsidRPr="00F263A4" w:rsidRDefault="00F263A4" w:rsidP="00F263A4">
      <w:pPr>
        <w:pStyle w:val="Heading2"/>
        <w:ind w:left="720" w:hanging="720"/>
        <w:rPr>
          <w:b w:val="0"/>
          <w:bCs/>
          <w:u w:val="none"/>
        </w:rPr>
      </w:pPr>
      <w:r w:rsidRPr="00F263A4">
        <w:rPr>
          <w:u w:val="none"/>
        </w:rPr>
        <w:t>(a)</w:t>
      </w:r>
      <w:r w:rsidRPr="00F263A4">
        <w:rPr>
          <w:u w:val="none"/>
        </w:rPr>
        <w:tab/>
      </w:r>
      <w:r w:rsidR="008A6E06" w:rsidRPr="001F1ECF">
        <w:t>2021/22 Performance Improvement progress report to 31 Dec 2021</w:t>
      </w:r>
      <w:r w:rsidR="008A6E06">
        <w:t xml:space="preserve"> (File </w:t>
      </w:r>
      <w:r w:rsidR="008A6E06" w:rsidRPr="00A048A9">
        <w:rPr>
          <w:noProof/>
        </w:rPr>
        <w:t>260501-03)</w:t>
      </w:r>
      <w:r w:rsidR="00B8482A" w:rsidRPr="00B8482A">
        <w:rPr>
          <w:noProof/>
          <w:u w:val="none"/>
        </w:rPr>
        <w:t xml:space="preserve"> </w:t>
      </w:r>
      <w:r w:rsidR="008A6E06" w:rsidRPr="00F263A4">
        <w:rPr>
          <w:b w:val="0"/>
          <w:bCs/>
          <w:noProof/>
          <w:u w:val="none"/>
        </w:rPr>
        <w:t>(Appendix VIII)</w:t>
      </w:r>
    </w:p>
    <w:p w14:paraId="7CA4BBB3" w14:textId="77777777" w:rsidR="008A6E06" w:rsidRDefault="008A6E06" w:rsidP="008A6E06">
      <w:pPr>
        <w:rPr>
          <w:b/>
          <w:bCs/>
          <w:u w:val="single"/>
        </w:rPr>
      </w:pPr>
    </w:p>
    <w:p w14:paraId="56C1B411" w14:textId="77777777" w:rsidR="008A6E06" w:rsidRDefault="008A6E06" w:rsidP="008A6E06">
      <w:pPr>
        <w:spacing w:after="120"/>
        <w:rPr>
          <w:lang w:val="en-US"/>
        </w:rPr>
      </w:pPr>
      <w:r>
        <w:t>PREVIOUSLY CIRCULATED:- Report from Director of Finance and Performance stating that the Local Government Act (Northern Ireland) 2014 Part</w:t>
      </w:r>
      <w:r w:rsidRPr="00C34D99">
        <w:rPr>
          <w:lang w:val="en-US"/>
        </w:rPr>
        <w:t xml:space="preserve"> 12 </w:t>
      </w:r>
      <w:r>
        <w:rPr>
          <w:lang w:val="en-US"/>
        </w:rPr>
        <w:t>put</w:t>
      </w:r>
      <w:r w:rsidRPr="00C34D99">
        <w:rPr>
          <w:lang w:val="en-US"/>
        </w:rPr>
        <w:t xml:space="preserve"> in place a new framework to support continuous improvement in the delivery of council services. </w:t>
      </w:r>
      <w:r>
        <w:rPr>
          <w:lang w:val="en-US"/>
        </w:rPr>
        <w:t xml:space="preserve">  The </w:t>
      </w:r>
      <w:r w:rsidRPr="00400789">
        <w:rPr>
          <w:lang w:val="en-US"/>
        </w:rPr>
        <w:t xml:space="preserve">Council </w:t>
      </w:r>
      <w:r>
        <w:rPr>
          <w:lang w:val="en-US"/>
        </w:rPr>
        <w:t>was required each year to</w:t>
      </w:r>
      <w:r w:rsidRPr="00400789">
        <w:rPr>
          <w:lang w:val="en-US"/>
        </w:rPr>
        <w:t xml:space="preserve"> determine </w:t>
      </w:r>
      <w:r>
        <w:rPr>
          <w:lang w:val="en-US"/>
        </w:rPr>
        <w:t xml:space="preserve">its </w:t>
      </w:r>
      <w:r w:rsidRPr="00400789">
        <w:rPr>
          <w:lang w:val="en-US"/>
        </w:rPr>
        <w:t xml:space="preserve">priorities for improvement </w:t>
      </w:r>
      <w:r>
        <w:rPr>
          <w:lang w:val="en-US"/>
        </w:rPr>
        <w:t xml:space="preserve">which were aligned to the Community Plan and Corporate Objectives and to publish those in the format of an Improvement Plan.  </w:t>
      </w:r>
    </w:p>
    <w:p w14:paraId="6025DBB2" w14:textId="77777777" w:rsidR="008A6E06" w:rsidRDefault="008A6E06" w:rsidP="008A6E06">
      <w:pPr>
        <w:spacing w:after="120"/>
        <w:rPr>
          <w:lang w:val="en-US"/>
        </w:rPr>
      </w:pPr>
      <w:r>
        <w:rPr>
          <w:lang w:val="en-US"/>
        </w:rPr>
        <w:t xml:space="preserve">In the 2020/21 year the requirement to publish a Performance Improvement Plan was set aside and for the 2021/22 year the publication date was extended to September.  </w:t>
      </w:r>
    </w:p>
    <w:p w14:paraId="276A2E9B" w14:textId="77777777" w:rsidR="008A6E06" w:rsidRDefault="008A6E06" w:rsidP="008A6E06">
      <w:pPr>
        <w:spacing w:after="120"/>
        <w:rPr>
          <w:lang w:val="en-US"/>
        </w:rPr>
      </w:pPr>
      <w:r>
        <w:rPr>
          <w:lang w:val="en-US"/>
        </w:rPr>
        <w:t xml:space="preserve">The Performance Improvement Plan (PIP) for 2021/22, identified 5 improvement objectives with a corresponding 33 measures including 7 Statutory Indicators and 6 self-imposed indicators, all were included in the Council’s Service Plans and were monitored and reported on quarterly through each Service’s respective Standing Committee.  </w:t>
      </w:r>
    </w:p>
    <w:p w14:paraId="2F8ABC36" w14:textId="77777777" w:rsidR="008A6E06" w:rsidRDefault="008A6E06" w:rsidP="008A6E06">
      <w:pPr>
        <w:spacing w:after="120"/>
        <w:rPr>
          <w:lang w:val="en-US"/>
        </w:rPr>
      </w:pPr>
      <w:r>
        <w:rPr>
          <w:lang w:val="en-US"/>
        </w:rPr>
        <w:t>It should be noted that this report reflected performance of the PIP only and was not necessarily representative of the overall performance of the organisation.</w:t>
      </w:r>
    </w:p>
    <w:p w14:paraId="78633D87" w14:textId="77777777" w:rsidR="008A6E06" w:rsidRDefault="008A6E06" w:rsidP="008A6E06">
      <w:pPr>
        <w:spacing w:after="120"/>
        <w:rPr>
          <w:lang w:val="en-US"/>
        </w:rPr>
      </w:pPr>
      <w:r>
        <w:rPr>
          <w:lang w:val="en-US"/>
        </w:rPr>
        <w:t>The following table gave an assessment of the status across all measures in the PIP and overall progress at this point was on track.</w:t>
      </w:r>
    </w:p>
    <w:p w14:paraId="31B098B4" w14:textId="77777777" w:rsidR="008A6E06" w:rsidRPr="00F044DF" w:rsidRDefault="008A6E06" w:rsidP="008A6E06">
      <w:pPr>
        <w:rPr>
          <w:b/>
          <w:bCs/>
        </w:rPr>
      </w:pPr>
      <w:bookmarkStart w:id="0" w:name="_Toc18504848"/>
      <w:r w:rsidRPr="00F044DF">
        <w:rPr>
          <w:b/>
          <w:bCs/>
        </w:rPr>
        <w:t>Performance Assessment Key</w:t>
      </w:r>
      <w:bookmarkEnd w:id="0"/>
    </w:p>
    <w:p w14:paraId="5EDF06F5" w14:textId="77777777" w:rsidR="008A6E06" w:rsidRDefault="008A6E06" w:rsidP="00B8482A">
      <w:pPr>
        <w:rPr>
          <w:szCs w:val="28"/>
        </w:rPr>
      </w:pPr>
      <w:bookmarkStart w:id="1" w:name="_Hlk523212928"/>
      <w:r w:rsidRPr="00AC3D2D">
        <w:rPr>
          <w:szCs w:val="28"/>
        </w:rPr>
        <w:t>The key outlined below provide</w:t>
      </w:r>
      <w:r>
        <w:rPr>
          <w:szCs w:val="28"/>
        </w:rPr>
        <w:t>d</w:t>
      </w:r>
      <w:r w:rsidRPr="00AC3D2D">
        <w:rPr>
          <w:szCs w:val="28"/>
        </w:rPr>
        <w:t xml:space="preserve"> definitions for the three Red, Amber, Green (RAG) status levels which ha</w:t>
      </w:r>
      <w:r>
        <w:rPr>
          <w:szCs w:val="28"/>
        </w:rPr>
        <w:t>d</w:t>
      </w:r>
      <w:r w:rsidRPr="00AC3D2D">
        <w:rPr>
          <w:szCs w:val="28"/>
        </w:rPr>
        <w:t xml:space="preserve"> been chosen to measure progress.</w:t>
      </w:r>
    </w:p>
    <w:p w14:paraId="7896596D" w14:textId="77777777" w:rsidR="008A6E06" w:rsidRPr="00AC3D2D" w:rsidRDefault="008A6E06" w:rsidP="00B8482A">
      <w:pPr>
        <w:rPr>
          <w:szCs w:val="28"/>
        </w:rPr>
      </w:pPr>
    </w:p>
    <w:tbl>
      <w:tblPr>
        <w:tblStyle w:val="TableGrid"/>
        <w:tblW w:w="0" w:type="auto"/>
        <w:tblLook w:val="04A0" w:firstRow="1" w:lastRow="0" w:firstColumn="1" w:lastColumn="0" w:noHBand="0" w:noVBand="1"/>
      </w:tblPr>
      <w:tblGrid>
        <w:gridCol w:w="1555"/>
        <w:gridCol w:w="4394"/>
      </w:tblGrid>
      <w:tr w:rsidR="008A6E06" w:rsidRPr="00AC3D2D" w14:paraId="7C70A8D3" w14:textId="77777777" w:rsidTr="00C553B3">
        <w:tc>
          <w:tcPr>
            <w:tcW w:w="1555" w:type="dxa"/>
          </w:tcPr>
          <w:p w14:paraId="3AF1B032" w14:textId="77777777" w:rsidR="008A6E06" w:rsidRPr="00AC3D2D" w:rsidRDefault="008A6E06" w:rsidP="00B8482A">
            <w:pPr>
              <w:rPr>
                <w:b/>
                <w:bCs/>
              </w:rPr>
            </w:pPr>
            <w:r w:rsidRPr="00AC3D2D">
              <w:rPr>
                <w:b/>
                <w:bCs/>
              </w:rPr>
              <w:t>RAG Status</w:t>
            </w:r>
          </w:p>
        </w:tc>
        <w:tc>
          <w:tcPr>
            <w:tcW w:w="4394" w:type="dxa"/>
          </w:tcPr>
          <w:p w14:paraId="650142E8" w14:textId="77777777" w:rsidR="008A6E06" w:rsidRPr="00AC3D2D" w:rsidRDefault="008A6E06" w:rsidP="00B8482A">
            <w:pPr>
              <w:rPr>
                <w:b/>
                <w:bCs/>
              </w:rPr>
            </w:pPr>
            <w:r w:rsidRPr="00AC3D2D">
              <w:rPr>
                <w:b/>
                <w:bCs/>
              </w:rPr>
              <w:t>Definition</w:t>
            </w:r>
          </w:p>
        </w:tc>
      </w:tr>
      <w:tr w:rsidR="008A6E06" w14:paraId="7042294A" w14:textId="77777777" w:rsidTr="00C553B3">
        <w:tc>
          <w:tcPr>
            <w:tcW w:w="1555" w:type="dxa"/>
            <w:vAlign w:val="center"/>
          </w:tcPr>
          <w:p w14:paraId="0909B219" w14:textId="64975E94" w:rsidR="008A6E06" w:rsidRPr="00AA398A" w:rsidRDefault="00AA398A" w:rsidP="00C553B3">
            <w:pPr>
              <w:jc w:val="center"/>
              <w:rPr>
                <w:rFonts w:ascii="Lucida Sans Unicode" w:hAnsi="Lucida Sans Unicode" w:cs="Lucida Sans Unicode"/>
                <w:b/>
                <w:bCs/>
                <w:noProof/>
                <w:color w:val="1D2828"/>
                <w:sz w:val="18"/>
                <w:szCs w:val="18"/>
              </w:rPr>
            </w:pPr>
            <w:r w:rsidRPr="00AA398A">
              <w:rPr>
                <w:rFonts w:ascii="Lucida Sans Unicode" w:hAnsi="Lucida Sans Unicode" w:cs="Lucida Sans Unicode"/>
                <w:b/>
                <w:bCs/>
                <w:noProof/>
                <w:color w:val="1D2828"/>
                <w:sz w:val="18"/>
                <w:szCs w:val="18"/>
              </w:rPr>
              <w:t>Red</w:t>
            </w:r>
            <w:r>
              <w:rPr>
                <w:rFonts w:ascii="Lucida Sans Unicode" w:hAnsi="Lucida Sans Unicode" w:cs="Lucida Sans Unicode"/>
                <w:b/>
                <w:bCs/>
                <w:noProof/>
                <w:color w:val="1D2828"/>
                <w:sz w:val="18"/>
                <w:szCs w:val="18"/>
              </w:rPr>
              <w:t xml:space="preserve"> (R)</w:t>
            </w:r>
          </w:p>
        </w:tc>
        <w:tc>
          <w:tcPr>
            <w:tcW w:w="4394" w:type="dxa"/>
          </w:tcPr>
          <w:p w14:paraId="54021DE8" w14:textId="77777777" w:rsidR="008A6E06" w:rsidRPr="00BB5F29" w:rsidRDefault="008A6E06" w:rsidP="00C553B3">
            <w:pPr>
              <w:rPr>
                <w:rFonts w:cs="Arial"/>
                <w:color w:val="000000"/>
                <w:sz w:val="18"/>
                <w:szCs w:val="18"/>
              </w:rPr>
            </w:pPr>
            <w:r w:rsidRPr="00BB5F29">
              <w:rPr>
                <w:rFonts w:cs="Arial"/>
                <w:color w:val="000000"/>
                <w:sz w:val="18"/>
                <w:szCs w:val="18"/>
              </w:rPr>
              <w:t>Target/standard, actions and measures are of concern and are mostly falling short of plan</w:t>
            </w:r>
          </w:p>
        </w:tc>
      </w:tr>
      <w:tr w:rsidR="008A6E06" w14:paraId="483D2CF5" w14:textId="77777777" w:rsidTr="00C553B3">
        <w:tc>
          <w:tcPr>
            <w:tcW w:w="1555" w:type="dxa"/>
            <w:vAlign w:val="center"/>
          </w:tcPr>
          <w:p w14:paraId="3536FE2F" w14:textId="3BDECC36" w:rsidR="008A6E06" w:rsidRPr="00AA398A" w:rsidRDefault="00AA398A" w:rsidP="00C553B3">
            <w:pPr>
              <w:jc w:val="center"/>
              <w:rPr>
                <w:rFonts w:ascii="Lucida Sans Unicode" w:hAnsi="Lucida Sans Unicode" w:cs="Lucida Sans Unicode"/>
                <w:b/>
                <w:bCs/>
                <w:noProof/>
                <w:color w:val="1D2828"/>
                <w:sz w:val="18"/>
                <w:szCs w:val="18"/>
              </w:rPr>
            </w:pPr>
            <w:r w:rsidRPr="00AA398A">
              <w:rPr>
                <w:rFonts w:ascii="Lucida Sans Unicode" w:eastAsia="Lucida Sans Unicode" w:hAnsi="Lucida Sans Unicode" w:cs="Lucida Sans Unicode"/>
                <w:b/>
                <w:bCs/>
                <w:noProof/>
                <w:color w:val="1D2828"/>
                <w:sz w:val="18"/>
              </w:rPr>
              <w:t>Yellow</w:t>
            </w:r>
            <w:r>
              <w:rPr>
                <w:rFonts w:ascii="Lucida Sans Unicode" w:eastAsia="Lucida Sans Unicode" w:hAnsi="Lucida Sans Unicode" w:cs="Lucida Sans Unicode"/>
                <w:b/>
                <w:bCs/>
                <w:noProof/>
                <w:color w:val="1D2828"/>
                <w:sz w:val="18"/>
              </w:rPr>
              <w:t xml:space="preserve"> (Y)</w:t>
            </w:r>
          </w:p>
        </w:tc>
        <w:tc>
          <w:tcPr>
            <w:tcW w:w="4394" w:type="dxa"/>
          </w:tcPr>
          <w:p w14:paraId="19C2261F" w14:textId="77777777" w:rsidR="008A6E06" w:rsidRPr="00BB5F29" w:rsidRDefault="008A6E06" w:rsidP="00C553B3">
            <w:pPr>
              <w:rPr>
                <w:rFonts w:cs="Arial"/>
                <w:color w:val="000000"/>
                <w:sz w:val="18"/>
                <w:szCs w:val="18"/>
              </w:rPr>
            </w:pPr>
            <w:r w:rsidRPr="00BB5F29">
              <w:rPr>
                <w:rFonts w:cs="Arial"/>
                <w:color w:val="000000"/>
                <w:sz w:val="18"/>
                <w:szCs w:val="18"/>
              </w:rPr>
              <w:t>Target/standard, actions and measures are mostly on track, but some are falling short of plan</w:t>
            </w:r>
          </w:p>
        </w:tc>
      </w:tr>
      <w:tr w:rsidR="008A6E06" w14:paraId="6127A61F" w14:textId="77777777" w:rsidTr="00C553B3">
        <w:tc>
          <w:tcPr>
            <w:tcW w:w="1555" w:type="dxa"/>
            <w:vAlign w:val="center"/>
          </w:tcPr>
          <w:p w14:paraId="6DF28798" w14:textId="6A26F12B" w:rsidR="008A6E06" w:rsidRPr="00AA398A" w:rsidRDefault="00AA398A" w:rsidP="00C553B3">
            <w:pPr>
              <w:jc w:val="center"/>
              <w:rPr>
                <w:rFonts w:ascii="Lucida Sans Unicode" w:hAnsi="Lucida Sans Unicode" w:cs="Lucida Sans Unicode"/>
                <w:b/>
                <w:bCs/>
                <w:noProof/>
                <w:color w:val="1D2828"/>
                <w:sz w:val="18"/>
                <w:szCs w:val="18"/>
              </w:rPr>
            </w:pPr>
            <w:r w:rsidRPr="00AA398A">
              <w:rPr>
                <w:rFonts w:ascii="Lucida Sans Unicode" w:hAnsi="Lucida Sans Unicode" w:cs="Lucida Sans Unicode"/>
                <w:b/>
                <w:bCs/>
                <w:noProof/>
                <w:color w:val="1D2828"/>
                <w:sz w:val="18"/>
                <w:szCs w:val="18"/>
              </w:rPr>
              <w:t>Green</w:t>
            </w:r>
            <w:r>
              <w:rPr>
                <w:rFonts w:ascii="Lucida Sans Unicode" w:hAnsi="Lucida Sans Unicode" w:cs="Lucida Sans Unicode"/>
                <w:b/>
                <w:bCs/>
                <w:noProof/>
                <w:color w:val="1D2828"/>
                <w:sz w:val="18"/>
                <w:szCs w:val="18"/>
              </w:rPr>
              <w:t xml:space="preserve"> (G)</w:t>
            </w:r>
          </w:p>
        </w:tc>
        <w:tc>
          <w:tcPr>
            <w:tcW w:w="4394" w:type="dxa"/>
          </w:tcPr>
          <w:p w14:paraId="0C48D532" w14:textId="77777777" w:rsidR="008A6E06" w:rsidRPr="00BB5F29" w:rsidRDefault="008A6E06" w:rsidP="00C553B3">
            <w:pPr>
              <w:rPr>
                <w:rFonts w:cs="Arial"/>
                <w:color w:val="000000"/>
                <w:sz w:val="18"/>
                <w:szCs w:val="18"/>
              </w:rPr>
            </w:pPr>
            <w:r w:rsidRPr="00BB5F29">
              <w:rPr>
                <w:rFonts w:cs="Arial"/>
                <w:color w:val="000000"/>
                <w:sz w:val="18"/>
                <w:szCs w:val="18"/>
              </w:rPr>
              <w:t>Target/standard, actions and measures are on track</w:t>
            </w:r>
          </w:p>
        </w:tc>
      </w:tr>
      <w:tr w:rsidR="008A6E06" w14:paraId="0D30AD87" w14:textId="77777777" w:rsidTr="00C553B3">
        <w:tc>
          <w:tcPr>
            <w:tcW w:w="1555" w:type="dxa"/>
            <w:vAlign w:val="center"/>
          </w:tcPr>
          <w:p w14:paraId="491CCDA0" w14:textId="5FE508D1" w:rsidR="008A6E06" w:rsidRPr="00AA398A" w:rsidRDefault="00AA398A" w:rsidP="00C553B3">
            <w:pPr>
              <w:jc w:val="center"/>
              <w:rPr>
                <w:rFonts w:ascii="Lucida Sans Unicode" w:hAnsi="Lucida Sans Unicode" w:cs="Lucida Sans Unicode"/>
                <w:b/>
                <w:bCs/>
                <w:noProof/>
                <w:color w:val="1D2828"/>
                <w:sz w:val="18"/>
                <w:szCs w:val="18"/>
              </w:rPr>
            </w:pPr>
            <w:r w:rsidRPr="00AA398A">
              <w:rPr>
                <w:rFonts w:ascii="Lucida Sans Unicode" w:hAnsi="Lucida Sans Unicode" w:cs="Lucida Sans Unicode"/>
                <w:b/>
                <w:bCs/>
                <w:noProof/>
                <w:color w:val="1D2828"/>
                <w:sz w:val="18"/>
                <w:szCs w:val="18"/>
              </w:rPr>
              <w:t>Blue</w:t>
            </w:r>
            <w:r>
              <w:rPr>
                <w:rFonts w:ascii="Lucida Sans Unicode" w:hAnsi="Lucida Sans Unicode" w:cs="Lucida Sans Unicode"/>
                <w:b/>
                <w:bCs/>
                <w:noProof/>
                <w:color w:val="1D2828"/>
                <w:sz w:val="18"/>
                <w:szCs w:val="18"/>
              </w:rPr>
              <w:t xml:space="preserve"> (B)</w:t>
            </w:r>
          </w:p>
        </w:tc>
        <w:tc>
          <w:tcPr>
            <w:tcW w:w="4394" w:type="dxa"/>
          </w:tcPr>
          <w:p w14:paraId="71094F36" w14:textId="77777777" w:rsidR="008A6E06" w:rsidRPr="00AD1FB6" w:rsidRDefault="008A6E06" w:rsidP="00C553B3">
            <w:pPr>
              <w:rPr>
                <w:rFonts w:cs="Arial"/>
                <w:color w:val="000000"/>
                <w:sz w:val="18"/>
                <w:szCs w:val="18"/>
              </w:rPr>
            </w:pPr>
            <w:r w:rsidRPr="00AD1FB6">
              <w:rPr>
                <w:rFonts w:cs="Arial"/>
                <w:color w:val="000000"/>
                <w:sz w:val="18"/>
                <w:szCs w:val="18"/>
              </w:rPr>
              <w:t>Rescheduled</w:t>
            </w:r>
            <w:r>
              <w:rPr>
                <w:rFonts w:cs="Arial"/>
                <w:color w:val="000000"/>
                <w:sz w:val="18"/>
                <w:szCs w:val="18"/>
              </w:rPr>
              <w:t>/no progress</w:t>
            </w:r>
            <w:r w:rsidRPr="00AD1FB6">
              <w:rPr>
                <w:rFonts w:cs="Arial"/>
                <w:color w:val="000000"/>
                <w:sz w:val="18"/>
                <w:szCs w:val="18"/>
              </w:rPr>
              <w:t xml:space="preserve"> owing to impact of Covid</w:t>
            </w:r>
          </w:p>
        </w:tc>
      </w:tr>
      <w:bookmarkEnd w:id="1"/>
    </w:tbl>
    <w:p w14:paraId="36031A82" w14:textId="77777777" w:rsidR="008A6E06" w:rsidRDefault="008A6E06" w:rsidP="008A6E06"/>
    <w:tbl>
      <w:tblPr>
        <w:tblStyle w:val="TableGrid"/>
        <w:tblW w:w="8984" w:type="dxa"/>
        <w:tblLook w:val="04A0" w:firstRow="1" w:lastRow="0" w:firstColumn="1" w:lastColumn="0" w:noHBand="0" w:noVBand="1"/>
      </w:tblPr>
      <w:tblGrid>
        <w:gridCol w:w="1990"/>
        <w:gridCol w:w="4613"/>
        <w:gridCol w:w="533"/>
        <w:gridCol w:w="581"/>
        <w:gridCol w:w="778"/>
        <w:gridCol w:w="483"/>
        <w:gridCol w:w="6"/>
      </w:tblGrid>
      <w:tr w:rsidR="008A6E06" w:rsidRPr="00E527B7" w14:paraId="1FFA9303" w14:textId="77777777" w:rsidTr="00C553B3">
        <w:trPr>
          <w:trHeight w:val="416"/>
        </w:trPr>
        <w:tc>
          <w:tcPr>
            <w:tcW w:w="1699" w:type="dxa"/>
            <w:vMerge w:val="restart"/>
            <w:shd w:val="clear" w:color="auto" w:fill="8EAADB" w:themeFill="accent1" w:themeFillTint="99"/>
          </w:tcPr>
          <w:p w14:paraId="301CC26C" w14:textId="77777777" w:rsidR="008A6E06" w:rsidRPr="007B6A41" w:rsidRDefault="008A6E06" w:rsidP="00C553B3">
            <w:pPr>
              <w:rPr>
                <w:b/>
                <w:color w:val="1F4E79" w:themeColor="accent5" w:themeShade="80"/>
              </w:rPr>
            </w:pPr>
            <w:r w:rsidRPr="007B6A41">
              <w:rPr>
                <w:b/>
                <w:color w:val="1F4E79" w:themeColor="accent5" w:themeShade="80"/>
              </w:rPr>
              <w:t xml:space="preserve">Corporate </w:t>
            </w:r>
          </w:p>
          <w:p w14:paraId="5A5B70DD" w14:textId="77777777" w:rsidR="008A6E06" w:rsidRPr="007B6A41" w:rsidRDefault="008A6E06" w:rsidP="00C553B3">
            <w:pPr>
              <w:rPr>
                <w:b/>
                <w:color w:val="1F4E79" w:themeColor="accent5" w:themeShade="80"/>
              </w:rPr>
            </w:pPr>
            <w:r w:rsidRPr="007B6A41">
              <w:rPr>
                <w:b/>
                <w:color w:val="1F4E79" w:themeColor="accent5" w:themeShade="80"/>
              </w:rPr>
              <w:t>Plan PEOPLE</w:t>
            </w:r>
          </w:p>
          <w:p w14:paraId="0105C101" w14:textId="77777777" w:rsidR="008A6E06" w:rsidRPr="007B6A41" w:rsidRDefault="008A6E06" w:rsidP="00C553B3">
            <w:pPr>
              <w:rPr>
                <w:b/>
                <w:color w:val="1F4E79" w:themeColor="accent5" w:themeShade="80"/>
              </w:rPr>
            </w:pPr>
            <w:r w:rsidRPr="007B6A41">
              <w:rPr>
                <w:b/>
                <w:color w:val="1F4E79" w:themeColor="accent5" w:themeShade="80"/>
              </w:rPr>
              <w:t>priority</w:t>
            </w:r>
          </w:p>
        </w:tc>
        <w:tc>
          <w:tcPr>
            <w:tcW w:w="4843" w:type="dxa"/>
            <w:vMerge w:val="restart"/>
            <w:shd w:val="clear" w:color="auto" w:fill="8EAADB" w:themeFill="accent1" w:themeFillTint="99"/>
          </w:tcPr>
          <w:p w14:paraId="54C9FA5C" w14:textId="77777777" w:rsidR="008A6E06" w:rsidRPr="007B6A41" w:rsidRDefault="008A6E06" w:rsidP="00C553B3">
            <w:pPr>
              <w:rPr>
                <w:b/>
                <w:color w:val="1F4E79" w:themeColor="accent5" w:themeShade="80"/>
              </w:rPr>
            </w:pPr>
            <w:r w:rsidRPr="007B6A41">
              <w:rPr>
                <w:b/>
                <w:color w:val="1F4E79" w:themeColor="accent5" w:themeShade="80"/>
              </w:rPr>
              <w:t>Improvement Objective</w:t>
            </w:r>
          </w:p>
        </w:tc>
        <w:tc>
          <w:tcPr>
            <w:tcW w:w="2442" w:type="dxa"/>
            <w:gridSpan w:val="5"/>
            <w:shd w:val="clear" w:color="auto" w:fill="8EAADB" w:themeFill="accent1" w:themeFillTint="99"/>
          </w:tcPr>
          <w:p w14:paraId="639681B3" w14:textId="77777777" w:rsidR="008A6E06" w:rsidRPr="007B6A41" w:rsidRDefault="008A6E06" w:rsidP="00C553B3">
            <w:pPr>
              <w:keepNext/>
              <w:jc w:val="center"/>
              <w:rPr>
                <w:b/>
                <w:color w:val="1F4E79" w:themeColor="accent5" w:themeShade="80"/>
              </w:rPr>
            </w:pPr>
            <w:r w:rsidRPr="007B6A41">
              <w:rPr>
                <w:b/>
                <w:color w:val="1F4E79" w:themeColor="accent5" w:themeShade="80"/>
              </w:rPr>
              <w:t xml:space="preserve">No of measures </w:t>
            </w:r>
          </w:p>
        </w:tc>
      </w:tr>
      <w:tr w:rsidR="008A6E06" w:rsidRPr="00E527B7" w14:paraId="13223E9C" w14:textId="77777777" w:rsidTr="00C553B3">
        <w:trPr>
          <w:gridAfter w:val="1"/>
          <w:wAfter w:w="6" w:type="dxa"/>
          <w:trHeight w:val="706"/>
        </w:trPr>
        <w:tc>
          <w:tcPr>
            <w:tcW w:w="1699" w:type="dxa"/>
            <w:vMerge/>
            <w:shd w:val="clear" w:color="auto" w:fill="8EAADB" w:themeFill="accent1" w:themeFillTint="99"/>
          </w:tcPr>
          <w:p w14:paraId="6AE68B8A" w14:textId="77777777" w:rsidR="008A6E06" w:rsidRDefault="008A6E06" w:rsidP="00C553B3">
            <w:pPr>
              <w:rPr>
                <w:b/>
                <w:color w:val="FFFFFF" w:themeColor="background1"/>
              </w:rPr>
            </w:pPr>
          </w:p>
        </w:tc>
        <w:tc>
          <w:tcPr>
            <w:tcW w:w="4843" w:type="dxa"/>
            <w:vMerge/>
            <w:shd w:val="clear" w:color="auto" w:fill="8EAADB" w:themeFill="accent1" w:themeFillTint="99"/>
          </w:tcPr>
          <w:p w14:paraId="298428D7" w14:textId="77777777" w:rsidR="008A6E06" w:rsidRPr="00E527B7" w:rsidRDefault="008A6E06" w:rsidP="00C553B3">
            <w:pPr>
              <w:rPr>
                <w:b/>
                <w:color w:val="FFFFFF" w:themeColor="background1"/>
              </w:rPr>
            </w:pPr>
          </w:p>
        </w:tc>
        <w:tc>
          <w:tcPr>
            <w:tcW w:w="544" w:type="dxa"/>
            <w:shd w:val="clear" w:color="auto" w:fill="8EAADB" w:themeFill="accent1" w:themeFillTint="99"/>
          </w:tcPr>
          <w:p w14:paraId="6E4A33D3" w14:textId="77777777" w:rsidR="00AA398A" w:rsidRPr="00AA398A" w:rsidRDefault="00AA398A" w:rsidP="00C553B3">
            <w:pPr>
              <w:jc w:val="center"/>
              <w:rPr>
                <w:noProof/>
                <w:color w:val="FFFFFF" w:themeColor="background1"/>
                <w:sz w:val="20"/>
                <w:szCs w:val="20"/>
              </w:rPr>
            </w:pPr>
          </w:p>
          <w:p w14:paraId="4E1F95BF" w14:textId="44A44DD1" w:rsidR="00AA398A" w:rsidRPr="00AA398A" w:rsidRDefault="00AA398A" w:rsidP="00C553B3">
            <w:pPr>
              <w:jc w:val="center"/>
              <w:rPr>
                <w:rFonts w:ascii="Lucida Sans Unicode" w:hAnsi="Lucida Sans Unicode" w:cs="Lucida Sans Unicode"/>
                <w:b/>
                <w:bCs/>
                <w:noProof/>
                <w:color w:val="FFFFFF" w:themeColor="background1"/>
                <w:sz w:val="18"/>
                <w:szCs w:val="18"/>
              </w:rPr>
            </w:pPr>
            <w:r w:rsidRPr="00AA398A">
              <w:rPr>
                <w:b/>
                <w:bCs/>
                <w:noProof/>
                <w:color w:val="FFFFFF" w:themeColor="background1"/>
              </w:rPr>
              <w:t>B</w:t>
            </w:r>
          </w:p>
        </w:tc>
        <w:tc>
          <w:tcPr>
            <w:tcW w:w="596" w:type="dxa"/>
            <w:shd w:val="clear" w:color="auto" w:fill="8EAADB" w:themeFill="accent1" w:themeFillTint="99"/>
            <w:vAlign w:val="center"/>
          </w:tcPr>
          <w:p w14:paraId="2CC0B1D4" w14:textId="68606667" w:rsidR="008A6E06" w:rsidRDefault="00AA398A" w:rsidP="00C553B3">
            <w:pPr>
              <w:jc w:val="center"/>
              <w:rPr>
                <w:b/>
                <w:color w:val="FFFFFF" w:themeColor="background1"/>
              </w:rPr>
            </w:pPr>
            <w:r>
              <w:rPr>
                <w:b/>
                <w:color w:val="FFFFFF" w:themeColor="background1"/>
              </w:rPr>
              <w:t>R</w:t>
            </w:r>
          </w:p>
        </w:tc>
        <w:tc>
          <w:tcPr>
            <w:tcW w:w="810" w:type="dxa"/>
            <w:shd w:val="clear" w:color="auto" w:fill="8EAADB" w:themeFill="accent1" w:themeFillTint="99"/>
            <w:vAlign w:val="center"/>
          </w:tcPr>
          <w:p w14:paraId="7772EC00" w14:textId="3FFB1655" w:rsidR="00AA398A" w:rsidRDefault="00AA398A" w:rsidP="00C553B3">
            <w:pPr>
              <w:jc w:val="center"/>
              <w:rPr>
                <w:b/>
                <w:color w:val="FFFFFF" w:themeColor="background1"/>
              </w:rPr>
            </w:pPr>
            <w:r>
              <w:rPr>
                <w:rFonts w:eastAsia="Lucida Sans Unicode"/>
                <w:b/>
                <w:color w:val="FFFFFF" w:themeColor="background1"/>
              </w:rPr>
              <w:t>Y</w:t>
            </w:r>
          </w:p>
        </w:tc>
        <w:tc>
          <w:tcPr>
            <w:tcW w:w="486" w:type="dxa"/>
            <w:shd w:val="clear" w:color="auto" w:fill="8EAADB" w:themeFill="accent1" w:themeFillTint="99"/>
            <w:vAlign w:val="center"/>
          </w:tcPr>
          <w:p w14:paraId="0ED4C1FA" w14:textId="4B97DA80" w:rsidR="00AA398A" w:rsidRDefault="00AA398A" w:rsidP="00C553B3">
            <w:pPr>
              <w:jc w:val="center"/>
              <w:rPr>
                <w:b/>
                <w:color w:val="FFFFFF" w:themeColor="background1"/>
              </w:rPr>
            </w:pPr>
            <w:r>
              <w:rPr>
                <w:b/>
                <w:color w:val="FFFFFF" w:themeColor="background1"/>
              </w:rPr>
              <w:t>G</w:t>
            </w:r>
          </w:p>
        </w:tc>
      </w:tr>
      <w:tr w:rsidR="008A6E06" w14:paraId="4EA61F8F" w14:textId="77777777" w:rsidTr="00C553B3">
        <w:trPr>
          <w:gridAfter w:val="1"/>
          <w:wAfter w:w="6" w:type="dxa"/>
        </w:trPr>
        <w:tc>
          <w:tcPr>
            <w:tcW w:w="1699" w:type="dxa"/>
            <w:shd w:val="clear" w:color="auto" w:fill="8EAADB" w:themeFill="accent1" w:themeFillTint="99"/>
          </w:tcPr>
          <w:p w14:paraId="23C88F49" w14:textId="77777777" w:rsidR="008A6E06" w:rsidRPr="007B6A41" w:rsidRDefault="008A6E06" w:rsidP="00C553B3">
            <w:pPr>
              <w:rPr>
                <w:b/>
                <w:color w:val="1F4E79" w:themeColor="accent5" w:themeShade="80"/>
              </w:rPr>
            </w:pPr>
            <w:r w:rsidRPr="007B6A41">
              <w:rPr>
                <w:b/>
                <w:color w:val="1F4E79" w:themeColor="accent5" w:themeShade="80"/>
              </w:rPr>
              <w:t>PROSPERITY</w:t>
            </w:r>
          </w:p>
        </w:tc>
        <w:tc>
          <w:tcPr>
            <w:tcW w:w="4843" w:type="dxa"/>
          </w:tcPr>
          <w:p w14:paraId="602DA83A" w14:textId="77777777" w:rsidR="008A6E06" w:rsidRPr="00A417C4" w:rsidRDefault="008A6E06" w:rsidP="00C553B3">
            <w:pPr>
              <w:numPr>
                <w:ilvl w:val="0"/>
                <w:numId w:val="1"/>
              </w:numPr>
              <w:suppressAutoHyphens w:val="0"/>
              <w:autoSpaceDN/>
              <w:spacing w:line="260" w:lineRule="atLeast"/>
              <w:ind w:left="358" w:hanging="358"/>
              <w:textAlignment w:val="auto"/>
              <w:rPr>
                <w:sz w:val="20"/>
              </w:rPr>
            </w:pPr>
            <w:r>
              <w:rPr>
                <w:rFonts w:eastAsia="Arial" w:cs="Arial"/>
                <w:sz w:val="20"/>
              </w:rPr>
              <w:t>We will grow the economy and create jobs</w:t>
            </w:r>
          </w:p>
        </w:tc>
        <w:tc>
          <w:tcPr>
            <w:tcW w:w="544" w:type="dxa"/>
            <w:shd w:val="clear" w:color="auto" w:fill="D0CECE" w:themeFill="background2" w:themeFillShade="E6"/>
            <w:vAlign w:val="center"/>
          </w:tcPr>
          <w:p w14:paraId="529BA890" w14:textId="77777777" w:rsidR="008A6E06" w:rsidRDefault="008A6E06" w:rsidP="00C553B3">
            <w:pPr>
              <w:keepNext/>
              <w:jc w:val="center"/>
            </w:pPr>
          </w:p>
        </w:tc>
        <w:tc>
          <w:tcPr>
            <w:tcW w:w="596" w:type="dxa"/>
            <w:shd w:val="clear" w:color="auto" w:fill="D0CECE" w:themeFill="background2" w:themeFillShade="E6"/>
            <w:vAlign w:val="center"/>
          </w:tcPr>
          <w:p w14:paraId="389E80F1" w14:textId="77777777" w:rsidR="008A6E06" w:rsidRDefault="008A6E06" w:rsidP="00C553B3">
            <w:pPr>
              <w:keepNext/>
              <w:jc w:val="center"/>
            </w:pPr>
            <w:r>
              <w:t>-</w:t>
            </w:r>
          </w:p>
        </w:tc>
        <w:tc>
          <w:tcPr>
            <w:tcW w:w="810" w:type="dxa"/>
            <w:shd w:val="clear" w:color="auto" w:fill="D0CECE" w:themeFill="background2" w:themeFillShade="E6"/>
            <w:vAlign w:val="center"/>
          </w:tcPr>
          <w:p w14:paraId="33C57538" w14:textId="77777777" w:rsidR="008A6E06" w:rsidRDefault="008A6E06" w:rsidP="00C553B3">
            <w:pPr>
              <w:keepNext/>
              <w:jc w:val="center"/>
            </w:pPr>
            <w:r>
              <w:t>-</w:t>
            </w:r>
          </w:p>
        </w:tc>
        <w:tc>
          <w:tcPr>
            <w:tcW w:w="486" w:type="dxa"/>
            <w:shd w:val="clear" w:color="auto" w:fill="D0CECE" w:themeFill="background2" w:themeFillShade="E6"/>
            <w:vAlign w:val="center"/>
          </w:tcPr>
          <w:p w14:paraId="392EACC0" w14:textId="77777777" w:rsidR="008A6E06" w:rsidRDefault="008A6E06" w:rsidP="00C553B3">
            <w:pPr>
              <w:keepNext/>
              <w:jc w:val="center"/>
            </w:pPr>
            <w:r>
              <w:rPr>
                <w:noProof/>
              </w:rPr>
              <w:t>7</w:t>
            </w:r>
          </w:p>
        </w:tc>
      </w:tr>
      <w:tr w:rsidR="008A6E06" w14:paraId="65CA83B6" w14:textId="77777777" w:rsidTr="00C553B3">
        <w:trPr>
          <w:gridAfter w:val="1"/>
          <w:wAfter w:w="6" w:type="dxa"/>
          <w:trHeight w:val="544"/>
        </w:trPr>
        <w:tc>
          <w:tcPr>
            <w:tcW w:w="1699" w:type="dxa"/>
            <w:vMerge w:val="restart"/>
            <w:shd w:val="clear" w:color="auto" w:fill="8EAADB" w:themeFill="accent1" w:themeFillTint="99"/>
          </w:tcPr>
          <w:p w14:paraId="56159AAC" w14:textId="77777777" w:rsidR="008A6E06" w:rsidRPr="007B6A41" w:rsidRDefault="008A6E06" w:rsidP="00C553B3">
            <w:pPr>
              <w:rPr>
                <w:b/>
                <w:color w:val="1F4E79" w:themeColor="accent5" w:themeShade="80"/>
              </w:rPr>
            </w:pPr>
            <w:r w:rsidRPr="007B6A41">
              <w:rPr>
                <w:b/>
                <w:color w:val="1F4E79" w:themeColor="accent5" w:themeShade="80"/>
              </w:rPr>
              <w:t>ENVIRONMENT</w:t>
            </w:r>
          </w:p>
        </w:tc>
        <w:tc>
          <w:tcPr>
            <w:tcW w:w="4843" w:type="dxa"/>
            <w:vMerge w:val="restart"/>
          </w:tcPr>
          <w:p w14:paraId="15DB9DA4" w14:textId="77777777" w:rsidR="008A6E06" w:rsidRPr="0031129C" w:rsidRDefault="008A6E06" w:rsidP="00C553B3">
            <w:pPr>
              <w:numPr>
                <w:ilvl w:val="0"/>
                <w:numId w:val="1"/>
              </w:numPr>
              <w:suppressAutoHyphens w:val="0"/>
              <w:autoSpaceDN/>
              <w:ind w:left="357" w:hanging="357"/>
              <w:textAlignment w:val="auto"/>
              <w:rPr>
                <w:sz w:val="20"/>
              </w:rPr>
            </w:pPr>
            <w:r>
              <w:rPr>
                <w:sz w:val="20"/>
              </w:rPr>
              <w:t>We will improve the cleanliness of the streets in our borough by targeting littering and dog fouling incidents</w:t>
            </w:r>
          </w:p>
          <w:p w14:paraId="253B584C" w14:textId="77777777" w:rsidR="008A6E06" w:rsidRPr="00247151" w:rsidRDefault="008A6E06" w:rsidP="00C553B3">
            <w:pPr>
              <w:numPr>
                <w:ilvl w:val="0"/>
                <w:numId w:val="1"/>
              </w:numPr>
              <w:suppressAutoHyphens w:val="0"/>
              <w:autoSpaceDN/>
              <w:ind w:left="357" w:hanging="357"/>
              <w:textAlignment w:val="auto"/>
              <w:rPr>
                <w:sz w:val="20"/>
              </w:rPr>
            </w:pPr>
            <w:r>
              <w:rPr>
                <w:rFonts w:eastAsia="Arial" w:cs="Arial"/>
                <w:sz w:val="20"/>
              </w:rPr>
              <w:t>We will improve recycling rates from Household Recycling Centres (HRCs)</w:t>
            </w:r>
          </w:p>
        </w:tc>
        <w:tc>
          <w:tcPr>
            <w:tcW w:w="544" w:type="dxa"/>
            <w:shd w:val="clear" w:color="auto" w:fill="D0CECE" w:themeFill="background2" w:themeFillShade="E6"/>
            <w:vAlign w:val="center"/>
          </w:tcPr>
          <w:p w14:paraId="70B72C87" w14:textId="77777777" w:rsidR="008A6E06" w:rsidRDefault="008A6E06" w:rsidP="00C553B3">
            <w:pPr>
              <w:keepNext/>
              <w:jc w:val="center"/>
            </w:pPr>
            <w:r>
              <w:t>1</w:t>
            </w:r>
          </w:p>
        </w:tc>
        <w:tc>
          <w:tcPr>
            <w:tcW w:w="596" w:type="dxa"/>
            <w:tcBorders>
              <w:bottom w:val="single" w:sz="4" w:space="0" w:color="auto"/>
            </w:tcBorders>
            <w:shd w:val="clear" w:color="auto" w:fill="D0CECE" w:themeFill="background2" w:themeFillShade="E6"/>
            <w:vAlign w:val="center"/>
          </w:tcPr>
          <w:p w14:paraId="3E343DD7" w14:textId="77777777" w:rsidR="008A6E06" w:rsidRDefault="008A6E06" w:rsidP="00C553B3">
            <w:pPr>
              <w:keepNext/>
              <w:jc w:val="center"/>
            </w:pPr>
          </w:p>
        </w:tc>
        <w:tc>
          <w:tcPr>
            <w:tcW w:w="810" w:type="dxa"/>
            <w:tcBorders>
              <w:bottom w:val="single" w:sz="4" w:space="0" w:color="auto"/>
            </w:tcBorders>
            <w:shd w:val="clear" w:color="auto" w:fill="D0CECE" w:themeFill="background2" w:themeFillShade="E6"/>
            <w:vAlign w:val="center"/>
          </w:tcPr>
          <w:p w14:paraId="75353240" w14:textId="77777777" w:rsidR="008A6E06" w:rsidRDefault="008A6E06" w:rsidP="00C553B3">
            <w:pPr>
              <w:keepNext/>
              <w:jc w:val="center"/>
            </w:pPr>
            <w:r>
              <w:t>2</w:t>
            </w:r>
          </w:p>
        </w:tc>
        <w:tc>
          <w:tcPr>
            <w:tcW w:w="486" w:type="dxa"/>
            <w:tcBorders>
              <w:bottom w:val="single" w:sz="4" w:space="0" w:color="auto"/>
            </w:tcBorders>
            <w:shd w:val="clear" w:color="auto" w:fill="D0CECE" w:themeFill="background2" w:themeFillShade="E6"/>
            <w:vAlign w:val="center"/>
          </w:tcPr>
          <w:p w14:paraId="14D5B697" w14:textId="77777777" w:rsidR="008A6E06" w:rsidRDefault="008A6E06" w:rsidP="00C553B3">
            <w:pPr>
              <w:keepNext/>
              <w:jc w:val="center"/>
            </w:pPr>
            <w:r>
              <w:t>-</w:t>
            </w:r>
          </w:p>
        </w:tc>
      </w:tr>
      <w:tr w:rsidR="008A6E06" w14:paraId="7A887F89" w14:textId="77777777" w:rsidTr="00C553B3">
        <w:trPr>
          <w:gridAfter w:val="1"/>
          <w:wAfter w:w="6" w:type="dxa"/>
          <w:trHeight w:val="572"/>
        </w:trPr>
        <w:tc>
          <w:tcPr>
            <w:tcW w:w="1699" w:type="dxa"/>
            <w:vMerge/>
            <w:tcBorders>
              <w:bottom w:val="single" w:sz="4" w:space="0" w:color="auto"/>
            </w:tcBorders>
            <w:shd w:val="clear" w:color="auto" w:fill="8EAADB" w:themeFill="accent1" w:themeFillTint="99"/>
          </w:tcPr>
          <w:p w14:paraId="252BDA8D" w14:textId="77777777" w:rsidR="008A6E06" w:rsidRPr="007B6A41" w:rsidRDefault="008A6E06" w:rsidP="00C553B3">
            <w:pPr>
              <w:rPr>
                <w:b/>
                <w:color w:val="1F4E79" w:themeColor="accent5" w:themeShade="80"/>
              </w:rPr>
            </w:pPr>
          </w:p>
        </w:tc>
        <w:tc>
          <w:tcPr>
            <w:tcW w:w="4843" w:type="dxa"/>
            <w:vMerge/>
            <w:tcBorders>
              <w:bottom w:val="single" w:sz="4" w:space="0" w:color="auto"/>
            </w:tcBorders>
          </w:tcPr>
          <w:p w14:paraId="1E6C0940" w14:textId="77777777" w:rsidR="008A6E06" w:rsidRDefault="008A6E06" w:rsidP="00C553B3">
            <w:pPr>
              <w:numPr>
                <w:ilvl w:val="0"/>
                <w:numId w:val="1"/>
              </w:numPr>
              <w:suppressAutoHyphens w:val="0"/>
              <w:autoSpaceDN/>
              <w:ind w:left="357" w:hanging="357"/>
              <w:textAlignment w:val="auto"/>
              <w:rPr>
                <w:sz w:val="20"/>
              </w:rPr>
            </w:pPr>
          </w:p>
        </w:tc>
        <w:tc>
          <w:tcPr>
            <w:tcW w:w="544" w:type="dxa"/>
            <w:tcBorders>
              <w:bottom w:val="single" w:sz="4" w:space="0" w:color="auto"/>
            </w:tcBorders>
            <w:shd w:val="clear" w:color="auto" w:fill="D0CECE" w:themeFill="background2" w:themeFillShade="E6"/>
            <w:vAlign w:val="center"/>
          </w:tcPr>
          <w:p w14:paraId="31AB8E4E" w14:textId="77777777" w:rsidR="008A6E06" w:rsidRDefault="008A6E06" w:rsidP="00C553B3">
            <w:pPr>
              <w:keepNext/>
              <w:jc w:val="center"/>
            </w:pPr>
          </w:p>
        </w:tc>
        <w:tc>
          <w:tcPr>
            <w:tcW w:w="596" w:type="dxa"/>
            <w:tcBorders>
              <w:bottom w:val="single" w:sz="4" w:space="0" w:color="auto"/>
            </w:tcBorders>
            <w:shd w:val="clear" w:color="auto" w:fill="D0CECE" w:themeFill="background2" w:themeFillShade="E6"/>
            <w:vAlign w:val="center"/>
          </w:tcPr>
          <w:p w14:paraId="1D7F06B4" w14:textId="77777777" w:rsidR="008A6E06" w:rsidRDefault="008A6E06" w:rsidP="00C553B3">
            <w:pPr>
              <w:keepNext/>
              <w:jc w:val="center"/>
            </w:pPr>
            <w:r>
              <w:t>1</w:t>
            </w:r>
          </w:p>
        </w:tc>
        <w:tc>
          <w:tcPr>
            <w:tcW w:w="810" w:type="dxa"/>
            <w:tcBorders>
              <w:bottom w:val="single" w:sz="4" w:space="0" w:color="auto"/>
            </w:tcBorders>
            <w:shd w:val="clear" w:color="auto" w:fill="D0CECE" w:themeFill="background2" w:themeFillShade="E6"/>
            <w:vAlign w:val="center"/>
          </w:tcPr>
          <w:p w14:paraId="2D30DBFE" w14:textId="77777777" w:rsidR="008A6E06" w:rsidRDefault="008A6E06" w:rsidP="00C553B3">
            <w:pPr>
              <w:keepNext/>
              <w:jc w:val="center"/>
            </w:pPr>
            <w:r>
              <w:t>1</w:t>
            </w:r>
          </w:p>
        </w:tc>
        <w:tc>
          <w:tcPr>
            <w:tcW w:w="486" w:type="dxa"/>
            <w:tcBorders>
              <w:bottom w:val="single" w:sz="4" w:space="0" w:color="auto"/>
            </w:tcBorders>
            <w:shd w:val="clear" w:color="auto" w:fill="D0CECE" w:themeFill="background2" w:themeFillShade="E6"/>
            <w:vAlign w:val="center"/>
          </w:tcPr>
          <w:p w14:paraId="46746661" w14:textId="77777777" w:rsidR="008A6E06" w:rsidRDefault="008A6E06" w:rsidP="00C553B3">
            <w:pPr>
              <w:keepNext/>
              <w:jc w:val="center"/>
            </w:pPr>
            <w:r>
              <w:t>-</w:t>
            </w:r>
          </w:p>
        </w:tc>
      </w:tr>
      <w:tr w:rsidR="008A6E06" w14:paraId="0D84AB02" w14:textId="77777777" w:rsidTr="00C553B3">
        <w:trPr>
          <w:gridAfter w:val="1"/>
          <w:wAfter w:w="6" w:type="dxa"/>
        </w:trPr>
        <w:tc>
          <w:tcPr>
            <w:tcW w:w="1699" w:type="dxa"/>
            <w:shd w:val="clear" w:color="auto" w:fill="8EAADB" w:themeFill="accent1" w:themeFillTint="99"/>
          </w:tcPr>
          <w:p w14:paraId="6191A4FA" w14:textId="77777777" w:rsidR="008A6E06" w:rsidRPr="007B6A41" w:rsidRDefault="008A6E06" w:rsidP="00C553B3">
            <w:pPr>
              <w:rPr>
                <w:b/>
                <w:color w:val="1F4E79" w:themeColor="accent5" w:themeShade="80"/>
              </w:rPr>
            </w:pPr>
            <w:r w:rsidRPr="007B6A41">
              <w:rPr>
                <w:b/>
                <w:color w:val="1F4E79" w:themeColor="accent5" w:themeShade="80"/>
              </w:rPr>
              <w:t>LIFE</w:t>
            </w:r>
          </w:p>
        </w:tc>
        <w:tc>
          <w:tcPr>
            <w:tcW w:w="4843" w:type="dxa"/>
          </w:tcPr>
          <w:p w14:paraId="2B72EE8D" w14:textId="77777777" w:rsidR="008A6E06" w:rsidRPr="002500F9" w:rsidRDefault="008A6E06" w:rsidP="00C553B3">
            <w:pPr>
              <w:numPr>
                <w:ilvl w:val="0"/>
                <w:numId w:val="1"/>
              </w:numPr>
              <w:suppressAutoHyphens w:val="0"/>
              <w:autoSpaceDN/>
              <w:spacing w:line="260" w:lineRule="atLeast"/>
              <w:ind w:left="358" w:hanging="358"/>
              <w:textAlignment w:val="auto"/>
              <w:rPr>
                <w:sz w:val="20"/>
              </w:rPr>
            </w:pPr>
            <w:r>
              <w:rPr>
                <w:rFonts w:cs="Arial"/>
                <w:sz w:val="20"/>
              </w:rPr>
              <w:t>We will support our businesses and residents to protect and improve their health and wellbeing</w:t>
            </w:r>
          </w:p>
        </w:tc>
        <w:tc>
          <w:tcPr>
            <w:tcW w:w="544" w:type="dxa"/>
            <w:shd w:val="clear" w:color="auto" w:fill="D0CECE" w:themeFill="background2" w:themeFillShade="E6"/>
            <w:vAlign w:val="center"/>
          </w:tcPr>
          <w:p w14:paraId="733667FE" w14:textId="77777777" w:rsidR="008A6E06" w:rsidRDefault="008A6E06" w:rsidP="00C553B3">
            <w:pPr>
              <w:keepNext/>
              <w:jc w:val="center"/>
            </w:pPr>
            <w:r>
              <w:t>1</w:t>
            </w:r>
          </w:p>
        </w:tc>
        <w:tc>
          <w:tcPr>
            <w:tcW w:w="596" w:type="dxa"/>
            <w:shd w:val="clear" w:color="auto" w:fill="D0CECE" w:themeFill="background2" w:themeFillShade="E6"/>
            <w:vAlign w:val="center"/>
          </w:tcPr>
          <w:p w14:paraId="09407423" w14:textId="77777777" w:rsidR="008A6E06" w:rsidRDefault="008A6E06" w:rsidP="00C553B3">
            <w:pPr>
              <w:keepNext/>
              <w:jc w:val="center"/>
            </w:pPr>
            <w:r>
              <w:t>-</w:t>
            </w:r>
          </w:p>
        </w:tc>
        <w:tc>
          <w:tcPr>
            <w:tcW w:w="810" w:type="dxa"/>
            <w:shd w:val="clear" w:color="auto" w:fill="D0CECE" w:themeFill="background2" w:themeFillShade="E6"/>
            <w:vAlign w:val="center"/>
          </w:tcPr>
          <w:p w14:paraId="08B415BF" w14:textId="77777777" w:rsidR="008A6E06" w:rsidRDefault="008A6E06" w:rsidP="00C553B3">
            <w:pPr>
              <w:keepNext/>
              <w:jc w:val="center"/>
            </w:pPr>
            <w:r>
              <w:t>-</w:t>
            </w:r>
          </w:p>
        </w:tc>
        <w:tc>
          <w:tcPr>
            <w:tcW w:w="486" w:type="dxa"/>
            <w:shd w:val="clear" w:color="auto" w:fill="D0CECE" w:themeFill="background2" w:themeFillShade="E6"/>
            <w:vAlign w:val="center"/>
          </w:tcPr>
          <w:p w14:paraId="7FB2E83F" w14:textId="77777777" w:rsidR="008A6E06" w:rsidRDefault="008A6E06" w:rsidP="00C553B3">
            <w:pPr>
              <w:keepNext/>
              <w:jc w:val="center"/>
            </w:pPr>
            <w:r>
              <w:t>4</w:t>
            </w:r>
          </w:p>
        </w:tc>
      </w:tr>
      <w:tr w:rsidR="008A6E06" w14:paraId="7295F1FF" w14:textId="77777777" w:rsidTr="00C553B3">
        <w:trPr>
          <w:gridAfter w:val="1"/>
          <w:wAfter w:w="6" w:type="dxa"/>
          <w:trHeight w:val="345"/>
        </w:trPr>
        <w:tc>
          <w:tcPr>
            <w:tcW w:w="1699" w:type="dxa"/>
            <w:shd w:val="clear" w:color="auto" w:fill="8EAADB" w:themeFill="accent1" w:themeFillTint="99"/>
          </w:tcPr>
          <w:p w14:paraId="35A1116B" w14:textId="77777777" w:rsidR="008A6E06" w:rsidRPr="007B6A41" w:rsidRDefault="008A6E06" w:rsidP="00C553B3">
            <w:pPr>
              <w:rPr>
                <w:b/>
                <w:color w:val="1F4E79" w:themeColor="accent5" w:themeShade="80"/>
              </w:rPr>
            </w:pPr>
            <w:r w:rsidRPr="007B6A41">
              <w:rPr>
                <w:b/>
                <w:color w:val="1F4E79" w:themeColor="accent5" w:themeShade="80"/>
              </w:rPr>
              <w:t>EXCELLENCE</w:t>
            </w:r>
          </w:p>
        </w:tc>
        <w:tc>
          <w:tcPr>
            <w:tcW w:w="4843" w:type="dxa"/>
          </w:tcPr>
          <w:p w14:paraId="7F25F75B" w14:textId="77777777" w:rsidR="008A6E06" w:rsidRPr="0031129C" w:rsidRDefault="008A6E06" w:rsidP="00C553B3">
            <w:pPr>
              <w:numPr>
                <w:ilvl w:val="0"/>
                <w:numId w:val="1"/>
              </w:numPr>
              <w:suppressAutoHyphens w:val="0"/>
              <w:autoSpaceDN/>
              <w:spacing w:line="260" w:lineRule="atLeast"/>
              <w:ind w:left="358" w:hanging="358"/>
              <w:textAlignment w:val="auto"/>
              <w:rPr>
                <w:sz w:val="20"/>
              </w:rPr>
            </w:pPr>
            <w:r w:rsidRPr="0031129C">
              <w:rPr>
                <w:rFonts w:cs="Arial"/>
                <w:sz w:val="20"/>
              </w:rPr>
              <w:t xml:space="preserve">We will </w:t>
            </w:r>
            <w:r>
              <w:rPr>
                <w:rFonts w:cs="Arial"/>
                <w:sz w:val="20"/>
              </w:rPr>
              <w:t xml:space="preserve">use technology to drive change </w:t>
            </w:r>
          </w:p>
        </w:tc>
        <w:tc>
          <w:tcPr>
            <w:tcW w:w="544" w:type="dxa"/>
            <w:shd w:val="clear" w:color="auto" w:fill="D0CECE" w:themeFill="background2" w:themeFillShade="E6"/>
            <w:vAlign w:val="center"/>
          </w:tcPr>
          <w:p w14:paraId="6E8F54D1" w14:textId="77777777" w:rsidR="008A6E06" w:rsidRDefault="008A6E06" w:rsidP="00C553B3">
            <w:pPr>
              <w:keepNext/>
              <w:jc w:val="center"/>
            </w:pPr>
          </w:p>
        </w:tc>
        <w:tc>
          <w:tcPr>
            <w:tcW w:w="596" w:type="dxa"/>
            <w:shd w:val="clear" w:color="auto" w:fill="D0CECE" w:themeFill="background2" w:themeFillShade="E6"/>
            <w:vAlign w:val="center"/>
          </w:tcPr>
          <w:p w14:paraId="0BB5D263" w14:textId="77777777" w:rsidR="008A6E06" w:rsidRDefault="008A6E06" w:rsidP="00C553B3">
            <w:pPr>
              <w:keepNext/>
              <w:jc w:val="center"/>
            </w:pPr>
            <w:r>
              <w:t>-</w:t>
            </w:r>
          </w:p>
        </w:tc>
        <w:tc>
          <w:tcPr>
            <w:tcW w:w="810" w:type="dxa"/>
            <w:shd w:val="clear" w:color="auto" w:fill="D0CECE" w:themeFill="background2" w:themeFillShade="E6"/>
            <w:vAlign w:val="center"/>
          </w:tcPr>
          <w:p w14:paraId="5954C833" w14:textId="77777777" w:rsidR="008A6E06" w:rsidRDefault="008A6E06" w:rsidP="00C553B3">
            <w:pPr>
              <w:keepNext/>
              <w:jc w:val="center"/>
            </w:pPr>
            <w:r>
              <w:t>2</w:t>
            </w:r>
          </w:p>
        </w:tc>
        <w:tc>
          <w:tcPr>
            <w:tcW w:w="486" w:type="dxa"/>
            <w:shd w:val="clear" w:color="auto" w:fill="D0CECE" w:themeFill="background2" w:themeFillShade="E6"/>
            <w:vAlign w:val="center"/>
          </w:tcPr>
          <w:p w14:paraId="24913B20" w14:textId="77777777" w:rsidR="008A6E06" w:rsidRDefault="008A6E06" w:rsidP="00C553B3">
            <w:pPr>
              <w:keepNext/>
              <w:jc w:val="center"/>
            </w:pPr>
            <w:r>
              <w:t>1</w:t>
            </w:r>
          </w:p>
        </w:tc>
      </w:tr>
      <w:tr w:rsidR="008A6E06" w14:paraId="1C76FA4C" w14:textId="77777777" w:rsidTr="00C553B3">
        <w:trPr>
          <w:gridAfter w:val="1"/>
          <w:wAfter w:w="6" w:type="dxa"/>
          <w:trHeight w:val="345"/>
        </w:trPr>
        <w:tc>
          <w:tcPr>
            <w:tcW w:w="1699" w:type="dxa"/>
            <w:shd w:val="clear" w:color="auto" w:fill="8EAADB" w:themeFill="accent1" w:themeFillTint="99"/>
          </w:tcPr>
          <w:p w14:paraId="7D71A664" w14:textId="77777777" w:rsidR="008A6E06" w:rsidRPr="007B6A41" w:rsidRDefault="008A6E06" w:rsidP="00C553B3">
            <w:pPr>
              <w:rPr>
                <w:b/>
                <w:color w:val="1F4E79" w:themeColor="accent5" w:themeShade="80"/>
              </w:rPr>
            </w:pPr>
            <w:r w:rsidRPr="007B6A41">
              <w:rPr>
                <w:b/>
                <w:color w:val="1F4E79" w:themeColor="accent5" w:themeShade="80"/>
              </w:rPr>
              <w:t>STATUTORY INDICATORS</w:t>
            </w:r>
          </w:p>
        </w:tc>
        <w:tc>
          <w:tcPr>
            <w:tcW w:w="4843" w:type="dxa"/>
          </w:tcPr>
          <w:p w14:paraId="0C0933C1" w14:textId="77777777" w:rsidR="008A6E06" w:rsidRDefault="008A6E06" w:rsidP="00C553B3">
            <w:pPr>
              <w:numPr>
                <w:ilvl w:val="0"/>
                <w:numId w:val="1"/>
              </w:numPr>
              <w:suppressAutoHyphens w:val="0"/>
              <w:autoSpaceDN/>
              <w:spacing w:line="260" w:lineRule="atLeast"/>
              <w:ind w:left="358" w:hanging="358"/>
              <w:textAlignment w:val="auto"/>
              <w:rPr>
                <w:rFonts w:cs="Arial"/>
                <w:sz w:val="20"/>
              </w:rPr>
            </w:pPr>
            <w:r>
              <w:rPr>
                <w:rFonts w:cs="Arial"/>
                <w:sz w:val="20"/>
              </w:rPr>
              <w:t>Municipal Waste</w:t>
            </w:r>
          </w:p>
          <w:p w14:paraId="58133C78" w14:textId="77777777" w:rsidR="008A6E06" w:rsidRDefault="008A6E06" w:rsidP="00C553B3">
            <w:pPr>
              <w:numPr>
                <w:ilvl w:val="0"/>
                <w:numId w:val="1"/>
              </w:numPr>
              <w:suppressAutoHyphens w:val="0"/>
              <w:autoSpaceDN/>
              <w:spacing w:line="260" w:lineRule="atLeast"/>
              <w:ind w:left="358" w:hanging="358"/>
              <w:textAlignment w:val="auto"/>
              <w:rPr>
                <w:rFonts w:cs="Arial"/>
                <w:sz w:val="20"/>
              </w:rPr>
            </w:pPr>
            <w:r>
              <w:rPr>
                <w:rFonts w:cs="Arial"/>
                <w:sz w:val="20"/>
              </w:rPr>
              <w:t>Economic Development</w:t>
            </w:r>
          </w:p>
          <w:p w14:paraId="75039AC3" w14:textId="77777777" w:rsidR="008A6E06" w:rsidRDefault="008A6E06" w:rsidP="00C553B3">
            <w:pPr>
              <w:numPr>
                <w:ilvl w:val="0"/>
                <w:numId w:val="1"/>
              </w:numPr>
              <w:suppressAutoHyphens w:val="0"/>
              <w:autoSpaceDN/>
              <w:spacing w:line="260" w:lineRule="atLeast"/>
              <w:ind w:left="358" w:hanging="358"/>
              <w:textAlignment w:val="auto"/>
              <w:rPr>
                <w:rFonts w:cs="Arial"/>
                <w:sz w:val="20"/>
              </w:rPr>
            </w:pPr>
            <w:r>
              <w:rPr>
                <w:rFonts w:cs="Arial"/>
                <w:sz w:val="20"/>
              </w:rPr>
              <w:t>Planning</w:t>
            </w:r>
          </w:p>
        </w:tc>
        <w:tc>
          <w:tcPr>
            <w:tcW w:w="544" w:type="dxa"/>
            <w:shd w:val="clear" w:color="auto" w:fill="D0CECE" w:themeFill="background2" w:themeFillShade="E6"/>
            <w:vAlign w:val="center"/>
          </w:tcPr>
          <w:p w14:paraId="26551C82" w14:textId="77777777" w:rsidR="008A6E06" w:rsidRPr="00D22A2A" w:rsidRDefault="008A6E06" w:rsidP="00C553B3">
            <w:pPr>
              <w:keepNext/>
              <w:jc w:val="center"/>
            </w:pPr>
          </w:p>
        </w:tc>
        <w:tc>
          <w:tcPr>
            <w:tcW w:w="596" w:type="dxa"/>
            <w:shd w:val="clear" w:color="auto" w:fill="D0CECE" w:themeFill="background2" w:themeFillShade="E6"/>
            <w:vAlign w:val="center"/>
          </w:tcPr>
          <w:p w14:paraId="2A336FD5"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6</w:t>
            </w:r>
          </w:p>
        </w:tc>
        <w:tc>
          <w:tcPr>
            <w:tcW w:w="810" w:type="dxa"/>
            <w:shd w:val="clear" w:color="auto" w:fill="D0CECE" w:themeFill="background2" w:themeFillShade="E6"/>
            <w:vAlign w:val="center"/>
          </w:tcPr>
          <w:p w14:paraId="12561898"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1</w:t>
            </w:r>
          </w:p>
        </w:tc>
        <w:tc>
          <w:tcPr>
            <w:tcW w:w="486" w:type="dxa"/>
            <w:shd w:val="clear" w:color="auto" w:fill="D0CECE" w:themeFill="background2" w:themeFillShade="E6"/>
            <w:vAlign w:val="center"/>
          </w:tcPr>
          <w:p w14:paraId="0BFA4D5F"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w:t>
            </w:r>
          </w:p>
        </w:tc>
      </w:tr>
      <w:tr w:rsidR="008A6E06" w14:paraId="1B3D9735" w14:textId="77777777" w:rsidTr="00C553B3">
        <w:trPr>
          <w:gridAfter w:val="1"/>
          <w:wAfter w:w="6" w:type="dxa"/>
          <w:trHeight w:val="327"/>
        </w:trPr>
        <w:tc>
          <w:tcPr>
            <w:tcW w:w="1699" w:type="dxa"/>
            <w:vMerge w:val="restart"/>
            <w:shd w:val="clear" w:color="auto" w:fill="8EAADB" w:themeFill="accent1" w:themeFillTint="99"/>
          </w:tcPr>
          <w:p w14:paraId="1B6D05B6" w14:textId="77777777" w:rsidR="008A6E06" w:rsidRPr="007B6A41" w:rsidRDefault="008A6E06" w:rsidP="00C553B3">
            <w:pPr>
              <w:rPr>
                <w:b/>
                <w:color w:val="1F4E79" w:themeColor="accent5" w:themeShade="80"/>
              </w:rPr>
            </w:pPr>
            <w:r w:rsidRPr="007B6A41">
              <w:rPr>
                <w:b/>
                <w:color w:val="1F4E79" w:themeColor="accent5" w:themeShade="80"/>
              </w:rPr>
              <w:t>SELF-IMPOSED</w:t>
            </w:r>
          </w:p>
          <w:p w14:paraId="4080D143" w14:textId="77777777" w:rsidR="008A6E06" w:rsidRPr="007B6A41" w:rsidRDefault="008A6E06" w:rsidP="00C553B3">
            <w:pPr>
              <w:rPr>
                <w:b/>
                <w:color w:val="1F4E79" w:themeColor="accent5" w:themeShade="80"/>
              </w:rPr>
            </w:pPr>
            <w:r w:rsidRPr="007B6A41">
              <w:rPr>
                <w:b/>
                <w:color w:val="1F4E79" w:themeColor="accent5" w:themeShade="80"/>
              </w:rPr>
              <w:t>INDICATORS</w:t>
            </w:r>
          </w:p>
        </w:tc>
        <w:tc>
          <w:tcPr>
            <w:tcW w:w="4843" w:type="dxa"/>
            <w:vMerge w:val="restart"/>
          </w:tcPr>
          <w:p w14:paraId="28E8CF62" w14:textId="77777777" w:rsidR="008A6E06" w:rsidRDefault="008A6E06" w:rsidP="00C553B3">
            <w:pPr>
              <w:numPr>
                <w:ilvl w:val="0"/>
                <w:numId w:val="1"/>
              </w:numPr>
              <w:suppressAutoHyphens w:val="0"/>
              <w:autoSpaceDN/>
              <w:spacing w:line="260" w:lineRule="atLeast"/>
              <w:ind w:left="358" w:hanging="358"/>
              <w:textAlignment w:val="auto"/>
              <w:rPr>
                <w:rFonts w:cs="Arial"/>
                <w:sz w:val="20"/>
              </w:rPr>
            </w:pPr>
            <w:r>
              <w:rPr>
                <w:rFonts w:cs="Arial"/>
                <w:sz w:val="20"/>
              </w:rPr>
              <w:t>Resident Satisfaction</w:t>
            </w:r>
          </w:p>
          <w:p w14:paraId="0668A67E" w14:textId="77777777" w:rsidR="008A6E06" w:rsidRDefault="008A6E06" w:rsidP="00C553B3">
            <w:pPr>
              <w:numPr>
                <w:ilvl w:val="0"/>
                <w:numId w:val="1"/>
              </w:numPr>
              <w:suppressAutoHyphens w:val="0"/>
              <w:autoSpaceDN/>
              <w:spacing w:line="260" w:lineRule="atLeast"/>
              <w:ind w:left="358" w:hanging="358"/>
              <w:textAlignment w:val="auto"/>
              <w:rPr>
                <w:rFonts w:cs="Arial"/>
                <w:sz w:val="20"/>
              </w:rPr>
            </w:pPr>
            <w:r>
              <w:rPr>
                <w:rFonts w:cs="Arial"/>
                <w:sz w:val="20"/>
              </w:rPr>
              <w:t>Prompt Payment of Invoices</w:t>
            </w:r>
          </w:p>
          <w:p w14:paraId="77C7D29D" w14:textId="77777777" w:rsidR="008A6E06" w:rsidRDefault="008A6E06" w:rsidP="00C553B3">
            <w:pPr>
              <w:numPr>
                <w:ilvl w:val="0"/>
                <w:numId w:val="1"/>
              </w:numPr>
              <w:suppressAutoHyphens w:val="0"/>
              <w:autoSpaceDN/>
              <w:spacing w:line="260" w:lineRule="atLeast"/>
              <w:ind w:left="358" w:hanging="358"/>
              <w:textAlignment w:val="auto"/>
              <w:rPr>
                <w:rFonts w:cs="Arial"/>
                <w:sz w:val="20"/>
              </w:rPr>
            </w:pPr>
            <w:r>
              <w:rPr>
                <w:rFonts w:cs="Arial"/>
                <w:sz w:val="20"/>
              </w:rPr>
              <w:t>Average number of working days lost per employee</w:t>
            </w:r>
          </w:p>
          <w:p w14:paraId="47E7BCA2" w14:textId="77777777" w:rsidR="008A6E06" w:rsidRDefault="008A6E06" w:rsidP="00C553B3">
            <w:pPr>
              <w:numPr>
                <w:ilvl w:val="0"/>
                <w:numId w:val="1"/>
              </w:numPr>
              <w:suppressAutoHyphens w:val="0"/>
              <w:autoSpaceDN/>
              <w:spacing w:line="260" w:lineRule="atLeast"/>
              <w:ind w:left="358" w:hanging="358"/>
              <w:textAlignment w:val="auto"/>
              <w:rPr>
                <w:rFonts w:cs="Arial"/>
                <w:sz w:val="20"/>
              </w:rPr>
            </w:pPr>
            <w:r>
              <w:rPr>
                <w:rFonts w:cs="Arial"/>
                <w:sz w:val="20"/>
              </w:rPr>
              <w:t>% staff attendance</w:t>
            </w:r>
          </w:p>
        </w:tc>
        <w:tc>
          <w:tcPr>
            <w:tcW w:w="544" w:type="dxa"/>
            <w:shd w:val="clear" w:color="auto" w:fill="D0CECE" w:themeFill="background2" w:themeFillShade="E6"/>
            <w:vAlign w:val="center"/>
          </w:tcPr>
          <w:p w14:paraId="203C6666" w14:textId="77777777" w:rsidR="008A6E06" w:rsidRPr="00D22A2A" w:rsidRDefault="008A6E06" w:rsidP="00C553B3">
            <w:pPr>
              <w:keepNext/>
              <w:jc w:val="center"/>
            </w:pPr>
            <w:r w:rsidRPr="00D22A2A">
              <w:t>-</w:t>
            </w:r>
          </w:p>
        </w:tc>
        <w:tc>
          <w:tcPr>
            <w:tcW w:w="596" w:type="dxa"/>
            <w:shd w:val="clear" w:color="auto" w:fill="D0CECE" w:themeFill="background2" w:themeFillShade="E6"/>
            <w:vAlign w:val="center"/>
          </w:tcPr>
          <w:p w14:paraId="48311ED6"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w:t>
            </w:r>
          </w:p>
        </w:tc>
        <w:tc>
          <w:tcPr>
            <w:tcW w:w="810" w:type="dxa"/>
            <w:shd w:val="clear" w:color="auto" w:fill="D0CECE" w:themeFill="background2" w:themeFillShade="E6"/>
            <w:vAlign w:val="center"/>
          </w:tcPr>
          <w:p w14:paraId="1F78D208"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w:t>
            </w:r>
          </w:p>
        </w:tc>
        <w:tc>
          <w:tcPr>
            <w:tcW w:w="486" w:type="dxa"/>
            <w:shd w:val="clear" w:color="auto" w:fill="D0CECE" w:themeFill="background2" w:themeFillShade="E6"/>
            <w:vAlign w:val="center"/>
          </w:tcPr>
          <w:p w14:paraId="791E5206"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1</w:t>
            </w:r>
          </w:p>
        </w:tc>
      </w:tr>
      <w:tr w:rsidR="008A6E06" w14:paraId="78F28D4E" w14:textId="77777777" w:rsidTr="00C553B3">
        <w:trPr>
          <w:gridAfter w:val="1"/>
          <w:wAfter w:w="6" w:type="dxa"/>
          <w:trHeight w:val="326"/>
        </w:trPr>
        <w:tc>
          <w:tcPr>
            <w:tcW w:w="1699" w:type="dxa"/>
            <w:vMerge/>
            <w:shd w:val="clear" w:color="auto" w:fill="8EAADB" w:themeFill="accent1" w:themeFillTint="99"/>
          </w:tcPr>
          <w:p w14:paraId="24DE9CCE" w14:textId="77777777" w:rsidR="008A6E06" w:rsidRDefault="008A6E06" w:rsidP="00C553B3">
            <w:pPr>
              <w:rPr>
                <w:b/>
                <w:color w:val="FFFFFF" w:themeColor="background1"/>
              </w:rPr>
            </w:pPr>
          </w:p>
        </w:tc>
        <w:tc>
          <w:tcPr>
            <w:tcW w:w="4843" w:type="dxa"/>
            <w:vMerge/>
          </w:tcPr>
          <w:p w14:paraId="0B32486E" w14:textId="77777777" w:rsidR="008A6E06" w:rsidRDefault="008A6E06" w:rsidP="00C553B3">
            <w:pPr>
              <w:numPr>
                <w:ilvl w:val="0"/>
                <w:numId w:val="1"/>
              </w:numPr>
              <w:suppressAutoHyphens w:val="0"/>
              <w:autoSpaceDN/>
              <w:spacing w:line="260" w:lineRule="atLeast"/>
              <w:ind w:left="358" w:hanging="358"/>
              <w:textAlignment w:val="auto"/>
              <w:rPr>
                <w:rFonts w:cs="Arial"/>
                <w:sz w:val="20"/>
              </w:rPr>
            </w:pPr>
          </w:p>
        </w:tc>
        <w:tc>
          <w:tcPr>
            <w:tcW w:w="544" w:type="dxa"/>
            <w:shd w:val="clear" w:color="auto" w:fill="D0CECE" w:themeFill="background2" w:themeFillShade="E6"/>
            <w:vAlign w:val="center"/>
          </w:tcPr>
          <w:p w14:paraId="23116347" w14:textId="77777777" w:rsidR="008A6E06" w:rsidRPr="00D22A2A" w:rsidRDefault="008A6E06" w:rsidP="00C553B3">
            <w:pPr>
              <w:keepNext/>
              <w:jc w:val="center"/>
            </w:pPr>
            <w:r w:rsidRPr="00D22A2A">
              <w:t>-</w:t>
            </w:r>
          </w:p>
        </w:tc>
        <w:tc>
          <w:tcPr>
            <w:tcW w:w="596" w:type="dxa"/>
            <w:shd w:val="clear" w:color="auto" w:fill="D0CECE" w:themeFill="background2" w:themeFillShade="E6"/>
            <w:vAlign w:val="center"/>
          </w:tcPr>
          <w:p w14:paraId="6D1A60EC"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w:t>
            </w:r>
          </w:p>
        </w:tc>
        <w:tc>
          <w:tcPr>
            <w:tcW w:w="810" w:type="dxa"/>
            <w:shd w:val="clear" w:color="auto" w:fill="D0CECE" w:themeFill="background2" w:themeFillShade="E6"/>
            <w:vAlign w:val="center"/>
          </w:tcPr>
          <w:p w14:paraId="28053E8A"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w:t>
            </w:r>
          </w:p>
        </w:tc>
        <w:tc>
          <w:tcPr>
            <w:tcW w:w="486" w:type="dxa"/>
            <w:shd w:val="clear" w:color="auto" w:fill="D0CECE" w:themeFill="background2" w:themeFillShade="E6"/>
            <w:vAlign w:val="center"/>
          </w:tcPr>
          <w:p w14:paraId="6C3CF0E6"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3</w:t>
            </w:r>
          </w:p>
        </w:tc>
      </w:tr>
      <w:tr w:rsidR="008A6E06" w14:paraId="46D58992" w14:textId="77777777" w:rsidTr="00C553B3">
        <w:trPr>
          <w:gridAfter w:val="1"/>
          <w:wAfter w:w="6" w:type="dxa"/>
          <w:trHeight w:val="326"/>
        </w:trPr>
        <w:tc>
          <w:tcPr>
            <w:tcW w:w="1699" w:type="dxa"/>
            <w:vMerge/>
            <w:shd w:val="clear" w:color="auto" w:fill="8EAADB" w:themeFill="accent1" w:themeFillTint="99"/>
          </w:tcPr>
          <w:p w14:paraId="0C23DCF4" w14:textId="77777777" w:rsidR="008A6E06" w:rsidRDefault="008A6E06" w:rsidP="00C553B3">
            <w:pPr>
              <w:rPr>
                <w:b/>
                <w:color w:val="FFFFFF" w:themeColor="background1"/>
              </w:rPr>
            </w:pPr>
          </w:p>
        </w:tc>
        <w:tc>
          <w:tcPr>
            <w:tcW w:w="4843" w:type="dxa"/>
            <w:vMerge/>
          </w:tcPr>
          <w:p w14:paraId="56E03A9B" w14:textId="77777777" w:rsidR="008A6E06" w:rsidRDefault="008A6E06" w:rsidP="00C553B3">
            <w:pPr>
              <w:numPr>
                <w:ilvl w:val="0"/>
                <w:numId w:val="1"/>
              </w:numPr>
              <w:suppressAutoHyphens w:val="0"/>
              <w:autoSpaceDN/>
              <w:spacing w:line="260" w:lineRule="atLeast"/>
              <w:ind w:left="358" w:hanging="358"/>
              <w:textAlignment w:val="auto"/>
              <w:rPr>
                <w:rFonts w:cs="Arial"/>
                <w:sz w:val="20"/>
              </w:rPr>
            </w:pPr>
          </w:p>
        </w:tc>
        <w:tc>
          <w:tcPr>
            <w:tcW w:w="544" w:type="dxa"/>
            <w:shd w:val="clear" w:color="auto" w:fill="D0CECE" w:themeFill="background2" w:themeFillShade="E6"/>
            <w:vAlign w:val="center"/>
          </w:tcPr>
          <w:p w14:paraId="73352E76" w14:textId="77777777" w:rsidR="008A6E06" w:rsidRPr="00D22A2A" w:rsidRDefault="008A6E06" w:rsidP="00C553B3">
            <w:pPr>
              <w:keepNext/>
              <w:jc w:val="center"/>
            </w:pPr>
            <w:r w:rsidRPr="00D22A2A">
              <w:t>-</w:t>
            </w:r>
          </w:p>
        </w:tc>
        <w:tc>
          <w:tcPr>
            <w:tcW w:w="596" w:type="dxa"/>
            <w:shd w:val="clear" w:color="auto" w:fill="D0CECE" w:themeFill="background2" w:themeFillShade="E6"/>
            <w:vAlign w:val="center"/>
          </w:tcPr>
          <w:p w14:paraId="5A44631F"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w:t>
            </w:r>
          </w:p>
        </w:tc>
        <w:tc>
          <w:tcPr>
            <w:tcW w:w="810" w:type="dxa"/>
            <w:shd w:val="clear" w:color="auto" w:fill="D0CECE" w:themeFill="background2" w:themeFillShade="E6"/>
            <w:vAlign w:val="center"/>
          </w:tcPr>
          <w:p w14:paraId="0C9B78A7"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w:t>
            </w:r>
          </w:p>
        </w:tc>
        <w:tc>
          <w:tcPr>
            <w:tcW w:w="486" w:type="dxa"/>
            <w:shd w:val="clear" w:color="auto" w:fill="D0CECE" w:themeFill="background2" w:themeFillShade="E6"/>
            <w:vAlign w:val="center"/>
          </w:tcPr>
          <w:p w14:paraId="437050B8"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1</w:t>
            </w:r>
          </w:p>
        </w:tc>
      </w:tr>
      <w:tr w:rsidR="008A6E06" w14:paraId="57F59789" w14:textId="77777777" w:rsidTr="00C553B3">
        <w:trPr>
          <w:gridAfter w:val="1"/>
          <w:wAfter w:w="6" w:type="dxa"/>
          <w:trHeight w:val="145"/>
        </w:trPr>
        <w:tc>
          <w:tcPr>
            <w:tcW w:w="1699" w:type="dxa"/>
            <w:vMerge/>
            <w:shd w:val="clear" w:color="auto" w:fill="8EAADB" w:themeFill="accent1" w:themeFillTint="99"/>
          </w:tcPr>
          <w:p w14:paraId="090B8101" w14:textId="77777777" w:rsidR="008A6E06" w:rsidRDefault="008A6E06" w:rsidP="00C553B3">
            <w:pPr>
              <w:rPr>
                <w:b/>
                <w:color w:val="FFFFFF" w:themeColor="background1"/>
              </w:rPr>
            </w:pPr>
          </w:p>
        </w:tc>
        <w:tc>
          <w:tcPr>
            <w:tcW w:w="4843" w:type="dxa"/>
            <w:vMerge/>
          </w:tcPr>
          <w:p w14:paraId="1960CA79" w14:textId="77777777" w:rsidR="008A6E06" w:rsidRDefault="008A6E06" w:rsidP="00C553B3">
            <w:pPr>
              <w:numPr>
                <w:ilvl w:val="0"/>
                <w:numId w:val="1"/>
              </w:numPr>
              <w:suppressAutoHyphens w:val="0"/>
              <w:autoSpaceDN/>
              <w:spacing w:line="260" w:lineRule="atLeast"/>
              <w:ind w:left="358" w:hanging="358"/>
              <w:textAlignment w:val="auto"/>
              <w:rPr>
                <w:rFonts w:cs="Arial"/>
                <w:sz w:val="20"/>
              </w:rPr>
            </w:pPr>
          </w:p>
        </w:tc>
        <w:tc>
          <w:tcPr>
            <w:tcW w:w="544" w:type="dxa"/>
            <w:shd w:val="clear" w:color="auto" w:fill="D0CECE" w:themeFill="background2" w:themeFillShade="E6"/>
            <w:vAlign w:val="center"/>
          </w:tcPr>
          <w:p w14:paraId="314445E5" w14:textId="77777777" w:rsidR="008A6E06" w:rsidRPr="00D22A2A" w:rsidRDefault="008A6E06" w:rsidP="00C553B3">
            <w:pPr>
              <w:keepNext/>
              <w:jc w:val="center"/>
            </w:pPr>
            <w:r w:rsidRPr="00D22A2A">
              <w:t>-</w:t>
            </w:r>
          </w:p>
        </w:tc>
        <w:tc>
          <w:tcPr>
            <w:tcW w:w="596" w:type="dxa"/>
            <w:shd w:val="clear" w:color="auto" w:fill="D0CECE" w:themeFill="background2" w:themeFillShade="E6"/>
            <w:vAlign w:val="center"/>
          </w:tcPr>
          <w:p w14:paraId="233A360A"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w:t>
            </w:r>
          </w:p>
        </w:tc>
        <w:tc>
          <w:tcPr>
            <w:tcW w:w="810" w:type="dxa"/>
            <w:shd w:val="clear" w:color="auto" w:fill="D0CECE" w:themeFill="background2" w:themeFillShade="E6"/>
            <w:vAlign w:val="center"/>
          </w:tcPr>
          <w:p w14:paraId="0B37DAED"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1</w:t>
            </w:r>
          </w:p>
        </w:tc>
        <w:tc>
          <w:tcPr>
            <w:tcW w:w="486" w:type="dxa"/>
            <w:shd w:val="clear" w:color="auto" w:fill="D0CECE" w:themeFill="background2" w:themeFillShade="E6"/>
            <w:vAlign w:val="center"/>
          </w:tcPr>
          <w:p w14:paraId="78D67FE6"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w:t>
            </w:r>
          </w:p>
        </w:tc>
      </w:tr>
      <w:tr w:rsidR="008A6E06" w14:paraId="368201E8" w14:textId="77777777" w:rsidTr="00C553B3">
        <w:trPr>
          <w:gridAfter w:val="1"/>
          <w:wAfter w:w="6" w:type="dxa"/>
        </w:trPr>
        <w:tc>
          <w:tcPr>
            <w:tcW w:w="1699" w:type="dxa"/>
            <w:tcBorders>
              <w:left w:val="nil"/>
              <w:bottom w:val="nil"/>
            </w:tcBorders>
          </w:tcPr>
          <w:p w14:paraId="03C33BB7" w14:textId="77777777" w:rsidR="008A6E06" w:rsidRPr="00E527B7" w:rsidRDefault="008A6E06" w:rsidP="00C553B3">
            <w:pPr>
              <w:rPr>
                <w:b/>
                <w:color w:val="FFFFFF" w:themeColor="background1"/>
              </w:rPr>
            </w:pPr>
          </w:p>
        </w:tc>
        <w:tc>
          <w:tcPr>
            <w:tcW w:w="4843" w:type="dxa"/>
          </w:tcPr>
          <w:p w14:paraId="73D67FE5" w14:textId="77777777" w:rsidR="008A6E06" w:rsidRPr="007E4115" w:rsidRDefault="008A6E06" w:rsidP="00C553B3">
            <w:pPr>
              <w:spacing w:before="60" w:after="60"/>
              <w:ind w:right="23"/>
              <w:jc w:val="right"/>
              <w:rPr>
                <w:rFonts w:eastAsia="Arial" w:cs="Arial"/>
                <w:b/>
              </w:rPr>
            </w:pPr>
            <w:r w:rsidRPr="007E4115">
              <w:rPr>
                <w:rFonts w:eastAsia="Arial" w:cs="Arial"/>
                <w:b/>
              </w:rPr>
              <w:t xml:space="preserve">OVERALL </w:t>
            </w:r>
          </w:p>
        </w:tc>
        <w:tc>
          <w:tcPr>
            <w:tcW w:w="544" w:type="dxa"/>
            <w:shd w:val="clear" w:color="auto" w:fill="D0CECE" w:themeFill="background2" w:themeFillShade="E6"/>
            <w:vAlign w:val="center"/>
          </w:tcPr>
          <w:p w14:paraId="06F558AD"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2</w:t>
            </w:r>
          </w:p>
        </w:tc>
        <w:tc>
          <w:tcPr>
            <w:tcW w:w="596" w:type="dxa"/>
            <w:shd w:val="clear" w:color="auto" w:fill="D0CECE" w:themeFill="background2" w:themeFillShade="E6"/>
            <w:vAlign w:val="center"/>
          </w:tcPr>
          <w:p w14:paraId="0D57884B"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7</w:t>
            </w:r>
          </w:p>
        </w:tc>
        <w:tc>
          <w:tcPr>
            <w:tcW w:w="810" w:type="dxa"/>
            <w:shd w:val="clear" w:color="auto" w:fill="D0CECE" w:themeFill="background2" w:themeFillShade="E6"/>
            <w:vAlign w:val="center"/>
          </w:tcPr>
          <w:p w14:paraId="7214557F"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7</w:t>
            </w:r>
          </w:p>
        </w:tc>
        <w:tc>
          <w:tcPr>
            <w:tcW w:w="486" w:type="dxa"/>
            <w:shd w:val="clear" w:color="auto" w:fill="D0CECE" w:themeFill="background2" w:themeFillShade="E6"/>
            <w:vAlign w:val="center"/>
          </w:tcPr>
          <w:p w14:paraId="1120E871" w14:textId="77777777" w:rsidR="008A6E06" w:rsidRDefault="008A6E06" w:rsidP="00C553B3">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17</w:t>
            </w:r>
          </w:p>
        </w:tc>
      </w:tr>
    </w:tbl>
    <w:p w14:paraId="348FE65E" w14:textId="77777777" w:rsidR="008A6E06" w:rsidRDefault="008A6E06" w:rsidP="008A6E06">
      <w:pPr>
        <w:rPr>
          <w:rFonts w:cs="Arial"/>
        </w:rPr>
      </w:pPr>
    </w:p>
    <w:p w14:paraId="0F8569C3" w14:textId="77777777" w:rsidR="008A6E06" w:rsidRPr="00A048A9" w:rsidRDefault="008A6E06" w:rsidP="008A6E06">
      <w:pPr>
        <w:spacing w:after="120"/>
        <w:ind w:left="60"/>
        <w:rPr>
          <w:lang w:val="en-US"/>
        </w:rPr>
      </w:pPr>
      <w:r w:rsidRPr="00F044DF">
        <w:rPr>
          <w:lang w:val="en-US"/>
        </w:rPr>
        <w:t xml:space="preserve">Detailed information on progress against each of the measures </w:t>
      </w:r>
      <w:r>
        <w:rPr>
          <w:lang w:val="en-US"/>
        </w:rPr>
        <w:t>could</w:t>
      </w:r>
      <w:r w:rsidRPr="00F044DF">
        <w:rPr>
          <w:lang w:val="en-US"/>
        </w:rPr>
        <w:t xml:space="preserve"> be found in </w:t>
      </w:r>
      <w:r>
        <w:rPr>
          <w:lang w:val="en-US"/>
        </w:rPr>
        <w:t xml:space="preserve">the </w:t>
      </w:r>
      <w:r w:rsidRPr="00F044DF">
        <w:rPr>
          <w:lang w:val="en-US"/>
        </w:rPr>
        <w:t xml:space="preserve">Appendix to the report.  Information on performance against the PIP 2021/2022 </w:t>
      </w:r>
      <w:r>
        <w:rPr>
          <w:lang w:val="en-US"/>
        </w:rPr>
        <w:t>could</w:t>
      </w:r>
      <w:r w:rsidRPr="00F044DF">
        <w:rPr>
          <w:lang w:val="en-US"/>
        </w:rPr>
        <w:t xml:space="preserve"> also be found on the Council’s </w:t>
      </w:r>
      <w:hyperlink r:id="rId10" w:history="1">
        <w:r w:rsidRPr="00F044DF">
          <w:rPr>
            <w:rStyle w:val="Hyperlink"/>
            <w:lang w:val="en-US"/>
          </w:rPr>
          <w:t>website</w:t>
        </w:r>
      </w:hyperlink>
      <w:r w:rsidRPr="00F044DF">
        <w:rPr>
          <w:lang w:val="en-US"/>
        </w:rPr>
        <w:t xml:space="preserve"> following ratification of this report.</w:t>
      </w:r>
    </w:p>
    <w:p w14:paraId="0C370781" w14:textId="77777777" w:rsidR="008A6E06" w:rsidRDefault="008A6E06" w:rsidP="008A6E06">
      <w:r>
        <w:t>RECOMMENDED that the report be noted.</w:t>
      </w:r>
    </w:p>
    <w:p w14:paraId="3627930A" w14:textId="77777777" w:rsidR="008A6E06" w:rsidRDefault="008A6E06" w:rsidP="008A6E06"/>
    <w:p w14:paraId="2740C2CC" w14:textId="77777777" w:rsidR="008A6E06" w:rsidRDefault="008A6E06" w:rsidP="008A6E06">
      <w:r>
        <w:t>Councillor P Smith proposed, seconded by Councillor Douglas, that the recommendation be adopted.</w:t>
      </w:r>
    </w:p>
    <w:p w14:paraId="7A7DCF9E" w14:textId="77777777" w:rsidR="008A6E06" w:rsidRDefault="008A6E06" w:rsidP="008A6E06"/>
    <w:p w14:paraId="4792D37D" w14:textId="77777777" w:rsidR="008A6E06" w:rsidRDefault="008A6E06" w:rsidP="008A6E06">
      <w:r>
        <w:t>The proposer, Councillor Smith, acknowledged the two main areas of concern where Waste and Planning and he sought clarity on how those issues could be taken forward.</w:t>
      </w:r>
    </w:p>
    <w:p w14:paraId="66C83C3F" w14:textId="77777777" w:rsidR="008A6E06" w:rsidRDefault="008A6E06" w:rsidP="008A6E06"/>
    <w:p w14:paraId="2ABC34EC" w14:textId="77777777" w:rsidR="008A6E06" w:rsidRDefault="008A6E06" w:rsidP="008A6E06">
      <w:r>
        <w:t>In response, the Director of Finance &amp; Performance advised that a performance report in respect of Waste issues was considered by the Council’s Environment Committee on a quarterly basis. In respect of Panning matters those issues highlighted were long standing ones whose targets had never been met and he reassured members that matters such as those were taken seriously by the Council.</w:t>
      </w:r>
    </w:p>
    <w:p w14:paraId="11471B21" w14:textId="77777777" w:rsidR="008A6E06" w:rsidRDefault="008A6E06" w:rsidP="008A6E06"/>
    <w:p w14:paraId="6FE868D9" w14:textId="77777777" w:rsidR="008A6E06" w:rsidRDefault="008A6E06" w:rsidP="008A6E06">
      <w:r>
        <w:t>While appreciating those issues were complex matters, Councillor Smith commented that the only issue was that this tool before them highlighted those key issues and areas of concern.</w:t>
      </w:r>
    </w:p>
    <w:p w14:paraId="420B3EF3" w14:textId="77777777" w:rsidR="008A6E06" w:rsidRDefault="008A6E06" w:rsidP="008A6E06"/>
    <w:p w14:paraId="447ABC54" w14:textId="77777777" w:rsidR="008A6E06" w:rsidRPr="001F1ECF" w:rsidRDefault="008A6E06" w:rsidP="008A6E06">
      <w:pPr>
        <w:rPr>
          <w:b/>
        </w:rPr>
      </w:pPr>
      <w:r>
        <w:rPr>
          <w:b/>
        </w:rPr>
        <w:t>AGREED TO RECOMMEND, on the proposal of Councillor P Smith, seconded by Councillor Douglas, that the recommendation be adopted.</w:t>
      </w:r>
    </w:p>
    <w:p w14:paraId="3397CA5E" w14:textId="77777777" w:rsidR="008A6E06" w:rsidRDefault="008A6E06" w:rsidP="008A6E06">
      <w:pPr>
        <w:rPr>
          <w:b/>
          <w:bCs/>
        </w:rPr>
      </w:pPr>
    </w:p>
    <w:p w14:paraId="613B488B" w14:textId="5857325B" w:rsidR="008A6E06" w:rsidRPr="00F263A4" w:rsidRDefault="008A6E06" w:rsidP="00F263A4">
      <w:pPr>
        <w:pStyle w:val="Heading1"/>
        <w:rPr>
          <w:b w:val="0"/>
          <w:bCs/>
          <w:caps w:val="0"/>
          <w:sz w:val="24"/>
          <w:szCs w:val="24"/>
          <w:u w:val="none"/>
        </w:rPr>
      </w:pPr>
      <w:r w:rsidRPr="00F263A4">
        <w:rPr>
          <w:u w:val="none"/>
        </w:rPr>
        <w:t>8.</w:t>
      </w:r>
      <w:r w:rsidRPr="00F263A4">
        <w:rPr>
          <w:u w:val="none"/>
        </w:rPr>
        <w:tab/>
      </w:r>
      <w:r w:rsidRPr="001F1ECF">
        <w:t>Corporate Risk Register</w:t>
      </w:r>
      <w:r>
        <w:t xml:space="preserve"> (FILE AUD02)</w:t>
      </w:r>
      <w:r w:rsidR="00F263A4" w:rsidRPr="00F263A4">
        <w:rPr>
          <w:u w:val="none"/>
        </w:rPr>
        <w:t xml:space="preserve"> </w:t>
      </w:r>
      <w:r w:rsidRPr="00F263A4">
        <w:rPr>
          <w:b w:val="0"/>
          <w:bCs/>
          <w:caps w:val="0"/>
          <w:sz w:val="24"/>
          <w:szCs w:val="24"/>
          <w:u w:val="none"/>
        </w:rPr>
        <w:t>(Appendix IX)</w:t>
      </w:r>
    </w:p>
    <w:p w14:paraId="3A5AF8E1" w14:textId="77777777" w:rsidR="008A6E06" w:rsidRDefault="008A6E06" w:rsidP="008A6E06">
      <w:pPr>
        <w:rPr>
          <w:rFonts w:ascii="Arial Bold" w:hAnsi="Arial Bold" w:cs="Arial"/>
          <w:b/>
          <w:bCs/>
          <w:caps/>
          <w:sz w:val="28"/>
          <w:szCs w:val="28"/>
          <w:u w:val="single"/>
        </w:rPr>
      </w:pPr>
    </w:p>
    <w:p w14:paraId="4F0A974B" w14:textId="77777777" w:rsidR="008A6E06" w:rsidRDefault="008A6E06" w:rsidP="008A6E06">
      <w:r>
        <w:t xml:space="preserve">PREVIOUSLY CIRCULATED:- Report from Director of Finance &amp; Performance stating that the Corporate Risk Register (CRR) was a live document which was amended as required to reflect new or changing risk factors.  The CRR had been updated to reflect the current status of controls with associated amendments </w:t>
      </w:r>
      <w:r>
        <w:lastRenderedPageBreak/>
        <w:t xml:space="preserve">together with any further actions required.  Minor amendments were not included in the report.  </w:t>
      </w:r>
    </w:p>
    <w:p w14:paraId="645B03FE" w14:textId="77777777" w:rsidR="008A6E06" w:rsidRDefault="008A6E06" w:rsidP="008A6E06"/>
    <w:p w14:paraId="12B508C2" w14:textId="77777777" w:rsidR="008A6E06" w:rsidRDefault="008A6E06" w:rsidP="008A6E06">
      <w:r>
        <w:t>Two new actions had been included under CR4 to reflect actions required in consideration of Russia’s invasion of Ukraine.  The Executive Office were developing a Situation Report to identify and report any impacts flowing from this crisis. They were also developing a dashboard to similar to the CIVID dashboard.  This would be  reviewed and monitored for potential for supply chain issues, or risks that may affect the operation of Council services or impact the Borough.  It was also noted that risks of cyber-attack may increase as a direct result of this crisis.</w:t>
      </w:r>
    </w:p>
    <w:p w14:paraId="461DBA04" w14:textId="77777777" w:rsidR="008A6E06" w:rsidRDefault="008A6E06" w:rsidP="008A6E06"/>
    <w:p w14:paraId="7D76067D" w14:textId="77777777" w:rsidR="008A6E06" w:rsidRDefault="008A6E06" w:rsidP="008A6E06">
      <w:r>
        <w:t>Despite the removal of Regulations, t</w:t>
      </w:r>
      <w:r w:rsidRPr="007C5AF1">
        <w:t xml:space="preserve">here </w:t>
      </w:r>
      <w:r>
        <w:t>we</w:t>
      </w:r>
      <w:r w:rsidRPr="007C5AF1">
        <w:t>re no substantive amendments to reflect the risks and responses to the COVID-19 pandemic (primarily reported under CR14, with substantial references in CR4 and CR6)</w:t>
      </w:r>
      <w:r>
        <w:t>.  A</w:t>
      </w:r>
      <w:r w:rsidRPr="007C5AF1">
        <w:t>s a health and organisational risk,</w:t>
      </w:r>
      <w:r>
        <w:t xml:space="preserve"> the Council must ensure that measures continued to reflect its obligations arising out of health and safety legislation and the need to maintain services.  Arrangements were kept under review to ensure account was taken of regional and local transmission rates in addition to the current guidance.  Whilst transmission rates continued to be high, and there had been significant infection numbers amongst Council staff, the measures had ensured that there had been little transmission within the workplace with low impacts on service provision.  Working from home arrangements had also allowed some staff to continue to work effectively.  </w:t>
      </w:r>
      <w:r w:rsidRPr="007C5AF1">
        <w:t>The responses to this risk ha</w:t>
      </w:r>
      <w:r>
        <w:t>d</w:t>
      </w:r>
      <w:r w:rsidRPr="007C5AF1">
        <w:t xml:space="preserve"> also resulted in some positive impacts with innovations and changes in working practices that c</w:t>
      </w:r>
      <w:r>
        <w:t>ould</w:t>
      </w:r>
      <w:r w:rsidRPr="007C5AF1">
        <w:t xml:space="preserve"> be considered for inclusion in “return to normal” plans.  </w:t>
      </w:r>
    </w:p>
    <w:p w14:paraId="33E3DDDA" w14:textId="77777777" w:rsidR="008A6E06" w:rsidRDefault="008A6E06" w:rsidP="008A6E06"/>
    <w:p w14:paraId="47C2B229" w14:textId="77777777" w:rsidR="008A6E06" w:rsidRDefault="008A6E06" w:rsidP="008A6E06">
      <w:pPr>
        <w:rPr>
          <w:b/>
        </w:rPr>
      </w:pPr>
      <w:r>
        <w:rPr>
          <w:b/>
        </w:rPr>
        <w:t>Updates within Version 18, March 2021:</w:t>
      </w:r>
    </w:p>
    <w:p w14:paraId="1339B10E" w14:textId="77777777" w:rsidR="008A6E06" w:rsidRDefault="008A6E06" w:rsidP="008A6E06">
      <w:pPr>
        <w:rPr>
          <w:b/>
        </w:rPr>
      </w:pPr>
    </w:p>
    <w:p w14:paraId="274A179E" w14:textId="77777777" w:rsidR="008A6E06" w:rsidRDefault="008A6E06" w:rsidP="008A6E06">
      <w:pPr>
        <w:ind w:left="1418" w:hanging="1418"/>
        <w:rPr>
          <w:bCs/>
        </w:rPr>
      </w:pPr>
      <w:r w:rsidRPr="00AE62B0">
        <w:rPr>
          <w:b/>
        </w:rPr>
        <w:t>CR1</w:t>
      </w:r>
      <w:r>
        <w:rPr>
          <w:b/>
        </w:rPr>
        <w:tab/>
      </w:r>
      <w:r>
        <w:rPr>
          <w:bCs/>
        </w:rPr>
        <w:t>Updated to reflect the recent review of the Community plan and the 10 priorities agreed by the strategic partnership, as well as the current progress on producing an Assessment of Wellbeing for the Borough and the appointment of a Data and Evidence Analyst.</w:t>
      </w:r>
    </w:p>
    <w:p w14:paraId="6078BE58" w14:textId="77777777" w:rsidR="008A6E06" w:rsidRDefault="008A6E06" w:rsidP="008A6E06">
      <w:pPr>
        <w:ind w:left="1418" w:hanging="1418"/>
        <w:rPr>
          <w:bCs/>
        </w:rPr>
      </w:pPr>
    </w:p>
    <w:p w14:paraId="132B2DC8" w14:textId="77777777" w:rsidR="008A6E06" w:rsidRPr="00AE62B0" w:rsidRDefault="008A6E06" w:rsidP="008A6E06">
      <w:pPr>
        <w:ind w:left="1418"/>
        <w:rPr>
          <w:bCs/>
        </w:rPr>
      </w:pPr>
      <w:r>
        <w:rPr>
          <w:bCs/>
        </w:rPr>
        <w:t xml:space="preserve">Further Actions reflect the ongoing work emanating from the current controls, including the intention to publish the Assessment of Wellbeing, revision and improvement of the Performance Scorecard, the creation of a reliable database, and development of a mechanism to report on whole population indicators to show progress made. </w:t>
      </w:r>
    </w:p>
    <w:p w14:paraId="7A881623" w14:textId="77777777" w:rsidR="008A6E06" w:rsidRDefault="008A6E06" w:rsidP="008A6E06">
      <w:pPr>
        <w:ind w:left="1418" w:hanging="1418"/>
        <w:rPr>
          <w:b/>
          <w:highlight w:val="yellow"/>
        </w:rPr>
      </w:pPr>
    </w:p>
    <w:p w14:paraId="51C63DAA" w14:textId="77777777" w:rsidR="008A6E06" w:rsidRDefault="008A6E06" w:rsidP="008A6E06">
      <w:pPr>
        <w:ind w:left="1418" w:hanging="1418"/>
        <w:rPr>
          <w:bCs/>
        </w:rPr>
      </w:pPr>
      <w:r w:rsidRPr="00AE7513">
        <w:rPr>
          <w:b/>
        </w:rPr>
        <w:t>CR2</w:t>
      </w:r>
      <w:r w:rsidRPr="00AE7513">
        <w:rPr>
          <w:b/>
        </w:rPr>
        <w:tab/>
      </w:r>
      <w:r w:rsidRPr="008D40FE">
        <w:rPr>
          <w:bCs/>
        </w:rPr>
        <w:t>The</w:t>
      </w:r>
      <w:r>
        <w:rPr>
          <w:b/>
        </w:rPr>
        <w:t xml:space="preserve"> </w:t>
      </w:r>
      <w:r w:rsidRPr="00AE7513">
        <w:rPr>
          <w:bCs/>
        </w:rPr>
        <w:t xml:space="preserve">AND </w:t>
      </w:r>
      <w:r>
        <w:rPr>
          <w:bCs/>
        </w:rPr>
        <w:t>U</w:t>
      </w:r>
      <w:r w:rsidRPr="00AE7513">
        <w:rPr>
          <w:bCs/>
        </w:rPr>
        <w:t xml:space="preserve">pdate </w:t>
      </w:r>
      <w:r>
        <w:rPr>
          <w:bCs/>
        </w:rPr>
        <w:t xml:space="preserve">publication is to </w:t>
      </w:r>
      <w:r w:rsidRPr="00AE7513">
        <w:rPr>
          <w:bCs/>
        </w:rPr>
        <w:t xml:space="preserve">be reintroduced in </w:t>
      </w:r>
      <w:r>
        <w:rPr>
          <w:bCs/>
        </w:rPr>
        <w:t>April</w:t>
      </w:r>
      <w:r w:rsidRPr="00AE7513">
        <w:rPr>
          <w:bCs/>
        </w:rPr>
        <w:t xml:space="preserve"> 2022. </w:t>
      </w:r>
      <w:r>
        <w:rPr>
          <w:bCs/>
        </w:rPr>
        <w:t>Focus groups are ongoing for the new Our People Plan, the coaching and mentoring programme has recommenced. In addition, Heads Together communication sessions have been facilitated for teams/services across Council to discuss hybrid working and how services will be provided in the future. The Customer Service Excellence working group is back in operation and officers are currently working on producing a new Customer Services Strategy for the Council.</w:t>
      </w:r>
    </w:p>
    <w:p w14:paraId="3D3893D3" w14:textId="77777777" w:rsidR="008A6E06" w:rsidRDefault="008A6E06" w:rsidP="008A6E06">
      <w:pPr>
        <w:ind w:left="1418" w:hanging="1418"/>
        <w:rPr>
          <w:b/>
        </w:rPr>
      </w:pPr>
    </w:p>
    <w:p w14:paraId="3E8BE32A" w14:textId="77777777" w:rsidR="008A6E06" w:rsidRDefault="008A6E06" w:rsidP="008A6E06">
      <w:pPr>
        <w:ind w:left="1418" w:hanging="1418"/>
        <w:rPr>
          <w:bCs/>
        </w:rPr>
      </w:pPr>
      <w:r>
        <w:rPr>
          <w:b/>
        </w:rPr>
        <w:t>CR3</w:t>
      </w:r>
      <w:r>
        <w:rPr>
          <w:b/>
        </w:rPr>
        <w:tab/>
      </w:r>
      <w:r w:rsidRPr="00664688">
        <w:rPr>
          <w:bCs/>
        </w:rPr>
        <w:t>Updated with further action to recruit additional qualified accountants to increase capacity and resilience within the finance section.</w:t>
      </w:r>
    </w:p>
    <w:p w14:paraId="06235173" w14:textId="77777777" w:rsidR="008A6E06" w:rsidRDefault="008A6E06" w:rsidP="008A6E06">
      <w:pPr>
        <w:ind w:left="1418" w:hanging="1418"/>
        <w:rPr>
          <w:bCs/>
        </w:rPr>
      </w:pPr>
      <w:r>
        <w:rPr>
          <w:b/>
        </w:rPr>
        <w:lastRenderedPageBreak/>
        <w:t>CR4</w:t>
      </w:r>
      <w:r>
        <w:rPr>
          <w:b/>
        </w:rPr>
        <w:tab/>
      </w:r>
      <w:r>
        <w:rPr>
          <w:bCs/>
        </w:rPr>
        <w:t>Current Controls have been updated to reflect that refresher training of Council’s emergency response plan was carried out with HOST/CLT in January 2022. In addition, a Safety Advisory Group has been established for the concert to take place in Ward Park, August 2022. Additional sandbag containers have been provided, they are now in place at Groomsport, Ballywalter, Portavogie and Portaferry in order to provide community support for flooding incidents.</w:t>
      </w:r>
    </w:p>
    <w:p w14:paraId="13F86300" w14:textId="77777777" w:rsidR="008A6E06" w:rsidRDefault="008A6E06" w:rsidP="008A6E06">
      <w:pPr>
        <w:ind w:left="1418" w:hanging="1418"/>
        <w:rPr>
          <w:bCs/>
        </w:rPr>
      </w:pPr>
    </w:p>
    <w:p w14:paraId="3AFAAFA5" w14:textId="77777777" w:rsidR="008A6E06" w:rsidRDefault="008A6E06" w:rsidP="008A6E06">
      <w:pPr>
        <w:ind w:left="1418" w:hanging="1418"/>
        <w:rPr>
          <w:bCs/>
        </w:rPr>
      </w:pPr>
      <w:r>
        <w:rPr>
          <w:bCs/>
        </w:rPr>
        <w:tab/>
        <w:t xml:space="preserve">Further actions have been updated to include monitoring of potential impacts of Russia’s invasion of Ukraine, including specifically supply chain issues and any other potential impacts, as well as giving effect to any actions deemed necessary to maintain services in light of any potential escalation of the crisis. An overarching Business Continuity Plan is in development and a roll out of Business Impact Analysis have begun. </w:t>
      </w:r>
    </w:p>
    <w:p w14:paraId="3E313312" w14:textId="77777777" w:rsidR="008A6E06" w:rsidRDefault="008A6E06" w:rsidP="008A6E06">
      <w:pPr>
        <w:ind w:left="1418"/>
        <w:rPr>
          <w:bCs/>
        </w:rPr>
      </w:pPr>
    </w:p>
    <w:p w14:paraId="0081031F" w14:textId="77777777" w:rsidR="008A6E06" w:rsidRDefault="008A6E06" w:rsidP="008A6E06">
      <w:pPr>
        <w:ind w:left="1418"/>
        <w:rPr>
          <w:bCs/>
        </w:rPr>
      </w:pPr>
      <w:r>
        <w:rPr>
          <w:bCs/>
        </w:rPr>
        <w:t xml:space="preserve">The Gross Risk has increased from 15 to 16 to bring it from medium to high risk, this is to demonstrate the potential high impact of a major incident if the current control measures were not in place. Whilst the Coronavirus pandemic remains to have potential for major impact the measures in place have resulted in a low impact and continuance of the provision of Council Services so that this risk would not be a significant (high) influencing factor in the Residual Risk at this time. The Residual Risk has, however, remained the same given that the Business Continuity piece has not been concluded and the potential risk of the Ukraine crisis cannot be accurately assessed at this time, but has the potential for significant impacts. </w:t>
      </w:r>
    </w:p>
    <w:p w14:paraId="70617DF9" w14:textId="77777777" w:rsidR="008A6E06" w:rsidRDefault="008A6E06" w:rsidP="008A6E06">
      <w:pPr>
        <w:ind w:left="1418"/>
        <w:rPr>
          <w:bCs/>
        </w:rPr>
      </w:pPr>
      <w:r>
        <w:rPr>
          <w:bCs/>
        </w:rPr>
        <w:t xml:space="preserve"> </w:t>
      </w:r>
    </w:p>
    <w:p w14:paraId="672A9EC2" w14:textId="77777777" w:rsidR="008A6E06" w:rsidRPr="007E276A" w:rsidRDefault="008A6E06" w:rsidP="008A6E06">
      <w:pPr>
        <w:ind w:left="1418" w:hanging="1418"/>
        <w:rPr>
          <w:bCs/>
        </w:rPr>
      </w:pPr>
      <w:r>
        <w:rPr>
          <w:b/>
        </w:rPr>
        <w:t>CR5</w:t>
      </w:r>
      <w:r>
        <w:rPr>
          <w:b/>
        </w:rPr>
        <w:tab/>
      </w:r>
      <w:r>
        <w:rPr>
          <w:bCs/>
        </w:rPr>
        <w:t>The Customer Service Excellence Strategy action plan is in place and regularly reviewed, under future actions this risk has been updated to include that the Customer Service Excellence Strategy is being created, the Events Panel is to be reintroduced and that customer service/complaints training will be included in new starters’ inductions.</w:t>
      </w:r>
    </w:p>
    <w:p w14:paraId="69197408" w14:textId="77777777" w:rsidR="008A6E06" w:rsidRDefault="008A6E06" w:rsidP="008A6E06">
      <w:pPr>
        <w:ind w:left="1418" w:hanging="1418"/>
        <w:rPr>
          <w:bCs/>
        </w:rPr>
      </w:pPr>
    </w:p>
    <w:p w14:paraId="108544E7" w14:textId="77777777" w:rsidR="008A6E06" w:rsidRDefault="008A6E06" w:rsidP="008A6E06">
      <w:pPr>
        <w:ind w:left="1418" w:hanging="1418"/>
        <w:rPr>
          <w:bCs/>
        </w:rPr>
      </w:pPr>
      <w:r>
        <w:rPr>
          <w:b/>
        </w:rPr>
        <w:t>CR6</w:t>
      </w:r>
      <w:r>
        <w:rPr>
          <w:b/>
        </w:rPr>
        <w:tab/>
      </w:r>
      <w:r>
        <w:rPr>
          <w:bCs/>
        </w:rPr>
        <w:t>This has been updated to state that Drugs and Alcohol at Work policy training has been provided to all employees and managers. The interim home working policy has been introduced, return to office arrangements will continue to be reviewed in light of the ongoing pandemic. Implementation of a new incident management software suite is ongoing.</w:t>
      </w:r>
    </w:p>
    <w:p w14:paraId="63B11E45" w14:textId="77777777" w:rsidR="008A6E06" w:rsidRDefault="008A6E06" w:rsidP="008A6E06">
      <w:pPr>
        <w:ind w:left="1418" w:hanging="1418"/>
        <w:rPr>
          <w:bCs/>
        </w:rPr>
      </w:pPr>
    </w:p>
    <w:p w14:paraId="1CE31A6E" w14:textId="77777777" w:rsidR="008A6E06" w:rsidRDefault="008A6E06" w:rsidP="008A6E06">
      <w:pPr>
        <w:ind w:left="1418" w:hanging="1418"/>
        <w:rPr>
          <w:bCs/>
        </w:rPr>
      </w:pPr>
      <w:r>
        <w:rPr>
          <w:b/>
        </w:rPr>
        <w:t>CR7</w:t>
      </w:r>
      <w:r>
        <w:rPr>
          <w:b/>
        </w:rPr>
        <w:tab/>
      </w:r>
      <w:r>
        <w:rPr>
          <w:bCs/>
        </w:rPr>
        <w:t>Several policies have been included for finalisation as future actions. In addition, a business case is to be developed in relation to consideration of introducing an Electronic data and records management system.</w:t>
      </w:r>
    </w:p>
    <w:p w14:paraId="4F79ADE0" w14:textId="77777777" w:rsidR="008A6E06" w:rsidRDefault="008A6E06" w:rsidP="008A6E06">
      <w:pPr>
        <w:ind w:left="1418" w:hanging="1418"/>
        <w:rPr>
          <w:bCs/>
        </w:rPr>
      </w:pPr>
    </w:p>
    <w:p w14:paraId="0A1041E5" w14:textId="77777777" w:rsidR="008A6E06" w:rsidRPr="009D075A" w:rsidRDefault="008A6E06" w:rsidP="008A6E06">
      <w:pPr>
        <w:ind w:left="1418" w:hanging="1418"/>
        <w:rPr>
          <w:bCs/>
        </w:rPr>
      </w:pPr>
      <w:r>
        <w:rPr>
          <w:b/>
        </w:rPr>
        <w:t>CR9</w:t>
      </w:r>
      <w:r>
        <w:rPr>
          <w:b/>
        </w:rPr>
        <w:tab/>
      </w:r>
      <w:r>
        <w:rPr>
          <w:bCs/>
        </w:rPr>
        <w:t>Under further actions for this risk an entry on reviewing the standard Council and committee report template to see if there is a possibility of providing greater clarity for members on any financial or other corporate risk implications of the matter discussed in the report.</w:t>
      </w:r>
    </w:p>
    <w:p w14:paraId="2CBCA7AA" w14:textId="77777777" w:rsidR="008A6E06" w:rsidRPr="007C5AF1" w:rsidRDefault="008A6E06" w:rsidP="008A6E06">
      <w:pPr>
        <w:ind w:left="1418" w:hanging="1418"/>
        <w:rPr>
          <w:b/>
        </w:rPr>
      </w:pPr>
    </w:p>
    <w:p w14:paraId="5C78E472" w14:textId="77777777" w:rsidR="008A6E06" w:rsidRDefault="008A6E06" w:rsidP="008A6E06">
      <w:pPr>
        <w:ind w:left="1418" w:hanging="1418"/>
        <w:rPr>
          <w:bCs/>
        </w:rPr>
      </w:pPr>
      <w:r>
        <w:rPr>
          <w:b/>
        </w:rPr>
        <w:lastRenderedPageBreak/>
        <w:t>CR13</w:t>
      </w:r>
      <w:r>
        <w:rPr>
          <w:b/>
        </w:rPr>
        <w:tab/>
      </w:r>
      <w:r>
        <w:rPr>
          <w:bCs/>
        </w:rPr>
        <w:t>This risk has been updated with a considerable list of further actions related to cyber security, including the need for a Cyber security action plan to be agreed, the need to review potential sources of risk across the organisation and the need to create “play books” to manage any incidents that do occur. With the implementation of agile working there will need to be an assessment and mitigation of risk associated with this specifically.</w:t>
      </w:r>
    </w:p>
    <w:p w14:paraId="24E0D264" w14:textId="77777777" w:rsidR="008A6E06" w:rsidRDefault="008A6E06" w:rsidP="008A6E06">
      <w:pPr>
        <w:ind w:left="1418" w:hanging="1418"/>
        <w:rPr>
          <w:bCs/>
        </w:rPr>
      </w:pPr>
    </w:p>
    <w:p w14:paraId="5FF40C29" w14:textId="77777777" w:rsidR="008A6E06" w:rsidRDefault="008A6E06" w:rsidP="008A6E06">
      <w:pPr>
        <w:ind w:left="1418" w:hanging="1418"/>
        <w:rPr>
          <w:bCs/>
        </w:rPr>
      </w:pPr>
      <w:r>
        <w:rPr>
          <w:b/>
        </w:rPr>
        <w:t>CR14</w:t>
      </w:r>
      <w:r>
        <w:rPr>
          <w:b/>
        </w:rPr>
        <w:tab/>
      </w:r>
      <w:r>
        <w:rPr>
          <w:bCs/>
        </w:rPr>
        <w:t>This risk has been updated to include the possibility of future pandemics, in addition under future actions an item has been added to assess and mitigate the risk associated with agile working, as for CR13. Under current controls references have been added to the Councils medium term financial strategy which is in place.</w:t>
      </w:r>
    </w:p>
    <w:p w14:paraId="308365D3" w14:textId="77777777" w:rsidR="008A6E06" w:rsidRDefault="008A6E06" w:rsidP="008A6E06">
      <w:pPr>
        <w:ind w:left="1418" w:hanging="1418"/>
        <w:rPr>
          <w:bCs/>
        </w:rPr>
      </w:pPr>
    </w:p>
    <w:p w14:paraId="3BE61CD4" w14:textId="77777777" w:rsidR="008A6E06" w:rsidRPr="00124DDD" w:rsidRDefault="008A6E06" w:rsidP="008A6E06">
      <w:pPr>
        <w:ind w:left="1418" w:hanging="1418"/>
        <w:rPr>
          <w:bCs/>
        </w:rPr>
      </w:pPr>
      <w:r>
        <w:rPr>
          <w:b/>
        </w:rPr>
        <w:t>CR15</w:t>
      </w:r>
      <w:r>
        <w:rPr>
          <w:b/>
        </w:rPr>
        <w:tab/>
      </w:r>
      <w:r>
        <w:rPr>
          <w:bCs/>
        </w:rPr>
        <w:t xml:space="preserve">As the Core2 system has now had the main payroll and HR elements launched successfully the residual risk has now a lower likelihood of failure of the system, as such the residual risk has dropped to 5, which puts it in the category of a risk that can be tolerated. Consideration will be given to removing CR15 from the register in the next review. </w:t>
      </w:r>
    </w:p>
    <w:p w14:paraId="68B33F47" w14:textId="77777777" w:rsidR="008A6E06" w:rsidRDefault="008A6E06" w:rsidP="008A6E06"/>
    <w:p w14:paraId="3F8F88CB" w14:textId="77777777" w:rsidR="008A6E06" w:rsidRDefault="008A6E06" w:rsidP="008A6E06">
      <w:r>
        <w:t>RECOMMENDED the amended Corporate Risk Register be noted.</w:t>
      </w:r>
    </w:p>
    <w:p w14:paraId="007FB335" w14:textId="77777777" w:rsidR="008A6E06" w:rsidRDefault="008A6E06" w:rsidP="008A6E06"/>
    <w:p w14:paraId="3E0ABB77" w14:textId="77777777" w:rsidR="008A6E06" w:rsidRDefault="008A6E06" w:rsidP="008A6E06">
      <w:r>
        <w:t>Councillor Douglas proposed, seconded by Councillor  P Smith, that the recommendation be adopted.</w:t>
      </w:r>
    </w:p>
    <w:p w14:paraId="3CC69B73" w14:textId="77777777" w:rsidR="008A6E06" w:rsidRDefault="008A6E06" w:rsidP="008A6E06"/>
    <w:p w14:paraId="2A465A34" w14:textId="77777777" w:rsidR="008A6E06" w:rsidRPr="00C53C41" w:rsidRDefault="008A6E06" w:rsidP="008A6E06">
      <w:pPr>
        <w:suppressAutoHyphens w:val="0"/>
        <w:autoSpaceDN/>
        <w:textAlignment w:val="auto"/>
        <w:rPr>
          <w:rFonts w:cs="Arial"/>
          <w:color w:val="000000"/>
          <w:lang w:eastAsia="en-GB"/>
        </w:rPr>
      </w:pPr>
      <w:r>
        <w:t xml:space="preserve">The proposer, Councillor Douglas, referred to </w:t>
      </w:r>
      <w:r>
        <w:rPr>
          <w:rFonts w:cs="Arial"/>
          <w:color w:val="000000" w:themeColor="text1"/>
          <w:lang w:eastAsia="en-GB"/>
        </w:rPr>
        <w:t>n</w:t>
      </w:r>
      <w:r w:rsidRPr="00C53C41">
        <w:rPr>
          <w:rFonts w:cs="Arial"/>
          <w:color w:val="000000" w:themeColor="text1"/>
          <w:lang w:eastAsia="en-GB"/>
        </w:rPr>
        <w:t xml:space="preserve">ew </w:t>
      </w:r>
      <w:r>
        <w:rPr>
          <w:rFonts w:cs="Arial"/>
          <w:color w:val="000000" w:themeColor="text1"/>
          <w:lang w:eastAsia="en-GB"/>
        </w:rPr>
        <w:t>r</w:t>
      </w:r>
      <w:r w:rsidRPr="00C53C41">
        <w:rPr>
          <w:rFonts w:cs="Arial"/>
          <w:color w:val="000000" w:themeColor="text1"/>
          <w:lang w:eastAsia="en-GB"/>
        </w:rPr>
        <w:t xml:space="preserve">egional emergency planning arrangements in place and </w:t>
      </w:r>
      <w:r>
        <w:rPr>
          <w:rFonts w:cs="Arial"/>
          <w:color w:val="000000" w:themeColor="text1"/>
          <w:lang w:eastAsia="en-GB"/>
        </w:rPr>
        <w:t>the need for l</w:t>
      </w:r>
      <w:r w:rsidRPr="00C53C41">
        <w:rPr>
          <w:rFonts w:cs="Arial"/>
          <w:color w:val="000000" w:themeColor="text1"/>
          <w:lang w:eastAsia="en-GB"/>
        </w:rPr>
        <w:t xml:space="preserve">obbying for appropriate legislation and clarity with regard to the role of Council in emergency response and recovery. </w:t>
      </w:r>
      <w:r>
        <w:rPr>
          <w:rFonts w:cs="Arial"/>
          <w:color w:val="000000" w:themeColor="text1"/>
          <w:lang w:eastAsia="en-GB"/>
        </w:rPr>
        <w:t xml:space="preserve">She asked what was in place in terms of managing refugees and suggested that consideration needed to be given to the creation of a central hub and outreach facilities. </w:t>
      </w:r>
    </w:p>
    <w:p w14:paraId="67FF450B" w14:textId="77777777" w:rsidR="008A6E06" w:rsidRDefault="008A6E06" w:rsidP="008A6E06">
      <w:pPr>
        <w:suppressAutoHyphens w:val="0"/>
        <w:autoSpaceDN/>
        <w:textAlignment w:val="auto"/>
        <w:rPr>
          <w:rFonts w:ascii="Symbol" w:hAnsi="Symbol" w:cs="Calibri"/>
          <w:color w:val="000000"/>
          <w:lang w:eastAsia="en-GB"/>
        </w:rPr>
      </w:pPr>
    </w:p>
    <w:p w14:paraId="4708B420" w14:textId="77777777" w:rsidR="008A6E06" w:rsidRDefault="008A6E06" w:rsidP="008A6E06">
      <w:pPr>
        <w:suppressAutoHyphens w:val="0"/>
        <w:autoSpaceDN/>
        <w:textAlignment w:val="auto"/>
        <w:rPr>
          <w:rFonts w:cs="Arial"/>
          <w:color w:val="000000"/>
          <w:lang w:eastAsia="en-GB"/>
        </w:rPr>
      </w:pPr>
      <w:r>
        <w:rPr>
          <w:rFonts w:cs="Arial"/>
          <w:color w:val="000000"/>
          <w:lang w:eastAsia="en-GB"/>
        </w:rPr>
        <w:t>The Director of Finance &amp; Performance suggested that issues such as this were not included in the Corporate Risk Register, risks which were perceived as potentially having a severe impact on the Council if they materialised were included. He suggested the issues raised by Councillor Douglas would therefore not form part of the Corporate Risk Register at this time.</w:t>
      </w:r>
    </w:p>
    <w:p w14:paraId="33F31681" w14:textId="77777777" w:rsidR="008A6E06" w:rsidRDefault="008A6E06" w:rsidP="008A6E06">
      <w:pPr>
        <w:suppressAutoHyphens w:val="0"/>
        <w:autoSpaceDN/>
        <w:textAlignment w:val="auto"/>
        <w:rPr>
          <w:rFonts w:cs="Arial"/>
          <w:color w:val="000000"/>
          <w:lang w:eastAsia="en-GB"/>
        </w:rPr>
      </w:pPr>
    </w:p>
    <w:p w14:paraId="0FB31567" w14:textId="77777777" w:rsidR="008A6E06" w:rsidRDefault="008A6E06" w:rsidP="008A6E06">
      <w:pPr>
        <w:suppressAutoHyphens w:val="0"/>
        <w:autoSpaceDN/>
        <w:textAlignment w:val="auto"/>
        <w:rPr>
          <w:rFonts w:cs="Arial"/>
          <w:color w:val="000000"/>
          <w:lang w:eastAsia="en-GB"/>
        </w:rPr>
      </w:pPr>
      <w:r>
        <w:rPr>
          <w:rFonts w:cs="Arial"/>
          <w:color w:val="000000"/>
          <w:lang w:eastAsia="en-GB"/>
        </w:rPr>
        <w:t>(Councillor Gilmour left the meeting at this stage – 8.19pm)</w:t>
      </w:r>
    </w:p>
    <w:p w14:paraId="6448CF48" w14:textId="77777777" w:rsidR="008A6E06" w:rsidRDefault="008A6E06" w:rsidP="008A6E06">
      <w:pPr>
        <w:suppressAutoHyphens w:val="0"/>
        <w:autoSpaceDN/>
        <w:textAlignment w:val="auto"/>
        <w:rPr>
          <w:rFonts w:cs="Arial"/>
          <w:color w:val="000000"/>
          <w:lang w:eastAsia="en-GB"/>
        </w:rPr>
      </w:pPr>
    </w:p>
    <w:p w14:paraId="5844E634" w14:textId="77777777" w:rsidR="008A6E06" w:rsidRDefault="008A6E06" w:rsidP="008A6E06">
      <w:pPr>
        <w:suppressAutoHyphens w:val="0"/>
        <w:autoSpaceDN/>
        <w:textAlignment w:val="auto"/>
        <w:rPr>
          <w:rFonts w:cs="Arial"/>
          <w:color w:val="000000"/>
          <w:lang w:eastAsia="en-GB"/>
        </w:rPr>
      </w:pPr>
      <w:r>
        <w:rPr>
          <w:rFonts w:cs="Arial"/>
          <w:color w:val="000000"/>
          <w:lang w:eastAsia="en-GB"/>
        </w:rPr>
        <w:t>Councillor Douglas referred to the situation with Afghan refugees which had resulted in a lot of negativity within her own District Electoral Area and subsequently had put the Council on a back footing on this matter. She indicated that she would be keen for this to be considered by the Council perhaps through the Community &amp; Wellbeing Committee.</w:t>
      </w:r>
    </w:p>
    <w:p w14:paraId="66404C0E" w14:textId="77777777" w:rsidR="008A6E06" w:rsidRDefault="008A6E06" w:rsidP="008A6E06">
      <w:pPr>
        <w:suppressAutoHyphens w:val="0"/>
        <w:autoSpaceDN/>
        <w:textAlignment w:val="auto"/>
        <w:rPr>
          <w:rFonts w:cs="Arial"/>
          <w:color w:val="000000"/>
          <w:lang w:eastAsia="en-GB"/>
        </w:rPr>
      </w:pPr>
    </w:p>
    <w:p w14:paraId="4BB295E5" w14:textId="77777777" w:rsidR="008A6E06" w:rsidRDefault="008A6E06" w:rsidP="008A6E06">
      <w:pPr>
        <w:suppressAutoHyphens w:val="0"/>
        <w:autoSpaceDN/>
        <w:textAlignment w:val="auto"/>
        <w:rPr>
          <w:rFonts w:cs="Arial"/>
          <w:color w:val="000000"/>
          <w:lang w:eastAsia="en-GB"/>
        </w:rPr>
      </w:pPr>
      <w:r>
        <w:rPr>
          <w:rFonts w:cs="Arial"/>
          <w:color w:val="000000"/>
          <w:lang w:eastAsia="en-GB"/>
        </w:rPr>
        <w:t>At this stage Mr McGonigal referred to Page 23 of the report which detailed CR13 Breach of Cyber Security and asked if the Council currently had in place insurance against cyber-attacks.</w:t>
      </w:r>
    </w:p>
    <w:p w14:paraId="1D2D3FBF" w14:textId="77777777" w:rsidR="008A6E06" w:rsidRDefault="008A6E06" w:rsidP="008A6E06">
      <w:pPr>
        <w:suppressAutoHyphens w:val="0"/>
        <w:autoSpaceDN/>
        <w:textAlignment w:val="auto"/>
        <w:rPr>
          <w:rFonts w:cs="Arial"/>
          <w:color w:val="000000"/>
          <w:lang w:eastAsia="en-GB"/>
        </w:rPr>
      </w:pPr>
    </w:p>
    <w:p w14:paraId="6BF335C9" w14:textId="77777777" w:rsidR="008A6E06" w:rsidRPr="00C53C41" w:rsidRDefault="008A6E06" w:rsidP="008A6E06">
      <w:pPr>
        <w:suppressAutoHyphens w:val="0"/>
        <w:autoSpaceDN/>
        <w:textAlignment w:val="auto"/>
        <w:rPr>
          <w:rFonts w:cs="Arial"/>
          <w:color w:val="000000"/>
          <w:lang w:eastAsia="en-GB"/>
        </w:rPr>
      </w:pPr>
      <w:r>
        <w:rPr>
          <w:rFonts w:cs="Arial"/>
          <w:color w:val="000000"/>
          <w:lang w:eastAsia="en-GB"/>
        </w:rPr>
        <w:lastRenderedPageBreak/>
        <w:t>In response the Director of Finance &amp;  Performance indicated that he believed the Council had no specific insurance against cyber-attacks.</w:t>
      </w:r>
    </w:p>
    <w:p w14:paraId="6C635115" w14:textId="77777777" w:rsidR="008A6E06" w:rsidRDefault="008A6E06" w:rsidP="008A6E06"/>
    <w:p w14:paraId="392A9694" w14:textId="77777777" w:rsidR="008A6E06" w:rsidRPr="001F1ECF" w:rsidRDefault="008A6E06" w:rsidP="008A6E06">
      <w:pPr>
        <w:rPr>
          <w:b/>
        </w:rPr>
      </w:pPr>
      <w:r>
        <w:rPr>
          <w:b/>
        </w:rPr>
        <w:t>AGREED TO RECOMMEND, on the proposal of Councillor Douglas, seconded by Councillor P Smith, that the recommendation be adopted.</w:t>
      </w:r>
    </w:p>
    <w:p w14:paraId="31DF80A9" w14:textId="77777777" w:rsidR="008A6E06" w:rsidRDefault="008A6E06" w:rsidP="008A6E06">
      <w:pPr>
        <w:rPr>
          <w:b/>
          <w:bCs/>
          <w:sz w:val="28"/>
          <w:szCs w:val="28"/>
        </w:rPr>
      </w:pPr>
    </w:p>
    <w:p w14:paraId="6657A584" w14:textId="77777777" w:rsidR="008A6E06" w:rsidRDefault="008A6E06" w:rsidP="002263EC">
      <w:pPr>
        <w:pStyle w:val="Heading1"/>
        <w:ind w:left="720" w:hanging="720"/>
      </w:pPr>
      <w:r w:rsidRPr="002263EC">
        <w:rPr>
          <w:u w:val="none"/>
        </w:rPr>
        <w:t>9.</w:t>
      </w:r>
      <w:r w:rsidRPr="002263EC">
        <w:rPr>
          <w:u w:val="none"/>
        </w:rPr>
        <w:tab/>
      </w:r>
      <w:r w:rsidRPr="001F1ECF">
        <w:t>Meeting Schedule and Work Plan 2022/23</w:t>
      </w:r>
      <w:r>
        <w:t xml:space="preserve"> (file aud02)</w:t>
      </w:r>
    </w:p>
    <w:p w14:paraId="4B7595CA" w14:textId="77777777" w:rsidR="008A6E06" w:rsidRDefault="008A6E06" w:rsidP="008A6E06">
      <w:pPr>
        <w:rPr>
          <w:rFonts w:ascii="Arial Bold" w:hAnsi="Arial Bold" w:cs="Arial"/>
          <w:b/>
          <w:bCs/>
          <w:caps/>
          <w:sz w:val="28"/>
          <w:szCs w:val="28"/>
          <w:u w:val="single"/>
        </w:rPr>
      </w:pPr>
    </w:p>
    <w:p w14:paraId="7900423E" w14:textId="77777777" w:rsidR="008A6E06" w:rsidRDefault="008A6E06" w:rsidP="008A6E06">
      <w:r>
        <w:t>PREVIOUSLY CIRCULATED:- Report from the Director of Finance &amp; Performance stating that in order to assist the Committee with its oversight responsibilities a suggested meeting schedule and work plan had been prepared.</w:t>
      </w:r>
    </w:p>
    <w:p w14:paraId="19FA38E4" w14:textId="77777777" w:rsidR="008A6E06" w:rsidRDefault="008A6E06" w:rsidP="008A6E06"/>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077"/>
        <w:gridCol w:w="5245"/>
      </w:tblGrid>
      <w:tr w:rsidR="008A6E06" w:rsidRPr="00A67E6A" w14:paraId="203CCD17" w14:textId="77777777" w:rsidTr="00C553B3">
        <w:trPr>
          <w:tblHeader/>
        </w:trPr>
        <w:tc>
          <w:tcPr>
            <w:tcW w:w="4077" w:type="dxa"/>
            <w:shd w:val="clear" w:color="auto" w:fill="BFBFBF" w:themeFill="background1" w:themeFillShade="BF"/>
          </w:tcPr>
          <w:p w14:paraId="2F6539C0" w14:textId="77777777" w:rsidR="008A6E06" w:rsidRPr="00A67E6A" w:rsidRDefault="008A6E06" w:rsidP="00C553B3">
            <w:pPr>
              <w:spacing w:line="360" w:lineRule="auto"/>
              <w:rPr>
                <w:rFonts w:cs="Arial"/>
                <w:b/>
              </w:rPr>
            </w:pPr>
            <w:r w:rsidRPr="00A67E6A">
              <w:rPr>
                <w:rFonts w:cs="Arial"/>
                <w:b/>
              </w:rPr>
              <w:t>Meeting Date</w:t>
            </w:r>
          </w:p>
        </w:tc>
        <w:tc>
          <w:tcPr>
            <w:tcW w:w="5245" w:type="dxa"/>
            <w:shd w:val="clear" w:color="auto" w:fill="BFBFBF" w:themeFill="background1" w:themeFillShade="BF"/>
          </w:tcPr>
          <w:p w14:paraId="59655A0F" w14:textId="77777777" w:rsidR="008A6E06" w:rsidRPr="00A67E6A" w:rsidRDefault="008A6E06" w:rsidP="00C553B3">
            <w:pPr>
              <w:spacing w:line="360" w:lineRule="auto"/>
              <w:rPr>
                <w:rFonts w:cs="Arial"/>
                <w:b/>
              </w:rPr>
            </w:pPr>
            <w:r w:rsidRPr="00A67E6A">
              <w:rPr>
                <w:rFonts w:cs="Arial"/>
                <w:b/>
              </w:rPr>
              <w:t>Agenda Items</w:t>
            </w:r>
          </w:p>
        </w:tc>
      </w:tr>
      <w:tr w:rsidR="008A6E06" w:rsidRPr="00A67E6A" w14:paraId="4A20E6A1" w14:textId="77777777" w:rsidTr="00C553B3">
        <w:tc>
          <w:tcPr>
            <w:tcW w:w="4077" w:type="dxa"/>
          </w:tcPr>
          <w:p w14:paraId="5794A473" w14:textId="77777777" w:rsidR="008A6E06" w:rsidRPr="00A67E6A" w:rsidRDefault="008A6E06" w:rsidP="00C553B3">
            <w:pPr>
              <w:rPr>
                <w:rFonts w:cs="Arial"/>
              </w:rPr>
            </w:pPr>
            <w:r w:rsidRPr="00A67E6A">
              <w:rPr>
                <w:rFonts w:cs="Arial"/>
              </w:rPr>
              <w:t>2</w:t>
            </w:r>
            <w:r>
              <w:rPr>
                <w:rFonts w:cs="Arial"/>
              </w:rPr>
              <w:t>7</w:t>
            </w:r>
            <w:r w:rsidRPr="00A67E6A">
              <w:rPr>
                <w:rFonts w:cs="Arial"/>
              </w:rPr>
              <w:t xml:space="preserve"> June 20</w:t>
            </w:r>
            <w:r>
              <w:rPr>
                <w:rFonts w:cs="Arial"/>
              </w:rPr>
              <w:t>22</w:t>
            </w:r>
          </w:p>
        </w:tc>
        <w:tc>
          <w:tcPr>
            <w:tcW w:w="5245" w:type="dxa"/>
          </w:tcPr>
          <w:p w14:paraId="7C75B959" w14:textId="77777777" w:rsidR="008A6E06" w:rsidRDefault="008A6E06" w:rsidP="008A6E06">
            <w:pPr>
              <w:numPr>
                <w:ilvl w:val="0"/>
                <w:numId w:val="4"/>
              </w:numPr>
              <w:suppressAutoHyphens w:val="0"/>
              <w:autoSpaceDN/>
              <w:ind w:left="459"/>
              <w:textAlignment w:val="auto"/>
              <w:rPr>
                <w:rFonts w:cs="Arial"/>
              </w:rPr>
            </w:pPr>
            <w:r w:rsidRPr="00A67E6A">
              <w:rPr>
                <w:rFonts w:cs="Arial"/>
              </w:rPr>
              <w:t xml:space="preserve">Draft </w:t>
            </w:r>
            <w:r>
              <w:rPr>
                <w:rFonts w:cs="Arial"/>
              </w:rPr>
              <w:t>Financial Statements Review</w:t>
            </w:r>
          </w:p>
          <w:p w14:paraId="4B5488E9" w14:textId="77777777" w:rsidR="008A6E06" w:rsidRPr="00A67E6A" w:rsidRDefault="008A6E06" w:rsidP="008A6E06">
            <w:pPr>
              <w:numPr>
                <w:ilvl w:val="0"/>
                <w:numId w:val="4"/>
              </w:numPr>
              <w:suppressAutoHyphens w:val="0"/>
              <w:autoSpaceDN/>
              <w:ind w:left="459"/>
              <w:textAlignment w:val="auto"/>
              <w:rPr>
                <w:rFonts w:cs="Arial"/>
              </w:rPr>
            </w:pPr>
            <w:r w:rsidRPr="00A67E6A">
              <w:rPr>
                <w:rFonts w:cs="Arial"/>
              </w:rPr>
              <w:t>Governance Statement Review</w:t>
            </w:r>
          </w:p>
          <w:p w14:paraId="05153CF9" w14:textId="77777777" w:rsidR="008A6E06" w:rsidRPr="00A67E6A" w:rsidRDefault="008A6E06" w:rsidP="008A6E06">
            <w:pPr>
              <w:numPr>
                <w:ilvl w:val="0"/>
                <w:numId w:val="4"/>
              </w:numPr>
              <w:suppressAutoHyphens w:val="0"/>
              <w:autoSpaceDN/>
              <w:ind w:left="459"/>
              <w:textAlignment w:val="auto"/>
              <w:rPr>
                <w:rFonts w:cs="Arial"/>
              </w:rPr>
            </w:pPr>
            <w:r w:rsidRPr="00A67E6A">
              <w:rPr>
                <w:rFonts w:cs="Arial"/>
              </w:rPr>
              <w:t>Statements of Assurance Update</w:t>
            </w:r>
          </w:p>
          <w:p w14:paraId="1AD0C645" w14:textId="77777777" w:rsidR="008A6E06" w:rsidRDefault="008A6E06" w:rsidP="008A6E06">
            <w:pPr>
              <w:numPr>
                <w:ilvl w:val="0"/>
                <w:numId w:val="4"/>
              </w:numPr>
              <w:suppressAutoHyphens w:val="0"/>
              <w:autoSpaceDN/>
              <w:ind w:left="459"/>
              <w:textAlignment w:val="auto"/>
              <w:rPr>
                <w:rFonts w:cs="Arial"/>
              </w:rPr>
            </w:pPr>
            <w:r w:rsidRPr="00A67E6A">
              <w:rPr>
                <w:rFonts w:cs="Arial"/>
              </w:rPr>
              <w:t>Review of Terms of Reference</w:t>
            </w:r>
          </w:p>
          <w:p w14:paraId="5653062E" w14:textId="77777777" w:rsidR="008A6E06" w:rsidRPr="00823B68" w:rsidRDefault="008A6E06" w:rsidP="00C553B3">
            <w:pPr>
              <w:ind w:left="459"/>
              <w:rPr>
                <w:rFonts w:cs="Arial"/>
                <w:sz w:val="12"/>
              </w:rPr>
            </w:pPr>
          </w:p>
        </w:tc>
      </w:tr>
      <w:tr w:rsidR="008A6E06" w:rsidRPr="00A67E6A" w14:paraId="568E69C9" w14:textId="77777777" w:rsidTr="00C553B3">
        <w:tc>
          <w:tcPr>
            <w:tcW w:w="4077" w:type="dxa"/>
          </w:tcPr>
          <w:p w14:paraId="6B3C991C" w14:textId="77777777" w:rsidR="008A6E06" w:rsidRPr="00A67E6A" w:rsidRDefault="008A6E06" w:rsidP="00C553B3">
            <w:pPr>
              <w:rPr>
                <w:rFonts w:cs="Arial"/>
              </w:rPr>
            </w:pPr>
            <w:r>
              <w:rPr>
                <w:rFonts w:cs="Arial"/>
              </w:rPr>
              <w:t>19</w:t>
            </w:r>
            <w:r w:rsidRPr="00A67E6A">
              <w:rPr>
                <w:rFonts w:cs="Arial"/>
              </w:rPr>
              <w:t xml:space="preserve"> September 20</w:t>
            </w:r>
            <w:r>
              <w:rPr>
                <w:rFonts w:cs="Arial"/>
              </w:rPr>
              <w:t>22</w:t>
            </w:r>
          </w:p>
        </w:tc>
        <w:tc>
          <w:tcPr>
            <w:tcW w:w="5245" w:type="dxa"/>
          </w:tcPr>
          <w:p w14:paraId="0ECAB339" w14:textId="77777777" w:rsidR="008A6E06" w:rsidRPr="00A67E6A" w:rsidRDefault="008A6E06" w:rsidP="008A6E06">
            <w:pPr>
              <w:numPr>
                <w:ilvl w:val="0"/>
                <w:numId w:val="4"/>
              </w:numPr>
              <w:suppressAutoHyphens w:val="0"/>
              <w:autoSpaceDN/>
              <w:ind w:left="459"/>
              <w:textAlignment w:val="auto"/>
              <w:rPr>
                <w:rFonts w:cs="Arial"/>
              </w:rPr>
            </w:pPr>
            <w:r w:rsidRPr="00A67E6A">
              <w:rPr>
                <w:rFonts w:cs="Arial"/>
              </w:rPr>
              <w:t xml:space="preserve">Audited </w:t>
            </w:r>
            <w:r>
              <w:rPr>
                <w:rFonts w:cs="Arial"/>
              </w:rPr>
              <w:t>Financial Statements</w:t>
            </w:r>
            <w:r w:rsidRPr="00A67E6A">
              <w:rPr>
                <w:rFonts w:cs="Arial"/>
              </w:rPr>
              <w:t xml:space="preserve"> Approval</w:t>
            </w:r>
          </w:p>
          <w:p w14:paraId="114A427D" w14:textId="77777777" w:rsidR="008A6E06" w:rsidRDefault="008A6E06" w:rsidP="008A6E06">
            <w:pPr>
              <w:numPr>
                <w:ilvl w:val="0"/>
                <w:numId w:val="4"/>
              </w:numPr>
              <w:suppressAutoHyphens w:val="0"/>
              <w:autoSpaceDN/>
              <w:ind w:left="459"/>
              <w:textAlignment w:val="auto"/>
              <w:rPr>
                <w:rFonts w:cs="Arial"/>
              </w:rPr>
            </w:pPr>
            <w:r w:rsidRPr="00A67E6A">
              <w:rPr>
                <w:rFonts w:cs="Arial"/>
              </w:rPr>
              <w:t>Draft Report to those charged with Governance</w:t>
            </w:r>
          </w:p>
          <w:p w14:paraId="68E57266" w14:textId="77777777" w:rsidR="008A6E06" w:rsidRDefault="008A6E06" w:rsidP="008A6E06">
            <w:pPr>
              <w:numPr>
                <w:ilvl w:val="0"/>
                <w:numId w:val="4"/>
              </w:numPr>
              <w:suppressAutoHyphens w:val="0"/>
              <w:autoSpaceDN/>
              <w:ind w:left="459"/>
              <w:textAlignment w:val="auto"/>
              <w:rPr>
                <w:rFonts w:cs="Arial"/>
              </w:rPr>
            </w:pPr>
            <w:r>
              <w:rPr>
                <w:rFonts w:cs="Arial"/>
              </w:rPr>
              <w:t>Corporate Risk Register Review</w:t>
            </w:r>
          </w:p>
          <w:p w14:paraId="4562ADB6" w14:textId="77777777" w:rsidR="008A6E06" w:rsidRPr="00A67E6A" w:rsidRDefault="008A6E06" w:rsidP="008A6E06">
            <w:pPr>
              <w:numPr>
                <w:ilvl w:val="0"/>
                <w:numId w:val="4"/>
              </w:numPr>
              <w:suppressAutoHyphens w:val="0"/>
              <w:autoSpaceDN/>
              <w:ind w:left="459"/>
              <w:textAlignment w:val="auto"/>
              <w:rPr>
                <w:rFonts w:cs="Arial"/>
              </w:rPr>
            </w:pPr>
            <w:r>
              <w:rPr>
                <w:rFonts w:cs="Arial"/>
              </w:rPr>
              <w:t>Internal Audit Contract Tender</w:t>
            </w:r>
          </w:p>
          <w:p w14:paraId="75AF0637" w14:textId="77777777" w:rsidR="008A6E06" w:rsidRPr="00823B68" w:rsidRDefault="008A6E06" w:rsidP="00C553B3">
            <w:pPr>
              <w:ind w:left="459"/>
              <w:rPr>
                <w:rFonts w:cs="Arial"/>
                <w:sz w:val="12"/>
                <w:szCs w:val="16"/>
              </w:rPr>
            </w:pPr>
          </w:p>
        </w:tc>
      </w:tr>
      <w:tr w:rsidR="008A6E06" w:rsidRPr="00A67E6A" w14:paraId="15AE6961" w14:textId="77777777" w:rsidTr="00C553B3">
        <w:tc>
          <w:tcPr>
            <w:tcW w:w="4077" w:type="dxa"/>
          </w:tcPr>
          <w:p w14:paraId="307D1CF6" w14:textId="77777777" w:rsidR="008A6E06" w:rsidRPr="00A67E6A" w:rsidRDefault="008A6E06" w:rsidP="00C553B3">
            <w:pPr>
              <w:rPr>
                <w:rFonts w:cs="Arial"/>
              </w:rPr>
            </w:pPr>
            <w:r w:rsidRPr="00F57ED1">
              <w:rPr>
                <w:rFonts w:cs="Arial"/>
              </w:rPr>
              <w:t>1</w:t>
            </w:r>
            <w:r>
              <w:rPr>
                <w:rFonts w:cs="Arial"/>
              </w:rPr>
              <w:t>2</w:t>
            </w:r>
            <w:r w:rsidRPr="00F57ED1">
              <w:rPr>
                <w:rFonts w:cs="Arial"/>
              </w:rPr>
              <w:t xml:space="preserve"> December 202</w:t>
            </w:r>
            <w:r>
              <w:rPr>
                <w:rFonts w:cs="Arial"/>
              </w:rPr>
              <w:t>2</w:t>
            </w:r>
          </w:p>
        </w:tc>
        <w:tc>
          <w:tcPr>
            <w:tcW w:w="5245" w:type="dxa"/>
          </w:tcPr>
          <w:p w14:paraId="4ACCD425" w14:textId="77777777" w:rsidR="008A6E06" w:rsidRPr="00A67E6A" w:rsidRDefault="008A6E06" w:rsidP="008A6E06">
            <w:pPr>
              <w:numPr>
                <w:ilvl w:val="0"/>
                <w:numId w:val="4"/>
              </w:numPr>
              <w:suppressAutoHyphens w:val="0"/>
              <w:autoSpaceDN/>
              <w:ind w:left="459"/>
              <w:textAlignment w:val="auto"/>
              <w:rPr>
                <w:rFonts w:cs="Arial"/>
              </w:rPr>
            </w:pPr>
            <w:r w:rsidRPr="00A67E6A">
              <w:rPr>
                <w:rFonts w:cs="Arial"/>
              </w:rPr>
              <w:t>Final Report to Those charged with Governance</w:t>
            </w:r>
          </w:p>
          <w:p w14:paraId="2EF373EC" w14:textId="77777777" w:rsidR="008A6E06" w:rsidRPr="00A67E6A" w:rsidRDefault="008A6E06" w:rsidP="008A6E06">
            <w:pPr>
              <w:numPr>
                <w:ilvl w:val="0"/>
                <w:numId w:val="4"/>
              </w:numPr>
              <w:suppressAutoHyphens w:val="0"/>
              <w:autoSpaceDN/>
              <w:ind w:left="459"/>
              <w:textAlignment w:val="auto"/>
              <w:rPr>
                <w:rFonts w:cs="Arial"/>
              </w:rPr>
            </w:pPr>
            <w:r w:rsidRPr="00A67E6A">
              <w:rPr>
                <w:rFonts w:cs="Arial"/>
              </w:rPr>
              <w:t>Final Audit Letter</w:t>
            </w:r>
          </w:p>
          <w:p w14:paraId="4CB2EE77" w14:textId="77777777" w:rsidR="008A6E06" w:rsidRPr="00A67E6A" w:rsidRDefault="008A6E06" w:rsidP="008A6E06">
            <w:pPr>
              <w:numPr>
                <w:ilvl w:val="0"/>
                <w:numId w:val="4"/>
              </w:numPr>
              <w:suppressAutoHyphens w:val="0"/>
              <w:autoSpaceDN/>
              <w:ind w:left="459"/>
              <w:textAlignment w:val="auto"/>
              <w:rPr>
                <w:rFonts w:cs="Arial"/>
              </w:rPr>
            </w:pPr>
            <w:r w:rsidRPr="00530904">
              <w:rPr>
                <w:rFonts w:cs="Arial"/>
              </w:rPr>
              <w:t xml:space="preserve">Improvement Audit and Assessment </w:t>
            </w:r>
            <w:r w:rsidRPr="00A67E6A">
              <w:rPr>
                <w:rFonts w:cs="Arial"/>
              </w:rPr>
              <w:t>Report</w:t>
            </w:r>
            <w:r>
              <w:rPr>
                <w:rFonts w:cs="Arial"/>
              </w:rPr>
              <w:t>s</w:t>
            </w:r>
          </w:p>
          <w:p w14:paraId="07731AE2" w14:textId="77777777" w:rsidR="008A6E06" w:rsidRDefault="008A6E06" w:rsidP="008A6E06">
            <w:pPr>
              <w:numPr>
                <w:ilvl w:val="0"/>
                <w:numId w:val="4"/>
              </w:numPr>
              <w:suppressAutoHyphens w:val="0"/>
              <w:autoSpaceDN/>
              <w:ind w:left="459"/>
              <w:textAlignment w:val="auto"/>
              <w:rPr>
                <w:rFonts w:cs="Arial"/>
              </w:rPr>
            </w:pPr>
            <w:r>
              <w:rPr>
                <w:rFonts w:cs="Arial"/>
              </w:rPr>
              <w:t xml:space="preserve">Interim </w:t>
            </w:r>
            <w:r w:rsidRPr="00A67E6A">
              <w:rPr>
                <w:rFonts w:cs="Arial"/>
              </w:rPr>
              <w:t>Statements of Assurance Update</w:t>
            </w:r>
          </w:p>
          <w:p w14:paraId="65DB06CC" w14:textId="77777777" w:rsidR="008A6E06" w:rsidRDefault="008A6E06" w:rsidP="008A6E06">
            <w:pPr>
              <w:numPr>
                <w:ilvl w:val="0"/>
                <w:numId w:val="4"/>
              </w:numPr>
              <w:suppressAutoHyphens w:val="0"/>
              <w:autoSpaceDN/>
              <w:ind w:left="459"/>
              <w:textAlignment w:val="auto"/>
              <w:rPr>
                <w:rFonts w:cs="Arial"/>
              </w:rPr>
            </w:pPr>
            <w:r>
              <w:rPr>
                <w:rFonts w:cs="Arial"/>
              </w:rPr>
              <w:t>Internal Audit Contract Tender</w:t>
            </w:r>
          </w:p>
          <w:p w14:paraId="1EA0B0E1" w14:textId="77777777" w:rsidR="008A6E06" w:rsidRPr="00823B68" w:rsidRDefault="008A6E06" w:rsidP="00C553B3">
            <w:pPr>
              <w:ind w:left="459"/>
              <w:rPr>
                <w:rFonts w:cs="Arial"/>
                <w:sz w:val="12"/>
              </w:rPr>
            </w:pPr>
          </w:p>
        </w:tc>
      </w:tr>
      <w:tr w:rsidR="008A6E06" w:rsidRPr="00A67E6A" w14:paraId="44764C62" w14:textId="77777777" w:rsidTr="00C553B3">
        <w:tc>
          <w:tcPr>
            <w:tcW w:w="4077" w:type="dxa"/>
          </w:tcPr>
          <w:p w14:paraId="5F0D6635" w14:textId="77777777" w:rsidR="008A6E06" w:rsidRPr="00A67E6A" w:rsidRDefault="008A6E06" w:rsidP="00C553B3">
            <w:pPr>
              <w:rPr>
                <w:rFonts w:cs="Arial"/>
              </w:rPr>
            </w:pPr>
            <w:r>
              <w:rPr>
                <w:rFonts w:cs="Arial"/>
              </w:rPr>
              <w:t>20</w:t>
            </w:r>
            <w:r w:rsidRPr="00A67E6A">
              <w:rPr>
                <w:rFonts w:cs="Arial"/>
              </w:rPr>
              <w:t xml:space="preserve"> March 20</w:t>
            </w:r>
            <w:r>
              <w:rPr>
                <w:rFonts w:cs="Arial"/>
              </w:rPr>
              <w:t>23</w:t>
            </w:r>
          </w:p>
        </w:tc>
        <w:tc>
          <w:tcPr>
            <w:tcW w:w="5245" w:type="dxa"/>
          </w:tcPr>
          <w:p w14:paraId="2016F365" w14:textId="77777777" w:rsidR="008A6E06" w:rsidRPr="00A67E6A" w:rsidRDefault="008A6E06" w:rsidP="008A6E06">
            <w:pPr>
              <w:numPr>
                <w:ilvl w:val="0"/>
                <w:numId w:val="4"/>
              </w:numPr>
              <w:suppressAutoHyphens w:val="0"/>
              <w:autoSpaceDN/>
              <w:ind w:left="459"/>
              <w:textAlignment w:val="auto"/>
              <w:rPr>
                <w:rFonts w:cs="Arial"/>
              </w:rPr>
            </w:pPr>
            <w:r w:rsidRPr="00A67E6A">
              <w:rPr>
                <w:rFonts w:cs="Arial"/>
              </w:rPr>
              <w:t>Annual Internal Audit Report</w:t>
            </w:r>
          </w:p>
          <w:p w14:paraId="2B843200" w14:textId="77777777" w:rsidR="008A6E06" w:rsidRDefault="008A6E06" w:rsidP="008A6E06">
            <w:pPr>
              <w:numPr>
                <w:ilvl w:val="0"/>
                <w:numId w:val="4"/>
              </w:numPr>
              <w:suppressAutoHyphens w:val="0"/>
              <w:autoSpaceDN/>
              <w:ind w:left="459"/>
              <w:textAlignment w:val="auto"/>
              <w:rPr>
                <w:rFonts w:cs="Arial"/>
              </w:rPr>
            </w:pPr>
            <w:r w:rsidRPr="00A67E6A">
              <w:rPr>
                <w:rFonts w:cs="Arial"/>
              </w:rPr>
              <w:t>Draft Internal Audit Plan for 20</w:t>
            </w:r>
            <w:r>
              <w:rPr>
                <w:rFonts w:cs="Arial"/>
              </w:rPr>
              <w:t>23</w:t>
            </w:r>
            <w:r w:rsidRPr="00A67E6A">
              <w:rPr>
                <w:rFonts w:cs="Arial"/>
              </w:rPr>
              <w:t>/</w:t>
            </w:r>
            <w:r>
              <w:rPr>
                <w:rFonts w:cs="Arial"/>
              </w:rPr>
              <w:t>24</w:t>
            </w:r>
          </w:p>
          <w:p w14:paraId="097EE858" w14:textId="77777777" w:rsidR="008A6E06" w:rsidRPr="00A67E6A" w:rsidRDefault="008A6E06" w:rsidP="008A6E06">
            <w:pPr>
              <w:numPr>
                <w:ilvl w:val="0"/>
                <w:numId w:val="4"/>
              </w:numPr>
              <w:suppressAutoHyphens w:val="0"/>
              <w:autoSpaceDN/>
              <w:ind w:left="459"/>
              <w:textAlignment w:val="auto"/>
              <w:rPr>
                <w:rFonts w:cs="Arial"/>
              </w:rPr>
            </w:pPr>
            <w:r>
              <w:rPr>
                <w:rFonts w:cs="Arial"/>
              </w:rPr>
              <w:t>Review of Corporate Risk Register</w:t>
            </w:r>
          </w:p>
          <w:p w14:paraId="64A4303D" w14:textId="77777777" w:rsidR="008A6E06" w:rsidRDefault="008A6E06" w:rsidP="008A6E06">
            <w:pPr>
              <w:numPr>
                <w:ilvl w:val="0"/>
                <w:numId w:val="4"/>
              </w:numPr>
              <w:suppressAutoHyphens w:val="0"/>
              <w:autoSpaceDN/>
              <w:ind w:left="459"/>
              <w:textAlignment w:val="auto"/>
              <w:rPr>
                <w:rFonts w:cs="Arial"/>
              </w:rPr>
            </w:pPr>
            <w:r w:rsidRPr="00A67E6A">
              <w:rPr>
                <w:rFonts w:cs="Arial"/>
              </w:rPr>
              <w:t xml:space="preserve">Meeting </w:t>
            </w:r>
            <w:r>
              <w:rPr>
                <w:rFonts w:cs="Arial"/>
              </w:rPr>
              <w:t>Schedule</w:t>
            </w:r>
            <w:r w:rsidRPr="00A67E6A">
              <w:rPr>
                <w:rFonts w:cs="Arial"/>
              </w:rPr>
              <w:t xml:space="preserve"> and work plan 20</w:t>
            </w:r>
            <w:r>
              <w:rPr>
                <w:rFonts w:cs="Arial"/>
              </w:rPr>
              <w:t>23</w:t>
            </w:r>
            <w:r w:rsidRPr="00A67E6A">
              <w:rPr>
                <w:rFonts w:cs="Arial"/>
              </w:rPr>
              <w:t>/</w:t>
            </w:r>
            <w:r>
              <w:rPr>
                <w:rFonts w:cs="Arial"/>
              </w:rPr>
              <w:t>24</w:t>
            </w:r>
          </w:p>
          <w:p w14:paraId="09DB7DD0" w14:textId="77777777" w:rsidR="008A6E06" w:rsidRPr="00823B68" w:rsidRDefault="008A6E06" w:rsidP="00C553B3">
            <w:pPr>
              <w:ind w:left="459"/>
              <w:rPr>
                <w:rFonts w:cs="Arial"/>
                <w:sz w:val="12"/>
              </w:rPr>
            </w:pPr>
          </w:p>
        </w:tc>
      </w:tr>
    </w:tbl>
    <w:p w14:paraId="095D31CF" w14:textId="77777777" w:rsidR="008A6E06" w:rsidRDefault="008A6E06" w:rsidP="008A6E06"/>
    <w:p w14:paraId="574C7C62" w14:textId="77777777" w:rsidR="008A6E06" w:rsidRDefault="008A6E06" w:rsidP="008A6E06">
      <w:pPr>
        <w:spacing w:line="360" w:lineRule="auto"/>
      </w:pPr>
      <w:r>
        <w:t>In addition there were standing items on the agenda:</w:t>
      </w:r>
    </w:p>
    <w:p w14:paraId="2C4C9F8F" w14:textId="77777777" w:rsidR="008A6E06" w:rsidRDefault="008A6E06" w:rsidP="008A6E06">
      <w:pPr>
        <w:numPr>
          <w:ilvl w:val="0"/>
          <w:numId w:val="3"/>
        </w:numPr>
        <w:suppressAutoHyphens w:val="0"/>
        <w:autoSpaceDN/>
        <w:textAlignment w:val="auto"/>
      </w:pPr>
      <w:r>
        <w:t>Declarations of Interest</w:t>
      </w:r>
    </w:p>
    <w:p w14:paraId="1291F044" w14:textId="77777777" w:rsidR="008A6E06" w:rsidRDefault="008A6E06" w:rsidP="008A6E06">
      <w:pPr>
        <w:numPr>
          <w:ilvl w:val="0"/>
          <w:numId w:val="3"/>
        </w:numPr>
        <w:suppressAutoHyphens w:val="0"/>
        <w:autoSpaceDN/>
        <w:textAlignment w:val="auto"/>
      </w:pPr>
      <w:r>
        <w:t>Follow-up actions from previous committee meetings</w:t>
      </w:r>
    </w:p>
    <w:p w14:paraId="03BB26D7" w14:textId="77777777" w:rsidR="008A6E06" w:rsidRDefault="008A6E06" w:rsidP="008A6E06">
      <w:pPr>
        <w:numPr>
          <w:ilvl w:val="0"/>
          <w:numId w:val="3"/>
        </w:numPr>
        <w:suppressAutoHyphens w:val="0"/>
        <w:autoSpaceDN/>
        <w:textAlignment w:val="auto"/>
      </w:pPr>
      <w:r>
        <w:t xml:space="preserve">Outstanding Audit </w:t>
      </w:r>
      <w:r w:rsidRPr="00164EAE">
        <w:t>Recommendation</w:t>
      </w:r>
      <w:r>
        <w:t>s Follow-up</w:t>
      </w:r>
    </w:p>
    <w:p w14:paraId="3DCDBA2E" w14:textId="77777777" w:rsidR="008A6E06" w:rsidRDefault="008A6E06" w:rsidP="008A6E06">
      <w:pPr>
        <w:numPr>
          <w:ilvl w:val="0"/>
          <w:numId w:val="3"/>
        </w:numPr>
        <w:suppressAutoHyphens w:val="0"/>
        <w:autoSpaceDN/>
        <w:textAlignment w:val="auto"/>
      </w:pPr>
      <w:r>
        <w:t>Performance Improvement Progress</w:t>
      </w:r>
    </w:p>
    <w:p w14:paraId="186C59C5" w14:textId="77777777" w:rsidR="008A6E06" w:rsidRDefault="008A6E06" w:rsidP="008A6E06">
      <w:pPr>
        <w:numPr>
          <w:ilvl w:val="0"/>
          <w:numId w:val="3"/>
        </w:numPr>
        <w:suppressAutoHyphens w:val="0"/>
        <w:autoSpaceDN/>
        <w:textAlignment w:val="auto"/>
      </w:pPr>
      <w:r>
        <w:t>Internal Audit Update</w:t>
      </w:r>
    </w:p>
    <w:p w14:paraId="0FBC92FE" w14:textId="77777777" w:rsidR="008A6E06" w:rsidRDefault="008A6E06" w:rsidP="008A6E06">
      <w:pPr>
        <w:numPr>
          <w:ilvl w:val="0"/>
          <w:numId w:val="3"/>
        </w:numPr>
        <w:suppressAutoHyphens w:val="0"/>
        <w:autoSpaceDN/>
        <w:textAlignment w:val="auto"/>
      </w:pPr>
      <w:r>
        <w:t>Single Tender Action Update</w:t>
      </w:r>
    </w:p>
    <w:p w14:paraId="505FC522" w14:textId="77777777" w:rsidR="008A6E06" w:rsidRDefault="008A6E06" w:rsidP="008A6E06">
      <w:pPr>
        <w:numPr>
          <w:ilvl w:val="0"/>
          <w:numId w:val="3"/>
        </w:numPr>
        <w:suppressAutoHyphens w:val="0"/>
        <w:autoSpaceDN/>
        <w:textAlignment w:val="auto"/>
      </w:pPr>
      <w:r>
        <w:t>Fraud, whistleblowing and data breaches update</w:t>
      </w:r>
    </w:p>
    <w:p w14:paraId="051A7F4C" w14:textId="77777777" w:rsidR="008A6E06" w:rsidRDefault="008A6E06" w:rsidP="008A6E06"/>
    <w:p w14:paraId="64924732" w14:textId="77777777" w:rsidR="008A6E06" w:rsidRDefault="008A6E06" w:rsidP="008A6E06">
      <w:r>
        <w:lastRenderedPageBreak/>
        <w:t>RECOMMENDED that Council approves the work plan for the 2022/23 financial year</w:t>
      </w:r>
      <w:r w:rsidRPr="009A3A7B">
        <w:t>.</w:t>
      </w:r>
    </w:p>
    <w:p w14:paraId="5AC23908" w14:textId="77777777" w:rsidR="008A6E06" w:rsidRDefault="008A6E06" w:rsidP="008A6E06"/>
    <w:p w14:paraId="6812C903" w14:textId="77777777" w:rsidR="008A6E06" w:rsidRDefault="008A6E06" w:rsidP="008A6E06">
      <w:r>
        <w:t>At this stage, the Head of Finance, provided members with a brief overview of the report.</w:t>
      </w:r>
    </w:p>
    <w:p w14:paraId="33B66184" w14:textId="77777777" w:rsidR="008A6E06" w:rsidRDefault="008A6E06" w:rsidP="008A6E06"/>
    <w:p w14:paraId="76C7CE3B" w14:textId="77777777" w:rsidR="008A6E06" w:rsidRPr="001F1ECF" w:rsidRDefault="008A6E06" w:rsidP="008A6E06">
      <w:pPr>
        <w:rPr>
          <w:b/>
        </w:rPr>
      </w:pPr>
      <w:r>
        <w:rPr>
          <w:b/>
        </w:rPr>
        <w:t>AGREED TO RECOMMEND, on the proposal of Councillor Armstrong-Cotter, seconded by Councillor P Smith, that the recommendation be adopted.</w:t>
      </w:r>
    </w:p>
    <w:p w14:paraId="6A3F9FFF" w14:textId="77777777" w:rsidR="008A6E06" w:rsidRDefault="008A6E06" w:rsidP="008A6E06">
      <w:pPr>
        <w:rPr>
          <w:rFonts w:ascii="Arial Bold" w:hAnsi="Arial Bold"/>
          <w:b/>
          <w:bCs/>
          <w:caps/>
          <w:sz w:val="28"/>
          <w:szCs w:val="28"/>
          <w:u w:val="single"/>
        </w:rPr>
      </w:pPr>
    </w:p>
    <w:p w14:paraId="25E9EF80" w14:textId="77777777" w:rsidR="008A6E06" w:rsidRDefault="008A6E06" w:rsidP="002263EC">
      <w:pPr>
        <w:pStyle w:val="Heading1"/>
      </w:pPr>
      <w:r w:rsidRPr="002263EC">
        <w:rPr>
          <w:u w:val="none"/>
        </w:rPr>
        <w:t>10.</w:t>
      </w:r>
      <w:r w:rsidRPr="002263EC">
        <w:rPr>
          <w:u w:val="none"/>
        </w:rPr>
        <w:tab/>
      </w:r>
      <w:r>
        <w:t>ANY OTHER NOTIFIED BUSINESS</w:t>
      </w:r>
    </w:p>
    <w:p w14:paraId="1A95D0A0" w14:textId="77777777" w:rsidR="008A6E06" w:rsidRPr="001F1ECF" w:rsidRDefault="008A6E06" w:rsidP="008A6E06">
      <w:pPr>
        <w:rPr>
          <w:rFonts w:ascii="Arial Bold" w:hAnsi="Arial Bold"/>
          <w:b/>
          <w:bCs/>
          <w:caps/>
          <w:sz w:val="28"/>
          <w:szCs w:val="28"/>
          <w:u w:val="single"/>
        </w:rPr>
      </w:pPr>
    </w:p>
    <w:p w14:paraId="00715CC6" w14:textId="77777777" w:rsidR="008A6E06" w:rsidRDefault="008A6E06" w:rsidP="008A6E06">
      <w:r>
        <w:t>The Chairman advised that there were no items of any other notified business.</w:t>
      </w:r>
    </w:p>
    <w:p w14:paraId="1800D8D2" w14:textId="77777777" w:rsidR="008A6E06" w:rsidRDefault="008A6E06" w:rsidP="008A6E06"/>
    <w:p w14:paraId="738AAF4D" w14:textId="77777777" w:rsidR="008A6E06" w:rsidRDefault="008A6E06" w:rsidP="008A6E06">
      <w:pPr>
        <w:rPr>
          <w:b/>
          <w:bCs/>
        </w:rPr>
      </w:pPr>
      <w:r>
        <w:rPr>
          <w:b/>
          <w:bCs/>
        </w:rPr>
        <w:t>NOTED.</w:t>
      </w:r>
    </w:p>
    <w:p w14:paraId="2A741F76" w14:textId="77777777" w:rsidR="008A6E06" w:rsidRPr="00C83F88" w:rsidRDefault="008A6E06" w:rsidP="008A6E06">
      <w:pPr>
        <w:rPr>
          <w:b/>
          <w:bCs/>
        </w:rPr>
      </w:pPr>
    </w:p>
    <w:p w14:paraId="43E7C51D" w14:textId="77777777" w:rsidR="008A6E06" w:rsidRPr="00F12750" w:rsidRDefault="008A6E06" w:rsidP="008A6E06">
      <w:pPr>
        <w:rPr>
          <w:b/>
          <w:caps/>
          <w:sz w:val="28"/>
          <w:szCs w:val="28"/>
          <w:u w:val="single"/>
        </w:rPr>
      </w:pPr>
      <w:r w:rsidRPr="00F12750">
        <w:rPr>
          <w:b/>
          <w:caps/>
          <w:sz w:val="28"/>
          <w:szCs w:val="28"/>
          <w:u w:val="single"/>
        </w:rPr>
        <w:t>Exclusion of Public/Press</w:t>
      </w:r>
    </w:p>
    <w:p w14:paraId="2D81BBCF" w14:textId="77777777" w:rsidR="008A6E06" w:rsidRDefault="008A6E06" w:rsidP="008A6E06"/>
    <w:p w14:paraId="650EB89B" w14:textId="77777777" w:rsidR="008A6E06" w:rsidRDefault="008A6E06" w:rsidP="008A6E06">
      <w:pPr>
        <w:rPr>
          <w:b/>
        </w:rPr>
      </w:pPr>
      <w:r w:rsidRPr="00F12750">
        <w:rPr>
          <w:b/>
        </w:rPr>
        <w:t>AGREED TO RECOMMEND, on the proposal of</w:t>
      </w:r>
      <w:r>
        <w:rPr>
          <w:b/>
        </w:rPr>
        <w:t xml:space="preserve"> Councillor Douglas,</w:t>
      </w:r>
      <w:r w:rsidRPr="00F12750">
        <w:rPr>
          <w:b/>
        </w:rPr>
        <w:t xml:space="preserve"> seconded by</w:t>
      </w:r>
      <w:r>
        <w:rPr>
          <w:b/>
        </w:rPr>
        <w:t xml:space="preserve"> Councillor McClean</w:t>
      </w:r>
      <w:r w:rsidRPr="00F12750">
        <w:rPr>
          <w:b/>
        </w:rPr>
        <w:t xml:space="preserve">, that the public/press be excluded during the discussion of the undernoted items of confidential business. </w:t>
      </w:r>
    </w:p>
    <w:p w14:paraId="00CD0C4C" w14:textId="77777777" w:rsidR="008A6E06" w:rsidRPr="00681993" w:rsidRDefault="008A6E06" w:rsidP="008A6E06">
      <w:pPr>
        <w:rPr>
          <w:rFonts w:ascii="Arial Bold" w:hAnsi="Arial Bold"/>
          <w:b/>
          <w:caps/>
          <w:sz w:val="28"/>
          <w:szCs w:val="28"/>
        </w:rPr>
      </w:pPr>
    </w:p>
    <w:p w14:paraId="555D67FF" w14:textId="77777777" w:rsidR="008A6E06" w:rsidRPr="00827B48" w:rsidRDefault="008A6E06" w:rsidP="008A6E06">
      <w:pPr>
        <w:pStyle w:val="Heading1"/>
      </w:pPr>
      <w:r>
        <w:rPr>
          <w:u w:val="none"/>
        </w:rPr>
        <w:t xml:space="preserve">11. </w:t>
      </w:r>
      <w:r w:rsidRPr="001F1ECF">
        <w:rPr>
          <w:rFonts w:cs="Arial"/>
          <w:szCs w:val="28"/>
        </w:rPr>
        <w:t>Single Tender Actions Update</w:t>
      </w:r>
      <w:r>
        <w:t xml:space="preserve"> (file 231329)</w:t>
      </w:r>
    </w:p>
    <w:p w14:paraId="7B6B77CD" w14:textId="77777777" w:rsidR="008A6E06" w:rsidRDefault="008A6E06" w:rsidP="002263EC"/>
    <w:p w14:paraId="64DFFACB" w14:textId="5EB576E5" w:rsidR="008A6E06" w:rsidRDefault="008A6E06" w:rsidP="008A6E06">
      <w:pPr>
        <w:rPr>
          <w:b/>
          <w:bCs/>
        </w:rPr>
      </w:pPr>
      <w:r>
        <w:t xml:space="preserve"> </w:t>
      </w:r>
      <w:r w:rsidRPr="00BB0C10">
        <w:rPr>
          <w:b/>
          <w:bCs/>
        </w:rPr>
        <w:t>***IN COMMITTEE***</w:t>
      </w:r>
    </w:p>
    <w:p w14:paraId="729F1E28" w14:textId="5D54E51B" w:rsidR="001C5BC0" w:rsidRDefault="001C5BC0" w:rsidP="008A6E06">
      <w:pPr>
        <w:rPr>
          <w:b/>
          <w:bCs/>
        </w:rPr>
      </w:pPr>
    </w:p>
    <w:p w14:paraId="197DB285" w14:textId="77777777" w:rsidR="001C5BC0" w:rsidRPr="002A3895" w:rsidRDefault="001C5BC0" w:rsidP="001C5BC0">
      <w:pPr>
        <w:rPr>
          <w:rFonts w:cs="Arial"/>
          <w:b/>
          <w:bCs/>
        </w:rPr>
      </w:pPr>
      <w:r w:rsidRPr="002A3895">
        <w:rPr>
          <w:rFonts w:cs="Arial"/>
          <w:b/>
          <w:bCs/>
        </w:rPr>
        <w:t xml:space="preserve">NOT FOR PUBLICATION </w:t>
      </w:r>
    </w:p>
    <w:p w14:paraId="063667F8" w14:textId="77777777" w:rsidR="001C5BC0" w:rsidRPr="002A3895" w:rsidRDefault="001C5BC0" w:rsidP="001C5BC0">
      <w:pPr>
        <w:rPr>
          <w:rFonts w:cs="Arial"/>
          <w:b/>
          <w:bCs/>
        </w:rPr>
      </w:pPr>
    </w:p>
    <w:p w14:paraId="703F4BCA" w14:textId="77777777" w:rsidR="001C5BC0" w:rsidRPr="00A7086D" w:rsidRDefault="001C5BC0" w:rsidP="001C5BC0">
      <w:pPr>
        <w:rPr>
          <w:rFonts w:cs="Arial"/>
        </w:rPr>
      </w:pPr>
      <w:r w:rsidRPr="002A3895">
        <w:rPr>
          <w:rFonts w:cs="Arial"/>
          <w:b/>
        </w:rPr>
        <w:t>SCHEDULE 6 – INFORMATION RELATING TO THE FINANCIAL OR BUSINESS AFFAIRS OF ANY PARTICULAR PERSON (INCLUDING THE COUNCIL HOLDNG THAT INFORMATION)</w:t>
      </w:r>
    </w:p>
    <w:p w14:paraId="7FA51961" w14:textId="77777777" w:rsidR="008A6E06" w:rsidRDefault="008A6E06" w:rsidP="008A6E06">
      <w:pPr>
        <w:rPr>
          <w:b/>
          <w:bCs/>
        </w:rPr>
      </w:pPr>
    </w:p>
    <w:p w14:paraId="1E821DF8" w14:textId="77777777" w:rsidR="008A6E06" w:rsidRPr="005F3450" w:rsidRDefault="008A6E06" w:rsidP="002263EC">
      <w:pPr>
        <w:pStyle w:val="Heading1"/>
        <w:ind w:left="720" w:hanging="720"/>
      </w:pPr>
      <w:r w:rsidRPr="002263EC">
        <w:rPr>
          <w:u w:val="none"/>
        </w:rPr>
        <w:t xml:space="preserve">12.    </w:t>
      </w:r>
      <w:r w:rsidRPr="000F1E2A">
        <w:t>Fraud, Whistleblowing and Data-protection matters</w:t>
      </w:r>
      <w:r>
        <w:t xml:space="preserve"> </w:t>
      </w:r>
    </w:p>
    <w:p w14:paraId="00C46D51" w14:textId="77777777" w:rsidR="008A6E06" w:rsidRDefault="008A6E06" w:rsidP="008A6E06">
      <w:pPr>
        <w:rPr>
          <w:b/>
          <w:bCs/>
        </w:rPr>
      </w:pPr>
    </w:p>
    <w:p w14:paraId="0AA27513" w14:textId="77777777" w:rsidR="008A6E06" w:rsidRDefault="008A6E06" w:rsidP="008A6E06">
      <w:pPr>
        <w:rPr>
          <w:b/>
          <w:bCs/>
        </w:rPr>
      </w:pPr>
      <w:r w:rsidRPr="00BB0C10">
        <w:rPr>
          <w:b/>
          <w:bCs/>
        </w:rPr>
        <w:t>***IN COMMITTEE***</w:t>
      </w:r>
    </w:p>
    <w:p w14:paraId="157219AC" w14:textId="77777777" w:rsidR="008A6E06" w:rsidRDefault="008A6E06" w:rsidP="008A6E06">
      <w:pPr>
        <w:rPr>
          <w:b/>
          <w:bCs/>
        </w:rPr>
      </w:pPr>
    </w:p>
    <w:p w14:paraId="258E7DFC" w14:textId="77777777" w:rsidR="001C5BC0" w:rsidRPr="002A3895" w:rsidRDefault="001C5BC0" w:rsidP="001C5BC0">
      <w:pPr>
        <w:rPr>
          <w:rFonts w:cs="Arial"/>
          <w:b/>
          <w:bCs/>
        </w:rPr>
      </w:pPr>
      <w:r w:rsidRPr="002A3895">
        <w:rPr>
          <w:rFonts w:cs="Arial"/>
          <w:b/>
          <w:bCs/>
        </w:rPr>
        <w:t xml:space="preserve">NOT FOR PUBLICATION </w:t>
      </w:r>
    </w:p>
    <w:p w14:paraId="6683F1B4" w14:textId="77777777" w:rsidR="001C5BC0" w:rsidRPr="002A3895" w:rsidRDefault="001C5BC0" w:rsidP="001C5BC0">
      <w:pPr>
        <w:rPr>
          <w:rFonts w:cs="Arial"/>
          <w:b/>
          <w:bCs/>
        </w:rPr>
      </w:pPr>
    </w:p>
    <w:p w14:paraId="6EDC7954" w14:textId="77777777" w:rsidR="001C5BC0" w:rsidRPr="00A7086D" w:rsidRDefault="001C5BC0" w:rsidP="001C5BC0">
      <w:pPr>
        <w:rPr>
          <w:rFonts w:cs="Arial"/>
        </w:rPr>
      </w:pPr>
      <w:r w:rsidRPr="002A3895">
        <w:rPr>
          <w:rFonts w:cs="Arial"/>
          <w:b/>
        </w:rPr>
        <w:t>SCHEDULE 6 – INFORMATION RELATING TO THE FINANCIAL OR BUSINESS AFFAIRS OF ANY PARTICULAR PERSON (INCLUDING THE COUNCIL HOLDNG THAT INFORMATION)</w:t>
      </w:r>
    </w:p>
    <w:p w14:paraId="5159F49C" w14:textId="77777777" w:rsidR="001C5BC0" w:rsidRDefault="001C5BC0" w:rsidP="008A6E06">
      <w:pPr>
        <w:rPr>
          <w:b/>
        </w:rPr>
      </w:pPr>
    </w:p>
    <w:p w14:paraId="44CAC88C" w14:textId="77777777" w:rsidR="008A6E06" w:rsidRDefault="008A6E06" w:rsidP="008A6E06">
      <w:pPr>
        <w:rPr>
          <w:b/>
          <w:sz w:val="28"/>
          <w:szCs w:val="28"/>
          <w:u w:val="single"/>
        </w:rPr>
      </w:pPr>
      <w:r>
        <w:rPr>
          <w:b/>
          <w:sz w:val="28"/>
          <w:szCs w:val="28"/>
          <w:u w:val="single"/>
        </w:rPr>
        <w:t>CHAIRMAN’S REMARKS</w:t>
      </w:r>
    </w:p>
    <w:p w14:paraId="327C864A" w14:textId="77777777" w:rsidR="008A6E06" w:rsidRDefault="008A6E06" w:rsidP="008A6E06">
      <w:pPr>
        <w:rPr>
          <w:b/>
          <w:sz w:val="28"/>
          <w:szCs w:val="28"/>
          <w:u w:val="single"/>
        </w:rPr>
      </w:pPr>
    </w:p>
    <w:p w14:paraId="5C40B8A2" w14:textId="77777777" w:rsidR="008A6E06" w:rsidRPr="006F4A55" w:rsidRDefault="008A6E06" w:rsidP="002263EC">
      <w:pPr>
        <w:pStyle w:val="Heading1"/>
        <w:ind w:left="720" w:hanging="720"/>
        <w:rPr>
          <w:rFonts w:cs="Arial"/>
        </w:rPr>
      </w:pPr>
      <w:r w:rsidRPr="002263EC">
        <w:rPr>
          <w:u w:val="none"/>
        </w:rPr>
        <w:t>13.</w:t>
      </w:r>
      <w:r w:rsidRPr="002263EC">
        <w:rPr>
          <w:u w:val="none"/>
        </w:rPr>
        <w:tab/>
      </w:r>
      <w:r w:rsidRPr="00FE54F6">
        <w:t>Meeting with NI Audit Office and Internal Audit Service in the absence of Management</w:t>
      </w:r>
      <w:r>
        <w:t xml:space="preserve"> </w:t>
      </w:r>
    </w:p>
    <w:p w14:paraId="60C8054F" w14:textId="77777777" w:rsidR="002263EC" w:rsidRDefault="002263EC" w:rsidP="008A6E06">
      <w:pPr>
        <w:rPr>
          <w:b/>
        </w:rPr>
      </w:pPr>
    </w:p>
    <w:p w14:paraId="39F809C6" w14:textId="29529918" w:rsidR="008A6E06" w:rsidRPr="004E314F" w:rsidRDefault="008A6E06" w:rsidP="008A6E06">
      <w:pPr>
        <w:rPr>
          <w:b/>
        </w:rPr>
      </w:pPr>
      <w:r w:rsidRPr="004E314F">
        <w:rPr>
          <w:b/>
        </w:rPr>
        <w:t>***IN CONFIDENCE***</w:t>
      </w:r>
    </w:p>
    <w:p w14:paraId="7B9BD27C" w14:textId="77777777" w:rsidR="008A6E06" w:rsidRPr="000A416A" w:rsidRDefault="008A6E06" w:rsidP="008A6E06"/>
    <w:p w14:paraId="23E6CBEB" w14:textId="77777777" w:rsidR="008A6E06" w:rsidRDefault="008A6E06" w:rsidP="008A6E06">
      <w:pPr>
        <w:rPr>
          <w:rFonts w:cs="Arial"/>
        </w:rPr>
      </w:pPr>
      <w:r>
        <w:rPr>
          <w:rFonts w:cs="Arial"/>
        </w:rPr>
        <w:t>The Chief Executive</w:t>
      </w:r>
      <w:r w:rsidRPr="000A416A">
        <w:rPr>
          <w:rFonts w:cs="Arial"/>
        </w:rPr>
        <w:t xml:space="preserve">, </w:t>
      </w:r>
      <w:r>
        <w:rPr>
          <w:rFonts w:cs="Arial"/>
        </w:rPr>
        <w:t xml:space="preserve">Director of Finance &amp; Performance, Head of Finance </w:t>
      </w:r>
      <w:r w:rsidRPr="00946759">
        <w:rPr>
          <w:rFonts w:cs="Arial"/>
        </w:rPr>
        <w:t xml:space="preserve">and </w:t>
      </w:r>
      <w:r w:rsidRPr="000A416A">
        <w:rPr>
          <w:rFonts w:cs="Arial"/>
        </w:rPr>
        <w:t>Democratic Services Officer all withdrew from the meeting during the discussion of the item (</w:t>
      </w:r>
      <w:r>
        <w:rPr>
          <w:rFonts w:cs="Arial"/>
        </w:rPr>
        <w:t>8.27pm</w:t>
      </w:r>
      <w:r w:rsidRPr="000A416A">
        <w:rPr>
          <w:rFonts w:cs="Arial"/>
        </w:rPr>
        <w:t xml:space="preserve">). </w:t>
      </w:r>
    </w:p>
    <w:p w14:paraId="6829CD5C" w14:textId="77777777" w:rsidR="008A6E06" w:rsidRDefault="008A6E06" w:rsidP="008A6E06">
      <w:pPr>
        <w:rPr>
          <w:rFonts w:cs="Arial"/>
        </w:rPr>
      </w:pPr>
    </w:p>
    <w:p w14:paraId="26B83E35" w14:textId="77777777" w:rsidR="008A6E06" w:rsidRDefault="008A6E06" w:rsidP="008A6E06">
      <w:pPr>
        <w:rPr>
          <w:rFonts w:cs="Arial"/>
          <w:b/>
          <w:bCs/>
        </w:rPr>
      </w:pPr>
      <w:r>
        <w:rPr>
          <w:rFonts w:cs="Arial"/>
          <w:b/>
          <w:bCs/>
        </w:rPr>
        <w:t>NOTED.</w:t>
      </w:r>
    </w:p>
    <w:p w14:paraId="05372D6E" w14:textId="77777777" w:rsidR="008A6E06" w:rsidRDefault="008A6E06" w:rsidP="008A6E06">
      <w:pPr>
        <w:rPr>
          <w:rFonts w:cs="Arial"/>
          <w:b/>
          <w:bCs/>
        </w:rPr>
      </w:pPr>
    </w:p>
    <w:p w14:paraId="30D694F3" w14:textId="77777777" w:rsidR="008A6E06" w:rsidRPr="005A07CA" w:rsidRDefault="008A6E06" w:rsidP="008A6E06">
      <w:pPr>
        <w:rPr>
          <w:rFonts w:cs="Arial"/>
          <w:b/>
          <w:bCs/>
          <w:sz w:val="28"/>
          <w:szCs w:val="28"/>
          <w:u w:val="single"/>
        </w:rPr>
      </w:pPr>
      <w:r w:rsidRPr="005A07CA">
        <w:rPr>
          <w:rFonts w:cs="Arial"/>
          <w:b/>
          <w:bCs/>
          <w:sz w:val="28"/>
          <w:szCs w:val="28"/>
          <w:u w:val="single"/>
        </w:rPr>
        <w:t>RE</w:t>
      </w:r>
      <w:r>
        <w:rPr>
          <w:rFonts w:cs="Arial"/>
          <w:b/>
          <w:bCs/>
          <w:sz w:val="28"/>
          <w:szCs w:val="28"/>
          <w:u w:val="single"/>
        </w:rPr>
        <w:t>-</w:t>
      </w:r>
      <w:r w:rsidRPr="005A07CA">
        <w:rPr>
          <w:rFonts w:cs="Arial"/>
          <w:b/>
          <w:bCs/>
          <w:sz w:val="28"/>
          <w:szCs w:val="28"/>
          <w:u w:val="single"/>
        </w:rPr>
        <w:t>ADMITTANCE OF PUBLIC AND PRESS</w:t>
      </w:r>
    </w:p>
    <w:p w14:paraId="331D0CC3" w14:textId="77777777" w:rsidR="008A6E06" w:rsidRDefault="008A6E06" w:rsidP="008A6E06">
      <w:pPr>
        <w:rPr>
          <w:rFonts w:ascii="Arial Bold" w:hAnsi="Arial Bold"/>
          <w:b/>
          <w:caps/>
          <w:sz w:val="28"/>
          <w:szCs w:val="28"/>
          <w:u w:val="single"/>
        </w:rPr>
      </w:pPr>
    </w:p>
    <w:p w14:paraId="7C7F708C" w14:textId="77777777" w:rsidR="008A6E06" w:rsidRDefault="008A6E06" w:rsidP="008A6E06">
      <w:pPr>
        <w:rPr>
          <w:b/>
        </w:rPr>
      </w:pPr>
      <w:r w:rsidRPr="00F12750">
        <w:rPr>
          <w:b/>
        </w:rPr>
        <w:t xml:space="preserve">AGREED TO RECOMMEND, that the public/press be </w:t>
      </w:r>
      <w:r>
        <w:rPr>
          <w:b/>
        </w:rPr>
        <w:t xml:space="preserve">readmitted to the meeting.  </w:t>
      </w:r>
    </w:p>
    <w:p w14:paraId="400DB7A6" w14:textId="77777777" w:rsidR="008A6E06" w:rsidRPr="005A07CA" w:rsidRDefault="008A6E06" w:rsidP="008A6E06">
      <w:pPr>
        <w:rPr>
          <w:rFonts w:ascii="Arial Bold" w:hAnsi="Arial Bold"/>
          <w:b/>
          <w:caps/>
          <w:sz w:val="28"/>
          <w:szCs w:val="28"/>
          <w:u w:val="single"/>
        </w:rPr>
      </w:pPr>
    </w:p>
    <w:p w14:paraId="694B40D5" w14:textId="77777777" w:rsidR="008A6E06" w:rsidRPr="00681993" w:rsidRDefault="008A6E06" w:rsidP="008A6E06">
      <w:pPr>
        <w:rPr>
          <w:rFonts w:ascii="Arial Bold" w:hAnsi="Arial Bold"/>
          <w:b/>
          <w:caps/>
          <w:sz w:val="28"/>
          <w:szCs w:val="28"/>
          <w:u w:val="single"/>
        </w:rPr>
      </w:pPr>
      <w:r w:rsidRPr="00681993">
        <w:rPr>
          <w:rFonts w:ascii="Arial Bold" w:hAnsi="Arial Bold"/>
          <w:b/>
          <w:caps/>
          <w:sz w:val="28"/>
          <w:szCs w:val="28"/>
          <w:u w:val="single"/>
        </w:rPr>
        <w:t xml:space="preserve">Termination of meeting </w:t>
      </w:r>
    </w:p>
    <w:p w14:paraId="070309F1" w14:textId="77777777" w:rsidR="008A6E06" w:rsidRDefault="008A6E06" w:rsidP="008A6E06">
      <w:pPr>
        <w:rPr>
          <w:b/>
        </w:rPr>
      </w:pPr>
    </w:p>
    <w:p w14:paraId="1AA11EDF" w14:textId="77777777" w:rsidR="008A6E06" w:rsidRPr="00681993" w:rsidRDefault="008A6E06" w:rsidP="008A6E06">
      <w:r w:rsidRPr="00681993">
        <w:t>The meeting terminated at</w:t>
      </w:r>
      <w:r>
        <w:t xml:space="preserve">  8.28pm. </w:t>
      </w:r>
    </w:p>
    <w:p w14:paraId="322A0CF5" w14:textId="77777777" w:rsidR="008A6E06" w:rsidRDefault="008A6E06" w:rsidP="008A6E06"/>
    <w:p w14:paraId="123FD279" w14:textId="77777777" w:rsidR="008A6E06" w:rsidRDefault="008A6E06" w:rsidP="008A6E06"/>
    <w:p w14:paraId="5E5336CB" w14:textId="77777777" w:rsidR="008A6E06" w:rsidRDefault="008A6E06"/>
    <w:sectPr w:rsidR="008A6E06" w:rsidSect="00BE2D7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FBC3" w14:textId="77777777" w:rsidR="001C5BC0" w:rsidRDefault="001C5BC0" w:rsidP="001C5BC0">
      <w:r>
        <w:separator/>
      </w:r>
    </w:p>
  </w:endnote>
  <w:endnote w:type="continuationSeparator" w:id="0">
    <w:p w14:paraId="2B3C6748" w14:textId="77777777" w:rsidR="001C5BC0" w:rsidRDefault="001C5BC0" w:rsidP="001C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vice Font 10cp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8B9D" w14:textId="77777777" w:rsidR="00443796" w:rsidRDefault="00443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5311"/>
      <w:docPartObj>
        <w:docPartGallery w:val="Page Numbers (Bottom of Page)"/>
        <w:docPartUnique/>
      </w:docPartObj>
    </w:sdtPr>
    <w:sdtEndPr>
      <w:rPr>
        <w:noProof/>
      </w:rPr>
    </w:sdtEndPr>
    <w:sdtContent>
      <w:p w14:paraId="08DB4169" w14:textId="77777777" w:rsidR="00A90966" w:rsidRDefault="001C5BC0">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E69214D" w14:textId="77777777" w:rsidR="00A90966" w:rsidRDefault="00A909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DE6D" w14:textId="77777777" w:rsidR="00A90966" w:rsidRDefault="00A90966">
    <w:pPr>
      <w:pStyle w:val="Footer"/>
      <w:jc w:val="center"/>
    </w:pPr>
  </w:p>
  <w:p w14:paraId="6EA8E28C" w14:textId="77777777" w:rsidR="00A90966" w:rsidRDefault="00A90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E0EC" w14:textId="77777777" w:rsidR="001C5BC0" w:rsidRDefault="001C5BC0" w:rsidP="001C5BC0">
      <w:r>
        <w:separator/>
      </w:r>
    </w:p>
  </w:footnote>
  <w:footnote w:type="continuationSeparator" w:id="0">
    <w:p w14:paraId="4D9CA2DF" w14:textId="77777777" w:rsidR="001C5BC0" w:rsidRDefault="001C5BC0" w:rsidP="001C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531C" w14:textId="77777777" w:rsidR="00443796" w:rsidRDefault="00443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DE57" w14:textId="18506167" w:rsidR="00A90966" w:rsidRDefault="001C5BC0">
    <w:pPr>
      <w:pStyle w:val="Header"/>
    </w:pPr>
    <w:r>
      <w:tab/>
    </w:r>
    <w:r>
      <w:tab/>
      <w:t>AC.21.03.2022PM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0289" w14:textId="77777777" w:rsidR="00A90966" w:rsidRPr="00621DD5" w:rsidRDefault="001C5BC0" w:rsidP="00A05BBB">
    <w:pPr>
      <w:pStyle w:val="Header"/>
      <w:ind w:left="2880" w:firstLine="4513"/>
      <w:jc w:val="right"/>
      <w:rPr>
        <w:b/>
        <w:bCs/>
        <w:sz w:val="36"/>
        <w:szCs w:val="36"/>
      </w:rPr>
    </w:pPr>
    <w:r>
      <w:rPr>
        <w:b/>
        <w:bCs/>
        <w:sz w:val="36"/>
        <w:szCs w:val="36"/>
      </w:rPr>
      <w:t>ITEM 7.6.</w:t>
    </w:r>
    <w:r>
      <w:rPr>
        <w:b/>
        <w:bCs/>
        <w:sz w:val="36"/>
        <w:szCs w:val="36"/>
      </w:rPr>
      <w:tab/>
    </w:r>
    <w:r>
      <w:rPr>
        <w:b/>
        <w:bCs/>
        <w:sz w:val="36"/>
        <w:szCs w:val="36"/>
      </w:rPr>
      <w:tab/>
    </w:r>
    <w:r>
      <w:rPr>
        <w:b/>
        <w:bC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8.75pt" o:bullet="t">
        <v:imagedata r:id="rId1" o:title="ANDbullet"/>
      </v:shape>
    </w:pict>
  </w:numPicBullet>
  <w:abstractNum w:abstractNumId="0" w15:restartNumberingAfterBreak="0">
    <w:nsid w:val="01A704E7"/>
    <w:multiLevelType w:val="hybridMultilevel"/>
    <w:tmpl w:val="7F824180"/>
    <w:lvl w:ilvl="0" w:tplc="D9DC5782">
      <w:start w:val="1"/>
      <w:numFmt w:val="lowerRoman"/>
      <w:lvlText w:val="%1)"/>
      <w:lvlJc w:val="left"/>
      <w:pPr>
        <w:ind w:left="1080" w:hanging="720"/>
      </w:pPr>
      <w:rPr>
        <w:rFonts w:cs="Aria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61215"/>
    <w:multiLevelType w:val="hybridMultilevel"/>
    <w:tmpl w:val="CD26E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B49AF"/>
    <w:multiLevelType w:val="hybridMultilevel"/>
    <w:tmpl w:val="5E9A9F24"/>
    <w:lvl w:ilvl="0" w:tplc="4FA000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4D320B"/>
    <w:multiLevelType w:val="hybridMultilevel"/>
    <w:tmpl w:val="2ACA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Device Font 10cpi" w:hAnsi="Device Font 10cp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Device Font 10cpi" w:hAnsi="Device Font 10cp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Device Font 10cpi" w:hAnsi="Device Font 10cpi"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10273"/>
    <w:multiLevelType w:val="hybridMultilevel"/>
    <w:tmpl w:val="1CDC9620"/>
    <w:lvl w:ilvl="0" w:tplc="A52C13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160277"/>
    <w:multiLevelType w:val="hybridMultilevel"/>
    <w:tmpl w:val="D820EE76"/>
    <w:lvl w:ilvl="0" w:tplc="9456308C">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EF74391"/>
    <w:multiLevelType w:val="hybridMultilevel"/>
    <w:tmpl w:val="E51612B2"/>
    <w:lvl w:ilvl="0" w:tplc="817AA0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325202"/>
    <w:multiLevelType w:val="hybridMultilevel"/>
    <w:tmpl w:val="CFEC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Device Font 10cpi" w:hAnsi="Device Font 10cp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Device Font 10cpi" w:hAnsi="Device Font 10cp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Device Font 10cpi" w:hAnsi="Device Font 10cpi"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F87DD7"/>
    <w:multiLevelType w:val="hybridMultilevel"/>
    <w:tmpl w:val="151C1BFE"/>
    <w:lvl w:ilvl="0" w:tplc="6ACEF1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C77476"/>
    <w:multiLevelType w:val="hybridMultilevel"/>
    <w:tmpl w:val="5E78A9FC"/>
    <w:lvl w:ilvl="0" w:tplc="98CA2C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D70D34"/>
    <w:multiLevelType w:val="hybridMultilevel"/>
    <w:tmpl w:val="8A44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CA30A7"/>
    <w:multiLevelType w:val="hybridMultilevel"/>
    <w:tmpl w:val="86C0FEE8"/>
    <w:lvl w:ilvl="0" w:tplc="65EA4188">
      <w:start w:val="1"/>
      <w:numFmt w:val="lowerLetter"/>
      <w:lvlText w:val="(%1)"/>
      <w:lvlJc w:val="left"/>
      <w:pPr>
        <w:ind w:left="720" w:hanging="360"/>
      </w:pPr>
      <w:rPr>
        <w:rFonts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BD35BE"/>
    <w:multiLevelType w:val="hybridMultilevel"/>
    <w:tmpl w:val="D02489E4"/>
    <w:lvl w:ilvl="0" w:tplc="8AD20D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896497"/>
    <w:multiLevelType w:val="hybridMultilevel"/>
    <w:tmpl w:val="A3883320"/>
    <w:lvl w:ilvl="0" w:tplc="AD8C812E">
      <w:start w:val="1"/>
      <w:numFmt w:val="bullet"/>
      <w:lvlText w:val=""/>
      <w:lvlPicBulletId w:val="0"/>
      <w:lvlJc w:val="left"/>
      <w:pPr>
        <w:ind w:left="720" w:hanging="360"/>
      </w:pPr>
      <w:rPr>
        <w:rFonts w:ascii="Symbol"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4C2571"/>
    <w:multiLevelType w:val="hybridMultilevel"/>
    <w:tmpl w:val="12C46FA8"/>
    <w:lvl w:ilvl="0" w:tplc="8BA493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7314101">
    <w:abstractNumId w:val="13"/>
  </w:num>
  <w:num w:numId="2" w16cid:durableId="1476096773">
    <w:abstractNumId w:val="9"/>
  </w:num>
  <w:num w:numId="3" w16cid:durableId="1735857443">
    <w:abstractNumId w:val="7"/>
  </w:num>
  <w:num w:numId="4" w16cid:durableId="1474256920">
    <w:abstractNumId w:val="3"/>
  </w:num>
  <w:num w:numId="5" w16cid:durableId="475492189">
    <w:abstractNumId w:val="11"/>
  </w:num>
  <w:num w:numId="6" w16cid:durableId="1497918915">
    <w:abstractNumId w:val="0"/>
  </w:num>
  <w:num w:numId="7" w16cid:durableId="1663853242">
    <w:abstractNumId w:val="6"/>
  </w:num>
  <w:num w:numId="8" w16cid:durableId="923221983">
    <w:abstractNumId w:val="14"/>
  </w:num>
  <w:num w:numId="9" w16cid:durableId="1637106688">
    <w:abstractNumId w:val="10"/>
  </w:num>
  <w:num w:numId="10" w16cid:durableId="152524156">
    <w:abstractNumId w:val="1"/>
  </w:num>
  <w:num w:numId="11" w16cid:durableId="2125074943">
    <w:abstractNumId w:val="8"/>
  </w:num>
  <w:num w:numId="12" w16cid:durableId="652880175">
    <w:abstractNumId w:val="4"/>
  </w:num>
  <w:num w:numId="13" w16cid:durableId="60370757">
    <w:abstractNumId w:val="2"/>
  </w:num>
  <w:num w:numId="14" w16cid:durableId="841041810">
    <w:abstractNumId w:val="12"/>
  </w:num>
  <w:num w:numId="15" w16cid:durableId="133646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HOBKinvNfMtRm98glfi+ALd/WBDTTAaQ7mVv6I+j65pqd2oyDUll98VKdjmImpIKVvjOdR8eJCTK+Q+OR4A4nw==" w:salt="OTUX6mu4kYhhwDkr/sITu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Audi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321 AC 21 March 2022"/>
    <w:docVar w:name="Trove_G_1_Withdraw" w:val="-1"/>
    <w:docVar w:name="Trove_H_Title_1" w:val="220321 AC 21 March 2022"/>
    <w:docVar w:name="Trove_H_Version_1" w:val=" "/>
  </w:docVars>
  <w:rsids>
    <w:rsidRoot w:val="008A6E06"/>
    <w:rsid w:val="001C5BC0"/>
    <w:rsid w:val="001D481F"/>
    <w:rsid w:val="002263EC"/>
    <w:rsid w:val="00380AEC"/>
    <w:rsid w:val="00443796"/>
    <w:rsid w:val="00882A0D"/>
    <w:rsid w:val="008A6E06"/>
    <w:rsid w:val="00A90966"/>
    <w:rsid w:val="00AA398A"/>
    <w:rsid w:val="00B8482A"/>
    <w:rsid w:val="00E857C7"/>
    <w:rsid w:val="00E87935"/>
    <w:rsid w:val="00E87AEA"/>
    <w:rsid w:val="00F263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63CD98"/>
  <w15:chartTrackingRefBased/>
  <w15:docId w15:val="{ECBC5584-9F55-4133-A7EF-C896BC72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E06"/>
    <w:pPr>
      <w:suppressAutoHyphens/>
      <w:autoSpaceDN w:val="0"/>
      <w:spacing w:after="0" w:line="240" w:lineRule="auto"/>
      <w:textAlignment w:val="baseline"/>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8A6E06"/>
    <w:pPr>
      <w:keepNext/>
      <w:keepLines/>
      <w:outlineLvl w:val="0"/>
    </w:pPr>
    <w:rPr>
      <w:b/>
      <w:caps/>
      <w:sz w:val="28"/>
      <w:szCs w:val="32"/>
      <w:u w:val="single"/>
    </w:rPr>
  </w:style>
  <w:style w:type="paragraph" w:styleId="Heading2">
    <w:name w:val="heading 2"/>
    <w:basedOn w:val="Normal"/>
    <w:next w:val="Normal"/>
    <w:link w:val="Heading2Char"/>
    <w:uiPriority w:val="9"/>
    <w:unhideWhenUsed/>
    <w:qFormat/>
    <w:rsid w:val="008A6E06"/>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E06"/>
    <w:rPr>
      <w:rFonts w:ascii="Arial" w:eastAsia="Times New Roman" w:hAnsi="Arial" w:cs="Times New Roman"/>
      <w:b/>
      <w:caps/>
      <w:sz w:val="28"/>
      <w:szCs w:val="32"/>
      <w:u w:val="single"/>
    </w:rPr>
  </w:style>
  <w:style w:type="character" w:customStyle="1" w:styleId="Heading2Char">
    <w:name w:val="Heading 2 Char"/>
    <w:basedOn w:val="DefaultParagraphFont"/>
    <w:link w:val="Heading2"/>
    <w:uiPriority w:val="9"/>
    <w:rsid w:val="008A6E06"/>
    <w:rPr>
      <w:rFonts w:ascii="Arial" w:eastAsiaTheme="majorEastAsia" w:hAnsi="Arial" w:cstheme="majorBidi"/>
      <w:b/>
      <w:sz w:val="24"/>
      <w:szCs w:val="26"/>
      <w:u w:val="single"/>
    </w:rPr>
  </w:style>
  <w:style w:type="table" w:styleId="TableGrid">
    <w:name w:val="Table Grid"/>
    <w:basedOn w:val="TableNormal"/>
    <w:uiPriority w:val="39"/>
    <w:rsid w:val="008A6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E06"/>
    <w:pPr>
      <w:tabs>
        <w:tab w:val="center" w:pos="4513"/>
        <w:tab w:val="right" w:pos="9026"/>
      </w:tabs>
    </w:pPr>
  </w:style>
  <w:style w:type="character" w:customStyle="1" w:styleId="HeaderChar">
    <w:name w:val="Header Char"/>
    <w:basedOn w:val="DefaultParagraphFont"/>
    <w:link w:val="Header"/>
    <w:uiPriority w:val="99"/>
    <w:rsid w:val="008A6E06"/>
    <w:rPr>
      <w:rFonts w:ascii="Arial" w:eastAsia="Times New Roman" w:hAnsi="Arial" w:cs="Times New Roman"/>
      <w:sz w:val="24"/>
      <w:szCs w:val="24"/>
    </w:rPr>
  </w:style>
  <w:style w:type="paragraph" w:styleId="Footer">
    <w:name w:val="footer"/>
    <w:basedOn w:val="Normal"/>
    <w:link w:val="FooterChar"/>
    <w:uiPriority w:val="99"/>
    <w:unhideWhenUsed/>
    <w:rsid w:val="008A6E06"/>
    <w:pPr>
      <w:tabs>
        <w:tab w:val="center" w:pos="4513"/>
        <w:tab w:val="right" w:pos="9026"/>
      </w:tabs>
    </w:pPr>
  </w:style>
  <w:style w:type="character" w:customStyle="1" w:styleId="FooterChar">
    <w:name w:val="Footer Char"/>
    <w:basedOn w:val="DefaultParagraphFont"/>
    <w:link w:val="Footer"/>
    <w:uiPriority w:val="99"/>
    <w:rsid w:val="008A6E06"/>
    <w:rPr>
      <w:rFonts w:ascii="Arial" w:eastAsia="Times New Roman" w:hAnsi="Arial" w:cs="Times New Roman"/>
      <w:sz w:val="24"/>
      <w:szCs w:val="24"/>
    </w:rPr>
  </w:style>
  <w:style w:type="character" w:styleId="Hyperlink">
    <w:name w:val="Hyperlink"/>
    <w:basedOn w:val="DefaultParagraphFont"/>
    <w:uiPriority w:val="99"/>
    <w:unhideWhenUsed/>
    <w:rsid w:val="008A6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ardsandnorthdown.gov.uk/resident/performance/how-we-are-perform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36DCFB8B68646A797F68516756A14" ma:contentTypeVersion="3" ma:contentTypeDescription="Create a new document." ma:contentTypeScope="" ma:versionID="4aba2d5856646e65f2124948943b1c69">
  <xsd:schema xmlns:xsd="http://www.w3.org/2001/XMLSchema" xmlns:xs="http://www.w3.org/2001/XMLSchema" xmlns:p="http://schemas.microsoft.com/office/2006/metadata/properties" xmlns:ns2="b271427b-a30d-4a71-a602-c4e933298bd7" targetNamespace="http://schemas.microsoft.com/office/2006/metadata/properties" ma:root="true" ma:fieldsID="d563c53e227095267001ff10c1f22cb9" ns2:_="">
    <xsd:import namespace="b271427b-a30d-4a71-a602-c4e933298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1427b-a30d-4a71-a602-c4e93329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E10AE-46B7-46A8-97FC-D1C930E02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1427b-a30d-4a71-a602-c4e93329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AB17E-15B6-4019-9074-F4BCA6986D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B1E0D7-18B7-4E07-BC66-0AD40E9EF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4616</Words>
  <Characters>26315</Characters>
  <Application>Microsoft Office Word</Application>
  <DocSecurity>8</DocSecurity>
  <Lines>219</Lines>
  <Paragraphs>61</Paragraphs>
  <ScaleCrop>false</ScaleCrop>
  <HeadingPairs>
    <vt:vector size="2" baseType="variant">
      <vt:variant>
        <vt:lpstr>Title</vt:lpstr>
      </vt:variant>
      <vt:variant>
        <vt:i4>1</vt:i4>
      </vt:variant>
    </vt:vector>
  </HeadingPairs>
  <TitlesOfParts>
    <vt:vector size="1" baseType="lpstr">
      <vt:lpstr>220321 AC 21 March 2022</vt:lpstr>
    </vt:vector>
  </TitlesOfParts>
  <Company>Ards and North Down Borough Council</Company>
  <LinksUpToDate>false</LinksUpToDate>
  <CharactersWithSpaces>30870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220321 AC 21 March 2022</dc:title>
  <dc:subject/>
  <dc:creator>Foster, Paulene</dc:creator>
  <cp:keywords/>
  <dc:description/>
  <cp:lastModifiedBy>Cull, Joshua</cp:lastModifiedBy>
  <cp:revision>11</cp:revision>
  <dcterms:created xsi:type="dcterms:W3CDTF">2022-03-24T09:56:00Z</dcterms:created>
  <dcterms:modified xsi:type="dcterms:W3CDTF">2026-01-12T10:13:00Z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0x0101002EC36DCFB8B68646A797F68516756A14</vt:lpwstr>
  </property>
  <property fmtid="{D5CDD505-2E9C-101B-9397-08002B2CF9AE}" pid="3" name="Order">
    <vt:r8>100</vt:r8>
  </property>
</Properties>
</file>