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EA08" w14:textId="77777777" w:rsidR="0039767B" w:rsidRPr="000A416A" w:rsidRDefault="0039767B" w:rsidP="0039767B">
      <w:pPr>
        <w:jc w:val="center"/>
        <w:rPr>
          <w:rFonts w:cs="Arial"/>
          <w:b/>
          <w:sz w:val="28"/>
          <w:szCs w:val="28"/>
          <w:u w:val="single"/>
        </w:rPr>
      </w:pPr>
      <w:r w:rsidRPr="000A416A">
        <w:rPr>
          <w:rFonts w:cs="Arial"/>
          <w:b/>
          <w:sz w:val="28"/>
          <w:szCs w:val="28"/>
          <w:u w:val="single"/>
        </w:rPr>
        <w:t>ARDS AND NORTH DOWN BOROUGH COUNCIL</w:t>
      </w:r>
    </w:p>
    <w:p w14:paraId="7FBB2BD0" w14:textId="77777777" w:rsidR="0039767B" w:rsidRPr="000A416A" w:rsidRDefault="0039767B" w:rsidP="0039767B">
      <w:pPr>
        <w:rPr>
          <w:rFonts w:cs="Arial"/>
        </w:rPr>
      </w:pPr>
    </w:p>
    <w:p w14:paraId="4A8CD4F4" w14:textId="4E908CBC" w:rsidR="0039767B" w:rsidRPr="000A416A" w:rsidRDefault="0039767B" w:rsidP="0039767B">
      <w:pPr>
        <w:rPr>
          <w:rFonts w:cs="Arial"/>
        </w:rPr>
      </w:pPr>
      <w:r w:rsidRPr="00600EA9">
        <w:t xml:space="preserve">A </w:t>
      </w:r>
      <w:r>
        <w:t>hybrid</w:t>
      </w:r>
      <w:r w:rsidR="00FE1DE1">
        <w:t xml:space="preserve"> </w:t>
      </w:r>
      <w:r>
        <w:rPr>
          <w:rFonts w:cs="Arial"/>
        </w:rPr>
        <w:t xml:space="preserve">(in person and via Zoom) </w:t>
      </w:r>
      <w:r w:rsidRPr="00600EA9">
        <w:t>meeting</w:t>
      </w:r>
      <w:r>
        <w:rPr>
          <w:rFonts w:cs="Arial"/>
        </w:rPr>
        <w:t xml:space="preserve"> </w:t>
      </w:r>
      <w:r w:rsidRPr="00600EA9">
        <w:t xml:space="preserve">of the </w:t>
      </w:r>
      <w:r>
        <w:t>Audit Committee</w:t>
      </w:r>
      <w:r w:rsidRPr="00600EA9">
        <w:t xml:space="preserve"> was held </w:t>
      </w:r>
      <w:r>
        <w:t xml:space="preserve">at the Council Chamber, Church Street, Newtownards, on </w:t>
      </w:r>
      <w:r w:rsidR="00D524A9">
        <w:rPr>
          <w:rFonts w:cs="Arial"/>
        </w:rPr>
        <w:t>Monday 16</w:t>
      </w:r>
      <w:r w:rsidR="00D524A9" w:rsidRPr="00D524A9">
        <w:rPr>
          <w:rFonts w:cs="Arial"/>
          <w:vertAlign w:val="superscript"/>
        </w:rPr>
        <w:t>th</w:t>
      </w:r>
      <w:r w:rsidR="00D524A9">
        <w:rPr>
          <w:rFonts w:cs="Arial"/>
        </w:rPr>
        <w:t xml:space="preserve"> December</w:t>
      </w:r>
      <w:r>
        <w:rPr>
          <w:rFonts w:cs="Arial"/>
        </w:rPr>
        <w:t xml:space="preserve"> 2024 at 7.00</w:t>
      </w:r>
      <w:r w:rsidRPr="000A416A">
        <w:rPr>
          <w:rFonts w:cs="Arial"/>
        </w:rPr>
        <w:t xml:space="preserve">pm. </w:t>
      </w:r>
    </w:p>
    <w:p w14:paraId="17D2815D" w14:textId="77777777" w:rsidR="0039767B" w:rsidRPr="000A416A" w:rsidRDefault="0039767B" w:rsidP="0039767B">
      <w:pPr>
        <w:ind w:left="1440"/>
        <w:rPr>
          <w:rFonts w:cs="Arial"/>
        </w:rPr>
      </w:pPr>
      <w:r w:rsidRPr="000A416A">
        <w:rPr>
          <w:rFonts w:cs="Arial"/>
        </w:rPr>
        <w:t xml:space="preserve"> </w:t>
      </w:r>
    </w:p>
    <w:p w14:paraId="01B995C5" w14:textId="77777777" w:rsidR="0039767B" w:rsidRPr="000A416A" w:rsidRDefault="0039767B" w:rsidP="0039767B">
      <w:pPr>
        <w:rPr>
          <w:rFonts w:cs="Arial"/>
          <w:b/>
          <w:u w:val="single"/>
        </w:rPr>
      </w:pPr>
      <w:r w:rsidRPr="000A416A">
        <w:rPr>
          <w:rFonts w:cs="Arial"/>
          <w:b/>
          <w:u w:val="single"/>
        </w:rPr>
        <w:t>PRESENT: -</w:t>
      </w:r>
    </w:p>
    <w:p w14:paraId="47B356E5" w14:textId="77777777" w:rsidR="0039767B" w:rsidRPr="000A416A" w:rsidRDefault="0039767B" w:rsidP="0039767B">
      <w:pPr>
        <w:rPr>
          <w:rFonts w:cs="Arial"/>
        </w:rPr>
      </w:pPr>
      <w:r w:rsidRPr="000A416A">
        <w:rPr>
          <w:rFonts w:cs="Arial"/>
        </w:rPr>
        <w:t xml:space="preserve"> </w:t>
      </w:r>
    </w:p>
    <w:p w14:paraId="46196F1A" w14:textId="473736E0" w:rsidR="0039767B" w:rsidRDefault="0039767B" w:rsidP="0039767B">
      <w:pPr>
        <w:rPr>
          <w:rFonts w:cs="Arial"/>
        </w:rPr>
      </w:pPr>
      <w:r w:rsidRPr="000A416A">
        <w:rPr>
          <w:rFonts w:cs="Arial"/>
          <w:b/>
        </w:rPr>
        <w:t xml:space="preserve">In the Chair: </w:t>
      </w:r>
      <w:r>
        <w:rPr>
          <w:rFonts w:cs="Arial"/>
          <w:b/>
        </w:rPr>
        <w:tab/>
      </w:r>
      <w:r>
        <w:rPr>
          <w:rFonts w:cs="Arial"/>
        </w:rPr>
        <w:t xml:space="preserve"> </w:t>
      </w:r>
      <w:r w:rsidR="005918FC">
        <w:rPr>
          <w:rFonts w:cs="Arial"/>
        </w:rPr>
        <w:t>Councillor Hollywood</w:t>
      </w:r>
    </w:p>
    <w:p w14:paraId="58C8161B" w14:textId="77777777" w:rsidR="0039767B" w:rsidRDefault="0039767B" w:rsidP="0039767B">
      <w:pPr>
        <w:rPr>
          <w:rFonts w:cs="Arial"/>
        </w:rPr>
      </w:pPr>
    </w:p>
    <w:p w14:paraId="49E8E59D" w14:textId="77777777" w:rsidR="0039767B" w:rsidRPr="000E2E0D" w:rsidRDefault="0039767B" w:rsidP="0039767B">
      <w:pPr>
        <w:rPr>
          <w:rFonts w:cs="Arial"/>
        </w:rPr>
      </w:pPr>
      <w:r>
        <w:rPr>
          <w:rFonts w:cs="Arial"/>
        </w:rPr>
        <w:tab/>
      </w:r>
      <w:r>
        <w:rPr>
          <w:rFonts w:cs="Arial"/>
        </w:rPr>
        <w:tab/>
      </w:r>
      <w:r>
        <w:rPr>
          <w:rFonts w:cs="Arial"/>
        </w:rPr>
        <w:tab/>
      </w:r>
      <w:r>
        <w:rPr>
          <w:rFonts w:cs="Arial"/>
        </w:rPr>
        <w:tab/>
      </w:r>
      <w:r>
        <w:rPr>
          <w:rFonts w:cs="Arial"/>
        </w:rPr>
        <w:tab/>
      </w:r>
    </w:p>
    <w:p w14:paraId="06E6EA0A" w14:textId="64F083EB" w:rsidR="005918FC" w:rsidRDefault="0039767B" w:rsidP="005918FC">
      <w:pPr>
        <w:rPr>
          <w:rFonts w:cs="Arial"/>
        </w:rPr>
      </w:pPr>
      <w:r>
        <w:rPr>
          <w:rFonts w:cs="Arial"/>
          <w:b/>
          <w:bCs/>
        </w:rPr>
        <w:t>Councillors:</w:t>
      </w:r>
      <w:r>
        <w:rPr>
          <w:rFonts w:cs="Arial"/>
          <w:b/>
          <w:bCs/>
        </w:rPr>
        <w:tab/>
      </w:r>
      <w:r w:rsidR="005918FC">
        <w:rPr>
          <w:rFonts w:cs="Arial"/>
          <w:b/>
          <w:bCs/>
        </w:rPr>
        <w:tab/>
      </w:r>
      <w:r w:rsidR="0067440F">
        <w:rPr>
          <w:rFonts w:cs="Arial"/>
        </w:rPr>
        <w:t>Ashe (Zoom)</w:t>
      </w:r>
      <w:r w:rsidR="0067440F">
        <w:rPr>
          <w:rFonts w:cs="Arial"/>
        </w:rPr>
        <w:tab/>
      </w:r>
      <w:r w:rsidR="0067440F">
        <w:rPr>
          <w:rFonts w:cs="Arial"/>
        </w:rPr>
        <w:tab/>
      </w:r>
      <w:r w:rsidR="008038BD">
        <w:rPr>
          <w:rFonts w:cs="Arial"/>
        </w:rPr>
        <w:t>McKee (Zoom)</w:t>
      </w:r>
    </w:p>
    <w:p w14:paraId="5EFFD2D0" w14:textId="74266A14" w:rsidR="0039767B" w:rsidRDefault="005918FC" w:rsidP="005918FC">
      <w:pPr>
        <w:rPr>
          <w:rFonts w:cs="Arial"/>
        </w:rPr>
      </w:pPr>
      <w:r>
        <w:rPr>
          <w:rFonts w:cs="Arial"/>
        </w:rPr>
        <w:tab/>
      </w:r>
      <w:r>
        <w:rPr>
          <w:rFonts w:cs="Arial"/>
        </w:rPr>
        <w:tab/>
      </w:r>
      <w:r>
        <w:rPr>
          <w:rFonts w:cs="Arial"/>
        </w:rPr>
        <w:tab/>
      </w:r>
      <w:r w:rsidR="0067440F">
        <w:rPr>
          <w:rFonts w:cs="Arial"/>
        </w:rPr>
        <w:t>Harbinson</w:t>
      </w:r>
      <w:r>
        <w:rPr>
          <w:rFonts w:cs="Arial"/>
        </w:rPr>
        <w:tab/>
      </w:r>
      <w:r w:rsidR="0067440F">
        <w:rPr>
          <w:rFonts w:cs="Arial"/>
        </w:rPr>
        <w:tab/>
      </w:r>
      <w:r w:rsidR="008038BD">
        <w:rPr>
          <w:rFonts w:cs="Arial"/>
        </w:rPr>
        <w:t>Thompson (Zoom)</w:t>
      </w:r>
    </w:p>
    <w:p w14:paraId="505F42FF" w14:textId="329A2A45" w:rsidR="0067440F" w:rsidRDefault="0067440F" w:rsidP="005918FC">
      <w:pPr>
        <w:rPr>
          <w:rFonts w:cs="Arial"/>
        </w:rPr>
      </w:pPr>
      <w:r>
        <w:rPr>
          <w:rFonts w:cs="Arial"/>
        </w:rPr>
        <w:tab/>
      </w:r>
      <w:r>
        <w:rPr>
          <w:rFonts w:cs="Arial"/>
        </w:rPr>
        <w:tab/>
      </w:r>
      <w:r>
        <w:rPr>
          <w:rFonts w:cs="Arial"/>
        </w:rPr>
        <w:tab/>
      </w:r>
      <w:r w:rsidR="008038BD">
        <w:rPr>
          <w:rFonts w:cs="Arial"/>
        </w:rPr>
        <w:t>Cochrane</w:t>
      </w:r>
      <w:r w:rsidR="003A75C7">
        <w:rPr>
          <w:rFonts w:cs="Arial"/>
        </w:rPr>
        <w:t xml:space="preserve"> (Zoom)</w:t>
      </w:r>
      <w:r w:rsidR="008038BD">
        <w:rPr>
          <w:rFonts w:cs="Arial"/>
        </w:rPr>
        <w:tab/>
        <w:t>Wray (Zoom)</w:t>
      </w:r>
    </w:p>
    <w:p w14:paraId="299DA779" w14:textId="254A3439" w:rsidR="0039767B" w:rsidRDefault="005918FC" w:rsidP="0039767B">
      <w:pPr>
        <w:rPr>
          <w:rFonts w:cs="Arial"/>
        </w:rPr>
      </w:pPr>
      <w:r>
        <w:rPr>
          <w:rFonts w:cs="Arial"/>
        </w:rPr>
        <w:tab/>
      </w:r>
      <w:r>
        <w:rPr>
          <w:rFonts w:cs="Arial"/>
        </w:rPr>
        <w:tab/>
      </w:r>
      <w:r w:rsidR="0039767B">
        <w:rPr>
          <w:rFonts w:cs="Arial"/>
        </w:rPr>
        <w:tab/>
      </w:r>
      <w:r w:rsidR="0039767B">
        <w:rPr>
          <w:rFonts w:cs="Arial"/>
        </w:rPr>
        <w:tab/>
      </w:r>
      <w:r w:rsidR="0039767B">
        <w:rPr>
          <w:rFonts w:cs="Arial"/>
        </w:rPr>
        <w:tab/>
        <w:t xml:space="preserve"> </w:t>
      </w:r>
    </w:p>
    <w:p w14:paraId="202EA407" w14:textId="77777777" w:rsidR="0039767B" w:rsidRDefault="0039767B" w:rsidP="0039767B">
      <w:pPr>
        <w:rPr>
          <w:rFonts w:cs="Arial"/>
        </w:rPr>
      </w:pPr>
      <w:r w:rsidRPr="00CE4FA2">
        <w:rPr>
          <w:rFonts w:cs="Arial"/>
          <w:b/>
          <w:bCs/>
        </w:rPr>
        <w:t>Independent Member:</w:t>
      </w:r>
      <w:r>
        <w:rPr>
          <w:rFonts w:cs="Arial"/>
        </w:rPr>
        <w:t xml:space="preserve"> Mr P Cummings</w:t>
      </w:r>
    </w:p>
    <w:p w14:paraId="38575691" w14:textId="77777777" w:rsidR="0039767B" w:rsidRPr="000A416A" w:rsidRDefault="0039767B" w:rsidP="0039767B">
      <w:pPr>
        <w:rPr>
          <w:rFonts w:cs="Arial"/>
        </w:rPr>
      </w:pPr>
      <w:r>
        <w:rPr>
          <w:rFonts w:cs="Arial"/>
        </w:rPr>
        <w:tab/>
      </w:r>
    </w:p>
    <w:p w14:paraId="5F1F272C" w14:textId="43031031" w:rsidR="0039767B" w:rsidRPr="00CE4FA2" w:rsidRDefault="0039767B" w:rsidP="0039767B">
      <w:pPr>
        <w:tabs>
          <w:tab w:val="left" w:pos="2184"/>
          <w:tab w:val="left" w:pos="5387"/>
        </w:tabs>
        <w:rPr>
          <w:rFonts w:cs="Arial"/>
        </w:rPr>
      </w:pPr>
      <w:r w:rsidRPr="000A416A">
        <w:rPr>
          <w:rFonts w:cs="Arial"/>
          <w:b/>
        </w:rPr>
        <w:t>In Attendance</w:t>
      </w:r>
      <w:r>
        <w:rPr>
          <w:rFonts w:cs="Arial"/>
          <w:b/>
        </w:rPr>
        <w:t>:</w:t>
      </w:r>
      <w:r>
        <w:rPr>
          <w:rFonts w:cs="Arial"/>
          <w:b/>
        </w:rPr>
        <w:tab/>
      </w:r>
      <w:r w:rsidR="0067440F">
        <w:rPr>
          <w:rFonts w:cs="Arial"/>
        </w:rPr>
        <w:t>Camile McDermott (Deloitte)</w:t>
      </w:r>
      <w:r w:rsidR="00B424B4">
        <w:rPr>
          <w:rFonts w:cs="Arial"/>
        </w:rPr>
        <w:t>, Sarah Heanen (NIAO, Zoom)</w:t>
      </w:r>
    </w:p>
    <w:p w14:paraId="1EEA847A" w14:textId="77777777" w:rsidR="0039767B" w:rsidRDefault="0039767B" w:rsidP="0039767B">
      <w:pPr>
        <w:tabs>
          <w:tab w:val="left" w:pos="2184"/>
          <w:tab w:val="left" w:pos="5387"/>
        </w:tabs>
        <w:rPr>
          <w:rFonts w:cs="Arial"/>
        </w:rPr>
      </w:pPr>
    </w:p>
    <w:p w14:paraId="25E90C32" w14:textId="1046EC38" w:rsidR="0039767B" w:rsidRDefault="0039767B" w:rsidP="0039767B">
      <w:pPr>
        <w:ind w:left="2160" w:hanging="2160"/>
        <w:rPr>
          <w:rFonts w:cs="Arial"/>
        </w:rPr>
      </w:pPr>
      <w:r w:rsidRPr="000A416A">
        <w:rPr>
          <w:rFonts w:cs="Arial"/>
          <w:b/>
        </w:rPr>
        <w:t>Officers:</w:t>
      </w:r>
      <w:r w:rsidRPr="000A416A">
        <w:rPr>
          <w:rFonts w:cs="Arial"/>
          <w:b/>
        </w:rPr>
        <w:tab/>
      </w:r>
      <w:r>
        <w:rPr>
          <w:rFonts w:cs="Arial"/>
          <w:bCs/>
        </w:rPr>
        <w:t xml:space="preserve">Chief Executive (S McCullough), </w:t>
      </w:r>
      <w:r>
        <w:rPr>
          <w:rFonts w:cs="Arial"/>
        </w:rPr>
        <w:t>Director of Corporate Services (M Steele),</w:t>
      </w:r>
      <w:r w:rsidR="005918FC">
        <w:rPr>
          <w:rFonts w:cs="Arial"/>
        </w:rPr>
        <w:t xml:space="preserve"> </w:t>
      </w:r>
      <w:r w:rsidRPr="00946759">
        <w:rPr>
          <w:rFonts w:cs="Arial"/>
        </w:rPr>
        <w:t>Head of Finance (S Grieve)</w:t>
      </w:r>
      <w:r>
        <w:rPr>
          <w:rFonts w:cs="Arial"/>
        </w:rPr>
        <w:t xml:space="preserve">, </w:t>
      </w:r>
      <w:r w:rsidRPr="00946759">
        <w:rPr>
          <w:rFonts w:cs="Arial"/>
        </w:rPr>
        <w:t>and Democratic Services Officer (</w:t>
      </w:r>
      <w:r w:rsidR="00D524A9">
        <w:rPr>
          <w:rFonts w:cs="Arial"/>
        </w:rPr>
        <w:t>S McCrea)</w:t>
      </w:r>
    </w:p>
    <w:p w14:paraId="43826506" w14:textId="77777777" w:rsidR="00B424B4" w:rsidRPr="000A416A" w:rsidRDefault="00B424B4" w:rsidP="0039767B">
      <w:pPr>
        <w:ind w:left="2160" w:hanging="2160"/>
      </w:pPr>
    </w:p>
    <w:p w14:paraId="3A35349C" w14:textId="77777777" w:rsidR="0039767B" w:rsidRPr="0039767B" w:rsidRDefault="0039767B" w:rsidP="0039767B">
      <w:pPr>
        <w:pStyle w:val="Heading1"/>
        <w:rPr>
          <w:rFonts w:cs="Arial"/>
          <w:b w:val="0"/>
          <w:bCs/>
          <w:color w:val="auto"/>
          <w:szCs w:val="28"/>
        </w:rPr>
      </w:pPr>
      <w:r w:rsidRPr="0039767B">
        <w:rPr>
          <w:rFonts w:cs="Arial"/>
          <w:bCs/>
          <w:color w:val="auto"/>
          <w:szCs w:val="28"/>
        </w:rPr>
        <w:t>1.</w:t>
      </w:r>
      <w:r w:rsidRPr="0039767B">
        <w:rPr>
          <w:rFonts w:cs="Arial"/>
          <w:bCs/>
          <w:color w:val="auto"/>
          <w:szCs w:val="28"/>
        </w:rPr>
        <w:tab/>
      </w:r>
      <w:r w:rsidRPr="0039767B">
        <w:rPr>
          <w:rFonts w:ascii="Arial Bold" w:hAnsi="Arial Bold" w:cs="Arial"/>
          <w:bCs/>
          <w:caps/>
          <w:color w:val="auto"/>
          <w:szCs w:val="28"/>
          <w:u w:val="single"/>
        </w:rPr>
        <w:t>Apologies</w:t>
      </w:r>
    </w:p>
    <w:p w14:paraId="2630076F" w14:textId="77777777" w:rsidR="0039767B" w:rsidRDefault="0039767B" w:rsidP="0039767B">
      <w:pPr>
        <w:tabs>
          <w:tab w:val="left" w:pos="567"/>
        </w:tabs>
        <w:rPr>
          <w:rFonts w:cs="Arial"/>
          <w:b/>
          <w:caps/>
          <w:sz w:val="28"/>
          <w:szCs w:val="28"/>
        </w:rPr>
      </w:pPr>
    </w:p>
    <w:p w14:paraId="61A4F27A" w14:textId="615A238E" w:rsidR="00D524A9" w:rsidRDefault="0039767B" w:rsidP="0039767B">
      <w:pPr>
        <w:tabs>
          <w:tab w:val="left" w:pos="567"/>
        </w:tabs>
        <w:rPr>
          <w:rFonts w:cs="Arial"/>
        </w:rPr>
      </w:pPr>
      <w:r>
        <w:rPr>
          <w:rFonts w:cs="Arial"/>
        </w:rPr>
        <w:t>Apologies were received from</w:t>
      </w:r>
      <w:r w:rsidR="009D3D17">
        <w:rPr>
          <w:rFonts w:cs="Arial"/>
        </w:rPr>
        <w:t xml:space="preserve"> </w:t>
      </w:r>
      <w:r w:rsidR="0067440F">
        <w:rPr>
          <w:rFonts w:cs="Arial"/>
        </w:rPr>
        <w:t xml:space="preserve">Councillor McCollum for inability to attend. </w:t>
      </w:r>
    </w:p>
    <w:p w14:paraId="16775197" w14:textId="77777777" w:rsidR="00D524A9" w:rsidRDefault="00D524A9" w:rsidP="0039767B">
      <w:pPr>
        <w:tabs>
          <w:tab w:val="left" w:pos="567"/>
        </w:tabs>
        <w:rPr>
          <w:rFonts w:cs="Arial"/>
        </w:rPr>
      </w:pPr>
    </w:p>
    <w:p w14:paraId="313778E1" w14:textId="77777777" w:rsidR="0039767B" w:rsidRDefault="0039767B" w:rsidP="0039767B">
      <w:pPr>
        <w:tabs>
          <w:tab w:val="left" w:pos="567"/>
        </w:tabs>
        <w:rPr>
          <w:rFonts w:cs="Arial"/>
        </w:rPr>
      </w:pPr>
      <w:r w:rsidRPr="000A416A">
        <w:rPr>
          <w:rFonts w:cs="Arial"/>
          <w:b/>
        </w:rPr>
        <w:t>NOTED.</w:t>
      </w:r>
      <w:r w:rsidRPr="000A416A">
        <w:rPr>
          <w:rFonts w:cs="Arial"/>
        </w:rPr>
        <w:t xml:space="preserve"> </w:t>
      </w:r>
    </w:p>
    <w:p w14:paraId="3CEC0DBC" w14:textId="77777777" w:rsidR="00D524A9" w:rsidRPr="000A416A" w:rsidRDefault="00D524A9" w:rsidP="0039767B">
      <w:pPr>
        <w:tabs>
          <w:tab w:val="left" w:pos="567"/>
        </w:tabs>
        <w:rPr>
          <w:rFonts w:cs="Arial"/>
        </w:rPr>
      </w:pPr>
    </w:p>
    <w:p w14:paraId="379743F3" w14:textId="5C122956" w:rsidR="0039767B" w:rsidRPr="00D1281B" w:rsidRDefault="0039767B" w:rsidP="00D1281B">
      <w:pPr>
        <w:pStyle w:val="Heading1"/>
        <w:rPr>
          <w:rFonts w:cs="Arial"/>
          <w:b w:val="0"/>
          <w:bCs/>
          <w:color w:val="auto"/>
          <w:szCs w:val="28"/>
        </w:rPr>
      </w:pPr>
      <w:r w:rsidRPr="0039767B">
        <w:rPr>
          <w:rFonts w:cs="Arial"/>
          <w:bCs/>
          <w:color w:val="auto"/>
          <w:szCs w:val="28"/>
        </w:rPr>
        <w:t>2.</w:t>
      </w:r>
      <w:r w:rsidRPr="0039767B">
        <w:rPr>
          <w:rFonts w:cs="Arial"/>
          <w:bCs/>
          <w:color w:val="auto"/>
          <w:szCs w:val="28"/>
        </w:rPr>
        <w:tab/>
      </w:r>
      <w:r w:rsidR="00D524A9">
        <w:rPr>
          <w:rFonts w:ascii="Arial Bold" w:hAnsi="Arial Bold" w:cs="Arial"/>
          <w:bCs/>
          <w:caps/>
          <w:color w:val="auto"/>
          <w:szCs w:val="28"/>
          <w:u w:val="single"/>
        </w:rPr>
        <w:t>chairman’s remarks</w:t>
      </w:r>
    </w:p>
    <w:p w14:paraId="411684DD" w14:textId="77777777" w:rsidR="0039767B" w:rsidRDefault="0039767B" w:rsidP="0039767B"/>
    <w:p w14:paraId="0E9A41FB" w14:textId="55F40FA6" w:rsidR="009B1E7A" w:rsidRDefault="009B1E7A" w:rsidP="0039767B">
      <w:r>
        <w:t>The Chairman (Councillor Hollywood) welcomed Deloitte and Northern Ireland Audit Office representatives Camile McDermott and Susan Haanan respectively as well as Independent Member Paul Cummings.</w:t>
      </w:r>
    </w:p>
    <w:p w14:paraId="105C76C6" w14:textId="77777777" w:rsidR="00D524A9" w:rsidRPr="000A416A" w:rsidRDefault="00D524A9" w:rsidP="0039767B"/>
    <w:p w14:paraId="02CAA3E8" w14:textId="04E90021" w:rsidR="0039767B" w:rsidRPr="00D524A9" w:rsidRDefault="00D524A9" w:rsidP="00D524A9">
      <w:pPr>
        <w:pStyle w:val="Heading1"/>
        <w:rPr>
          <w:u w:val="single"/>
        </w:rPr>
      </w:pPr>
      <w:r>
        <w:t xml:space="preserve">3. </w:t>
      </w:r>
      <w:r>
        <w:tab/>
      </w:r>
      <w:r w:rsidRPr="00D524A9">
        <w:rPr>
          <w:u w:val="single"/>
        </w:rPr>
        <w:t>DECLARATIONS OF INTEREST</w:t>
      </w:r>
    </w:p>
    <w:p w14:paraId="3AB8FBA4" w14:textId="77777777" w:rsidR="00D524A9" w:rsidRDefault="00D524A9" w:rsidP="0039767B"/>
    <w:p w14:paraId="71AAACDB" w14:textId="093F07F2" w:rsidR="009B1E7A" w:rsidRDefault="009B1E7A" w:rsidP="0039767B">
      <w:r>
        <w:t>Camile McDermott declared an interest in Item 9: Review of Internal Audit Contract. Members were reminded that they could declare an interest at any time throughout the meeting.</w:t>
      </w:r>
    </w:p>
    <w:p w14:paraId="466A6EA7" w14:textId="77777777" w:rsidR="009B1E7A" w:rsidRDefault="009B1E7A" w:rsidP="0039767B"/>
    <w:p w14:paraId="32FEA6F7" w14:textId="77777777" w:rsidR="0039767B" w:rsidRDefault="0039767B" w:rsidP="0039767B">
      <w:r w:rsidRPr="000A416A">
        <w:rPr>
          <w:b/>
        </w:rPr>
        <w:t>NOTED.</w:t>
      </w:r>
      <w:r w:rsidRPr="000A416A">
        <w:t xml:space="preserve"> </w:t>
      </w:r>
    </w:p>
    <w:p w14:paraId="53D70C4B" w14:textId="77777777" w:rsidR="00D524A9" w:rsidRPr="00D51DAD" w:rsidRDefault="00D524A9" w:rsidP="0039767B"/>
    <w:p w14:paraId="46F40F91" w14:textId="04CF354C" w:rsidR="0039767B" w:rsidRDefault="00D524A9" w:rsidP="0039767B">
      <w:pPr>
        <w:pStyle w:val="Heading1"/>
        <w:ind w:left="720" w:hanging="720"/>
        <w:rPr>
          <w:rFonts w:ascii="Arial Bold" w:hAnsi="Arial Bold" w:cs="Arial" w:hint="eastAsia"/>
          <w:bCs/>
          <w:caps/>
          <w:color w:val="auto"/>
          <w:szCs w:val="28"/>
          <w:u w:val="single"/>
        </w:rPr>
      </w:pPr>
      <w:r>
        <w:rPr>
          <w:rFonts w:cs="Arial"/>
          <w:bCs/>
          <w:color w:val="auto"/>
          <w:szCs w:val="28"/>
        </w:rPr>
        <w:t>4</w:t>
      </w:r>
      <w:r w:rsidR="0039767B" w:rsidRPr="0039767B">
        <w:rPr>
          <w:rFonts w:cs="Arial"/>
          <w:bCs/>
          <w:color w:val="auto"/>
          <w:szCs w:val="28"/>
        </w:rPr>
        <w:t>.</w:t>
      </w:r>
      <w:r w:rsidR="0039767B" w:rsidRPr="0039767B">
        <w:rPr>
          <w:rFonts w:cs="Arial"/>
          <w:bCs/>
          <w:color w:val="auto"/>
          <w:szCs w:val="28"/>
        </w:rPr>
        <w:tab/>
      </w:r>
      <w:r>
        <w:rPr>
          <w:rFonts w:ascii="Arial Bold" w:hAnsi="Arial Bold" w:cs="Arial"/>
          <w:bCs/>
          <w:caps/>
          <w:color w:val="auto"/>
          <w:szCs w:val="28"/>
          <w:u w:val="single"/>
        </w:rPr>
        <w:t>MATTERS ARISING FROM PREVIOUS MINUTES</w:t>
      </w:r>
      <w:r w:rsidR="0039767B" w:rsidRPr="0039767B">
        <w:rPr>
          <w:rFonts w:ascii="Arial Bold" w:hAnsi="Arial Bold" w:cs="Arial"/>
          <w:bCs/>
          <w:caps/>
          <w:color w:val="auto"/>
          <w:szCs w:val="28"/>
          <w:u w:val="single"/>
        </w:rPr>
        <w:t xml:space="preserve"> </w:t>
      </w:r>
    </w:p>
    <w:p w14:paraId="65DEC7F2" w14:textId="77777777" w:rsidR="00731237" w:rsidRPr="00731237" w:rsidRDefault="00731237" w:rsidP="00731237"/>
    <w:p w14:paraId="6B050A63" w14:textId="59F25490" w:rsidR="00DE1A94" w:rsidRPr="00731237" w:rsidRDefault="007862CA" w:rsidP="00731237">
      <w:pPr>
        <w:pStyle w:val="Heading2"/>
        <w:rPr>
          <w:b/>
          <w:bCs/>
          <w:u w:val="single"/>
        </w:rPr>
      </w:pPr>
      <w:r w:rsidRPr="00731237">
        <w:rPr>
          <w:b/>
          <w:bCs/>
        </w:rPr>
        <w:t>4</w:t>
      </w:r>
      <w:r w:rsidR="00731237" w:rsidRPr="00731237">
        <w:rPr>
          <w:b/>
          <w:bCs/>
        </w:rPr>
        <w:t xml:space="preserve"> (a)</w:t>
      </w:r>
      <w:r w:rsidR="00731237" w:rsidRPr="00731237">
        <w:rPr>
          <w:b/>
          <w:bCs/>
        </w:rPr>
        <w:tab/>
      </w:r>
      <w:r w:rsidRPr="00731237">
        <w:rPr>
          <w:b/>
          <w:bCs/>
          <w:u w:val="single"/>
        </w:rPr>
        <w:t>COMMITTEE MINUTES FROM 23 SEPTEMBER 2024</w:t>
      </w:r>
    </w:p>
    <w:p w14:paraId="30729D32" w14:textId="77777777" w:rsidR="0039767B" w:rsidRDefault="0039767B" w:rsidP="0039767B"/>
    <w:p w14:paraId="69EDEF68" w14:textId="4E1D8849" w:rsidR="0039767B" w:rsidRDefault="0039767B" w:rsidP="0039767B">
      <w:r w:rsidRPr="00B32EF2">
        <w:rPr>
          <w:caps/>
        </w:rPr>
        <w:t>Previously circulated</w:t>
      </w:r>
      <w:r>
        <w:t xml:space="preserve">:- </w:t>
      </w:r>
      <w:r w:rsidR="00D1281B">
        <w:t xml:space="preserve">Copy of </w:t>
      </w:r>
      <w:r w:rsidR="00731237">
        <w:t xml:space="preserve">the above minutes. </w:t>
      </w:r>
    </w:p>
    <w:p w14:paraId="68065D98" w14:textId="77777777" w:rsidR="0039767B" w:rsidRDefault="0039767B" w:rsidP="0039767B"/>
    <w:p w14:paraId="574170E0" w14:textId="35FA18D3" w:rsidR="0039767B" w:rsidRDefault="0039767B" w:rsidP="0039767B">
      <w:pPr>
        <w:rPr>
          <w:b/>
        </w:rPr>
      </w:pPr>
      <w:r>
        <w:rPr>
          <w:b/>
        </w:rPr>
        <w:lastRenderedPageBreak/>
        <w:t xml:space="preserve">AGREED TO RECOMMEND, on the proposal of </w:t>
      </w:r>
      <w:r w:rsidR="005918FC">
        <w:rPr>
          <w:b/>
        </w:rPr>
        <w:t>Councillor</w:t>
      </w:r>
      <w:r w:rsidR="00510184">
        <w:rPr>
          <w:b/>
        </w:rPr>
        <w:t xml:space="preserve"> Harbinson</w:t>
      </w:r>
      <w:r>
        <w:rPr>
          <w:b/>
        </w:rPr>
        <w:t xml:space="preserve">, seconded by </w:t>
      </w:r>
      <w:r w:rsidR="005918FC">
        <w:rPr>
          <w:b/>
        </w:rPr>
        <w:t>Councillor</w:t>
      </w:r>
      <w:r w:rsidR="00510184">
        <w:rPr>
          <w:b/>
        </w:rPr>
        <w:t xml:space="preserve"> Wray</w:t>
      </w:r>
      <w:r>
        <w:rPr>
          <w:b/>
        </w:rPr>
        <w:t xml:space="preserve">, that the minutes be noted. </w:t>
      </w:r>
    </w:p>
    <w:p w14:paraId="1341DCE5" w14:textId="77777777" w:rsidR="00731237" w:rsidRDefault="00731237" w:rsidP="004249E2">
      <w:pPr>
        <w:pStyle w:val="Normal0"/>
      </w:pPr>
    </w:p>
    <w:p w14:paraId="38115C22" w14:textId="091ABC46" w:rsidR="007862CA" w:rsidRPr="00731237" w:rsidRDefault="00731237" w:rsidP="00731237">
      <w:pPr>
        <w:pStyle w:val="Heading2"/>
        <w:rPr>
          <w:b/>
          <w:bCs/>
          <w:u w:val="single"/>
        </w:rPr>
      </w:pPr>
      <w:r w:rsidRPr="00731237">
        <w:rPr>
          <w:b/>
          <w:bCs/>
        </w:rPr>
        <w:t>4 (b)</w:t>
      </w:r>
      <w:r w:rsidRPr="00731237">
        <w:rPr>
          <w:b/>
          <w:bCs/>
        </w:rPr>
        <w:tab/>
      </w:r>
      <w:r w:rsidR="007862CA" w:rsidRPr="00731237">
        <w:rPr>
          <w:b/>
          <w:bCs/>
        </w:rPr>
        <w:t xml:space="preserve"> </w:t>
      </w:r>
      <w:r w:rsidR="007862CA" w:rsidRPr="00731237">
        <w:rPr>
          <w:b/>
          <w:bCs/>
          <w:u w:val="single"/>
        </w:rPr>
        <w:t>FOLLOW-UP ACTIONS</w:t>
      </w:r>
    </w:p>
    <w:p w14:paraId="78F9FA88" w14:textId="77777777" w:rsidR="00756EC2" w:rsidRDefault="00756EC2" w:rsidP="00756EC2">
      <w:pPr>
        <w:rPr>
          <w:caps/>
        </w:rPr>
      </w:pPr>
      <w:bookmarkStart w:id="0" w:name="_Hlk146011915"/>
    </w:p>
    <w:p w14:paraId="741A6B84" w14:textId="0113BCF3" w:rsidR="0039767B" w:rsidRDefault="00756EC2" w:rsidP="0039767B">
      <w:r w:rsidRPr="00B32EF2">
        <w:rPr>
          <w:caps/>
        </w:rPr>
        <w:t>Previously circulated</w:t>
      </w:r>
      <w:r>
        <w:t xml:space="preserve">:- Report from the Director of Corporate Services </w:t>
      </w:r>
      <w:r>
        <w:rPr>
          <w:rFonts w:cs="Arial"/>
        </w:rPr>
        <w:t>detailing</w:t>
      </w:r>
      <w:r w:rsidRPr="00756EC2">
        <w:rPr>
          <w:rFonts w:cs="Arial"/>
        </w:rPr>
        <w:t xml:space="preserve">, </w:t>
      </w:r>
      <w:r>
        <w:rPr>
          <w:rFonts w:cs="Arial"/>
        </w:rPr>
        <w:t>i</w:t>
      </w:r>
      <w:r w:rsidRPr="00756EC2">
        <w:t>n line with good practice</w:t>
      </w:r>
      <w:r>
        <w:t>,</w:t>
      </w:r>
      <w:r w:rsidRPr="00756EC2">
        <w:t xml:space="preserve"> a register of actions </w:t>
      </w:r>
      <w:r>
        <w:t>was</w:t>
      </w:r>
      <w:r w:rsidRPr="00756EC2">
        <w:t xml:space="preserve"> maintained to ensure that requests from previous meetings of the Committee </w:t>
      </w:r>
      <w:r>
        <w:t>had been</w:t>
      </w:r>
      <w:r w:rsidRPr="00756EC2">
        <w:t xml:space="preserve"> followed up on. </w:t>
      </w:r>
    </w:p>
    <w:p w14:paraId="74B6A17D" w14:textId="77777777" w:rsidR="00756EC2" w:rsidRDefault="00756EC2" w:rsidP="0039767B"/>
    <w:tbl>
      <w:tblPr>
        <w:tblStyle w:val="GridTable4-Accent5"/>
        <w:tblW w:w="10080" w:type="dxa"/>
        <w:tblInd w:w="-572" w:type="dxa"/>
        <w:tblLook w:val="0620" w:firstRow="1" w:lastRow="0" w:firstColumn="0" w:lastColumn="0" w:noHBand="1" w:noVBand="1"/>
      </w:tblPr>
      <w:tblGrid>
        <w:gridCol w:w="1012"/>
        <w:gridCol w:w="2802"/>
        <w:gridCol w:w="3152"/>
        <w:gridCol w:w="1790"/>
        <w:gridCol w:w="1324"/>
      </w:tblGrid>
      <w:tr w:rsidR="00756EC2" w14:paraId="194F2FE1" w14:textId="77777777" w:rsidTr="00756EC2">
        <w:trPr>
          <w:cnfStyle w:val="100000000000" w:firstRow="1" w:lastRow="0" w:firstColumn="0" w:lastColumn="0" w:oddVBand="0" w:evenVBand="0" w:oddHBand="0" w:evenHBand="0" w:firstRowFirstColumn="0" w:firstRowLastColumn="0" w:lastRowFirstColumn="0" w:lastRowLastColumn="0"/>
          <w:tblHeader/>
        </w:trPr>
        <w:tc>
          <w:tcPr>
            <w:tcW w:w="1012" w:type="dxa"/>
            <w:hideMark/>
          </w:tcPr>
          <w:p w14:paraId="4988F3A5" w14:textId="77777777" w:rsidR="00756EC2" w:rsidRDefault="00756EC2">
            <w:pPr>
              <w:rPr>
                <w:szCs w:val="20"/>
              </w:rPr>
            </w:pPr>
            <w:r>
              <w:rPr>
                <w:szCs w:val="20"/>
              </w:rPr>
              <w:t>Item</w:t>
            </w:r>
          </w:p>
        </w:tc>
        <w:tc>
          <w:tcPr>
            <w:tcW w:w="2802" w:type="dxa"/>
            <w:hideMark/>
          </w:tcPr>
          <w:p w14:paraId="25F7E892" w14:textId="77777777" w:rsidR="00756EC2" w:rsidRDefault="00756EC2">
            <w:pPr>
              <w:rPr>
                <w:szCs w:val="20"/>
              </w:rPr>
            </w:pPr>
            <w:r>
              <w:rPr>
                <w:szCs w:val="20"/>
              </w:rPr>
              <w:t>Title</w:t>
            </w:r>
          </w:p>
        </w:tc>
        <w:tc>
          <w:tcPr>
            <w:tcW w:w="3152" w:type="dxa"/>
            <w:hideMark/>
          </w:tcPr>
          <w:p w14:paraId="32A1E489" w14:textId="77777777" w:rsidR="00756EC2" w:rsidRDefault="00756EC2">
            <w:pPr>
              <w:rPr>
                <w:szCs w:val="20"/>
              </w:rPr>
            </w:pPr>
            <w:r>
              <w:rPr>
                <w:szCs w:val="20"/>
              </w:rPr>
              <w:t>Acton</w:t>
            </w:r>
          </w:p>
        </w:tc>
        <w:tc>
          <w:tcPr>
            <w:tcW w:w="1790" w:type="dxa"/>
            <w:hideMark/>
          </w:tcPr>
          <w:p w14:paraId="07C917CA" w14:textId="77777777" w:rsidR="00756EC2" w:rsidRDefault="00756EC2">
            <w:pPr>
              <w:rPr>
                <w:szCs w:val="20"/>
              </w:rPr>
            </w:pPr>
            <w:r>
              <w:rPr>
                <w:szCs w:val="20"/>
              </w:rPr>
              <w:t>Officer</w:t>
            </w:r>
          </w:p>
        </w:tc>
        <w:tc>
          <w:tcPr>
            <w:tcW w:w="1324" w:type="dxa"/>
            <w:hideMark/>
          </w:tcPr>
          <w:p w14:paraId="48A266D1" w14:textId="77777777" w:rsidR="00756EC2" w:rsidRDefault="00756EC2">
            <w:pPr>
              <w:rPr>
                <w:szCs w:val="20"/>
              </w:rPr>
            </w:pPr>
            <w:r>
              <w:rPr>
                <w:szCs w:val="20"/>
              </w:rPr>
              <w:t>Status</w:t>
            </w:r>
          </w:p>
        </w:tc>
      </w:tr>
      <w:tr w:rsidR="00756EC2" w14:paraId="722E3CA2" w14:textId="77777777" w:rsidTr="00756EC2">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0DEC76F3" w14:textId="77777777" w:rsidR="00756EC2" w:rsidRDefault="00756EC2">
            <w:pPr>
              <w:rPr>
                <w:szCs w:val="20"/>
              </w:rPr>
            </w:pPr>
            <w:r>
              <w:rPr>
                <w:szCs w:val="20"/>
              </w:rPr>
              <w:t>Dec 23</w:t>
            </w:r>
          </w:p>
          <w:p w14:paraId="439C0232" w14:textId="77777777" w:rsidR="00756EC2" w:rsidRDefault="00756EC2">
            <w:pPr>
              <w:rPr>
                <w:szCs w:val="20"/>
              </w:rPr>
            </w:pPr>
            <w:r>
              <w:rPr>
                <w:szCs w:val="20"/>
              </w:rPr>
              <w:t>6b</w:t>
            </w:r>
          </w:p>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530D21AA" w14:textId="77777777" w:rsidR="00756EC2" w:rsidRDefault="00756EC2">
            <w:pPr>
              <w:rPr>
                <w:szCs w:val="20"/>
              </w:rPr>
            </w:pPr>
            <w:r>
              <w:rPr>
                <w:szCs w:val="20"/>
              </w:rPr>
              <w:t>Audit and Assessment Report</w:t>
            </w:r>
          </w:p>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39D14702" w14:textId="77777777" w:rsidR="00756EC2" w:rsidRDefault="00756EC2" w:rsidP="00756EC2">
            <w:pPr>
              <w:pStyle w:val="ListParagraph"/>
              <w:numPr>
                <w:ilvl w:val="0"/>
                <w:numId w:val="18"/>
              </w:numPr>
              <w:suppressAutoHyphens w:val="0"/>
              <w:autoSpaceDN/>
              <w:ind w:left="297"/>
              <w:textAlignment w:val="auto"/>
              <w:rPr>
                <w:szCs w:val="20"/>
              </w:rPr>
            </w:pPr>
            <w:r>
              <w:rPr>
                <w:szCs w:val="20"/>
              </w:rPr>
              <w:t>Drafting of formal consultation strategy</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C9DDFCF" w14:textId="77777777" w:rsidR="00756EC2" w:rsidRDefault="00756EC2">
            <w:pPr>
              <w:rPr>
                <w:szCs w:val="20"/>
              </w:rPr>
            </w:pPr>
            <w:r>
              <w:rPr>
                <w:szCs w:val="20"/>
              </w:rPr>
              <w:t>Head of Comms &amp; Marketing</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CAEDFB" w:themeFill="accent4" w:themeFillTint="33"/>
            <w:hideMark/>
          </w:tcPr>
          <w:p w14:paraId="3F9FD800" w14:textId="77777777" w:rsidR="00756EC2" w:rsidRDefault="00756EC2">
            <w:pPr>
              <w:rPr>
                <w:szCs w:val="20"/>
              </w:rPr>
            </w:pPr>
            <w:r>
              <w:rPr>
                <w:szCs w:val="20"/>
              </w:rPr>
              <w:t>Due March 2025</w:t>
            </w:r>
          </w:p>
        </w:tc>
      </w:tr>
      <w:tr w:rsidR="00756EC2" w14:paraId="32312E15" w14:textId="77777777" w:rsidTr="00756EC2">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2D8FB60" w14:textId="77777777" w:rsidR="00756EC2" w:rsidRDefault="00756EC2">
            <w:pPr>
              <w:rPr>
                <w:szCs w:val="20"/>
              </w:rPr>
            </w:pPr>
            <w:r>
              <w:rPr>
                <w:szCs w:val="20"/>
              </w:rPr>
              <w:t>Jun 24</w:t>
            </w:r>
          </w:p>
          <w:p w14:paraId="09307AB4" w14:textId="77777777" w:rsidR="00756EC2" w:rsidRDefault="00756EC2">
            <w:pPr>
              <w:rPr>
                <w:szCs w:val="20"/>
              </w:rPr>
            </w:pPr>
            <w:r>
              <w:rPr>
                <w:szCs w:val="20"/>
              </w:rPr>
              <w:t>11</w:t>
            </w:r>
          </w:p>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3E0035D" w14:textId="77777777" w:rsidR="00756EC2" w:rsidRDefault="00756EC2">
            <w:pPr>
              <w:rPr>
                <w:szCs w:val="20"/>
              </w:rPr>
            </w:pPr>
            <w:r>
              <w:rPr>
                <w:szCs w:val="20"/>
              </w:rPr>
              <w:t>Draft Financial Statements</w:t>
            </w:r>
          </w:p>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63EDD48F" w14:textId="77777777" w:rsidR="00756EC2" w:rsidRDefault="00756EC2" w:rsidP="00756EC2">
            <w:pPr>
              <w:pStyle w:val="ListParagraph"/>
              <w:numPr>
                <w:ilvl w:val="0"/>
                <w:numId w:val="18"/>
              </w:numPr>
              <w:suppressAutoHyphens w:val="0"/>
              <w:autoSpaceDN/>
              <w:ind w:left="297"/>
              <w:textAlignment w:val="auto"/>
              <w:rPr>
                <w:szCs w:val="20"/>
              </w:rPr>
            </w:pPr>
            <w:r>
              <w:rPr>
                <w:szCs w:val="20"/>
              </w:rPr>
              <w:t>Review of Scheme of Allowances to remove the need for Members to claim SRA</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3600609F" w14:textId="77777777" w:rsidR="00756EC2" w:rsidRDefault="00756EC2">
            <w:pPr>
              <w:rPr>
                <w:szCs w:val="20"/>
              </w:rPr>
            </w:pPr>
            <w:r>
              <w:rPr>
                <w:szCs w:val="20"/>
              </w:rPr>
              <w:t>Head of Finance</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CAEDFB" w:themeFill="accent4" w:themeFillTint="33"/>
            <w:hideMark/>
          </w:tcPr>
          <w:p w14:paraId="4787721A" w14:textId="77777777" w:rsidR="00756EC2" w:rsidRDefault="00756EC2">
            <w:pPr>
              <w:rPr>
                <w:szCs w:val="20"/>
              </w:rPr>
            </w:pPr>
            <w:r>
              <w:rPr>
                <w:szCs w:val="20"/>
              </w:rPr>
              <w:t>Due March 2025</w:t>
            </w:r>
          </w:p>
        </w:tc>
      </w:tr>
      <w:tr w:rsidR="00756EC2" w14:paraId="684B4A21" w14:textId="77777777" w:rsidTr="00756EC2">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3C19EEB" w14:textId="77777777" w:rsidR="00756EC2" w:rsidRDefault="00756EC2">
            <w:pPr>
              <w:rPr>
                <w:szCs w:val="20"/>
              </w:rPr>
            </w:pPr>
            <w:r>
              <w:rPr>
                <w:szCs w:val="20"/>
              </w:rPr>
              <w:t>12</w:t>
            </w:r>
          </w:p>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55FA5531" w14:textId="77777777" w:rsidR="00756EC2" w:rsidRDefault="00756EC2">
            <w:pPr>
              <w:rPr>
                <w:szCs w:val="20"/>
              </w:rPr>
            </w:pPr>
            <w:r>
              <w:rPr>
                <w:szCs w:val="20"/>
              </w:rPr>
              <w:t>Private Meeting with Auditors</w:t>
            </w:r>
          </w:p>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FA31F00" w14:textId="77777777" w:rsidR="00756EC2" w:rsidRDefault="00756EC2" w:rsidP="00756EC2">
            <w:pPr>
              <w:pStyle w:val="ListParagraph"/>
              <w:numPr>
                <w:ilvl w:val="0"/>
                <w:numId w:val="18"/>
              </w:numPr>
              <w:suppressAutoHyphens w:val="0"/>
              <w:autoSpaceDN/>
              <w:ind w:left="297"/>
              <w:textAlignment w:val="auto"/>
              <w:rPr>
                <w:szCs w:val="20"/>
              </w:rPr>
            </w:pPr>
            <w:r>
              <w:rPr>
                <w:szCs w:val="20"/>
              </w:rPr>
              <w:t>Need for progress with regard to Governance and Internal Audit issues</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FE939EA" w14:textId="77777777" w:rsidR="00756EC2" w:rsidRDefault="00756EC2">
            <w:pPr>
              <w:rPr>
                <w:szCs w:val="20"/>
              </w:rPr>
            </w:pPr>
            <w:r>
              <w:rPr>
                <w:szCs w:val="20"/>
              </w:rPr>
              <w:t>Director of Corporate Services</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CAEDFB" w:themeFill="accent4" w:themeFillTint="33"/>
            <w:hideMark/>
          </w:tcPr>
          <w:p w14:paraId="215F83AD" w14:textId="77777777" w:rsidR="00756EC2" w:rsidRDefault="00756EC2">
            <w:pPr>
              <w:rPr>
                <w:szCs w:val="20"/>
              </w:rPr>
            </w:pPr>
            <w:r>
              <w:rPr>
                <w:szCs w:val="20"/>
              </w:rPr>
              <w:t>In progress see item 7a</w:t>
            </w:r>
          </w:p>
        </w:tc>
      </w:tr>
      <w:tr w:rsidR="00756EC2" w14:paraId="07964620" w14:textId="77777777" w:rsidTr="00756EC2">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2B67BC5D" w14:textId="77777777" w:rsidR="00756EC2" w:rsidRDefault="00756EC2">
            <w:pPr>
              <w:rPr>
                <w:szCs w:val="20"/>
              </w:rPr>
            </w:pPr>
          </w:p>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45B21699" w14:textId="77777777" w:rsidR="00756EC2" w:rsidRDefault="00756EC2">
            <w:pPr>
              <w:rPr>
                <w:szCs w:val="20"/>
              </w:rPr>
            </w:pPr>
          </w:p>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5C19CB1D" w14:textId="77777777" w:rsidR="00756EC2" w:rsidRDefault="00756EC2" w:rsidP="00756EC2">
            <w:pPr>
              <w:pStyle w:val="ListParagraph"/>
              <w:numPr>
                <w:ilvl w:val="0"/>
                <w:numId w:val="18"/>
              </w:numPr>
              <w:suppressAutoHyphens w:val="0"/>
              <w:autoSpaceDN/>
              <w:ind w:left="297"/>
              <w:textAlignment w:val="auto"/>
              <w:rPr>
                <w:szCs w:val="20"/>
              </w:rPr>
            </w:pPr>
            <w:r>
              <w:rPr>
                <w:szCs w:val="20"/>
              </w:rPr>
              <w:t>Members requested earlier draft financial statements</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64920813" w14:textId="77777777" w:rsidR="00756EC2" w:rsidRDefault="00756EC2">
            <w:pPr>
              <w:rPr>
                <w:szCs w:val="20"/>
              </w:rPr>
            </w:pPr>
            <w:r>
              <w:rPr>
                <w:szCs w:val="20"/>
              </w:rPr>
              <w:t>Head of Finance</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CAEDFB" w:themeFill="accent4" w:themeFillTint="33"/>
            <w:hideMark/>
          </w:tcPr>
          <w:p w14:paraId="514CBA5C" w14:textId="77777777" w:rsidR="00756EC2" w:rsidRDefault="00756EC2">
            <w:pPr>
              <w:rPr>
                <w:szCs w:val="20"/>
              </w:rPr>
            </w:pPr>
            <w:r>
              <w:rPr>
                <w:szCs w:val="20"/>
              </w:rPr>
              <w:t>Due June 2025</w:t>
            </w:r>
          </w:p>
        </w:tc>
      </w:tr>
      <w:tr w:rsidR="00756EC2" w14:paraId="31D08E8B" w14:textId="77777777" w:rsidTr="00756EC2">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2B0CDFEA" w14:textId="77777777" w:rsidR="00756EC2" w:rsidRDefault="00756EC2">
            <w:pPr>
              <w:rPr>
                <w:szCs w:val="20"/>
              </w:rPr>
            </w:pPr>
          </w:p>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27F6E6E1" w14:textId="77777777" w:rsidR="00756EC2" w:rsidRDefault="00756EC2">
            <w:pPr>
              <w:rPr>
                <w:szCs w:val="20"/>
              </w:rPr>
            </w:pPr>
          </w:p>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46041B88" w14:textId="77777777" w:rsidR="00756EC2" w:rsidRDefault="00756EC2" w:rsidP="00756EC2">
            <w:pPr>
              <w:pStyle w:val="ListParagraph"/>
              <w:numPr>
                <w:ilvl w:val="0"/>
                <w:numId w:val="18"/>
              </w:numPr>
              <w:suppressAutoHyphens w:val="0"/>
              <w:autoSpaceDN/>
              <w:ind w:left="297"/>
              <w:textAlignment w:val="auto"/>
              <w:rPr>
                <w:szCs w:val="20"/>
              </w:rPr>
            </w:pPr>
            <w:r>
              <w:rPr>
                <w:szCs w:val="20"/>
              </w:rPr>
              <w:t>Need for additional meeting to be considered during Annual Meeting</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6A1096C" w14:textId="77777777" w:rsidR="00756EC2" w:rsidRDefault="00756EC2">
            <w:pPr>
              <w:rPr>
                <w:szCs w:val="20"/>
              </w:rPr>
            </w:pPr>
            <w:r>
              <w:rPr>
                <w:szCs w:val="20"/>
              </w:rPr>
              <w:t>Director of Corporate Services</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CAEDFB" w:themeFill="accent4" w:themeFillTint="33"/>
            <w:hideMark/>
          </w:tcPr>
          <w:p w14:paraId="0AF345FC" w14:textId="77777777" w:rsidR="00756EC2" w:rsidRDefault="00756EC2">
            <w:pPr>
              <w:rPr>
                <w:szCs w:val="20"/>
              </w:rPr>
            </w:pPr>
            <w:r>
              <w:rPr>
                <w:szCs w:val="20"/>
              </w:rPr>
              <w:t>June 2025</w:t>
            </w:r>
          </w:p>
        </w:tc>
      </w:tr>
      <w:tr w:rsidR="00756EC2" w14:paraId="48A54469" w14:textId="77777777" w:rsidTr="00756EC2">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8F9349A" w14:textId="77777777" w:rsidR="00756EC2" w:rsidRDefault="00756EC2">
            <w:pPr>
              <w:rPr>
                <w:szCs w:val="20"/>
              </w:rPr>
            </w:pPr>
            <w:r>
              <w:rPr>
                <w:szCs w:val="20"/>
              </w:rPr>
              <w:t>Sep 24</w:t>
            </w:r>
          </w:p>
          <w:p w14:paraId="7B63C412" w14:textId="77777777" w:rsidR="00756EC2" w:rsidRDefault="00756EC2">
            <w:pPr>
              <w:rPr>
                <w:szCs w:val="20"/>
              </w:rPr>
            </w:pPr>
            <w:r>
              <w:rPr>
                <w:szCs w:val="20"/>
              </w:rPr>
              <w:t>5a</w:t>
            </w:r>
          </w:p>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3D65D55C" w14:textId="77777777" w:rsidR="00756EC2" w:rsidRDefault="00756EC2">
            <w:pPr>
              <w:rPr>
                <w:szCs w:val="20"/>
              </w:rPr>
            </w:pPr>
            <w:r>
              <w:rPr>
                <w:szCs w:val="20"/>
              </w:rPr>
              <w:t>Draft Report to those charged with Governance</w:t>
            </w:r>
          </w:p>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06B6F6C7" w14:textId="77777777" w:rsidR="00756EC2" w:rsidRDefault="00756EC2" w:rsidP="00756EC2">
            <w:pPr>
              <w:pStyle w:val="ListParagraph"/>
              <w:numPr>
                <w:ilvl w:val="0"/>
                <w:numId w:val="18"/>
              </w:numPr>
              <w:suppressAutoHyphens w:val="0"/>
              <w:autoSpaceDN/>
              <w:ind w:left="297"/>
              <w:textAlignment w:val="auto"/>
              <w:rPr>
                <w:szCs w:val="20"/>
              </w:rPr>
            </w:pPr>
            <w:r>
              <w:rPr>
                <w:szCs w:val="20"/>
              </w:rPr>
              <w:t xml:space="preserve">Special  Committee meeting to be held </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3425E74B" w14:textId="77777777" w:rsidR="00756EC2" w:rsidRDefault="00756EC2">
            <w:pPr>
              <w:rPr>
                <w:szCs w:val="20"/>
              </w:rPr>
            </w:pPr>
            <w:r>
              <w:rPr>
                <w:szCs w:val="20"/>
              </w:rPr>
              <w:t>Director of Corporate Services</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92D050"/>
            <w:hideMark/>
          </w:tcPr>
          <w:p w14:paraId="2D26E829" w14:textId="77777777" w:rsidR="00756EC2" w:rsidRDefault="00756EC2">
            <w:pPr>
              <w:rPr>
                <w:szCs w:val="20"/>
              </w:rPr>
            </w:pPr>
            <w:r>
              <w:rPr>
                <w:szCs w:val="20"/>
              </w:rPr>
              <w:t>October 2024</w:t>
            </w:r>
          </w:p>
        </w:tc>
      </w:tr>
    </w:tbl>
    <w:p w14:paraId="073E4FFB" w14:textId="77777777" w:rsidR="00756EC2" w:rsidRDefault="00756EC2" w:rsidP="00756EC2">
      <w:pPr>
        <w:rPr>
          <w:szCs w:val="20"/>
        </w:rPr>
      </w:pPr>
    </w:p>
    <w:p w14:paraId="09B946D3" w14:textId="555FB8AD" w:rsidR="00756EC2" w:rsidRDefault="00756EC2" w:rsidP="00756EC2">
      <w:r>
        <w:t>RECOMMENDED that Council notes this update.</w:t>
      </w:r>
    </w:p>
    <w:p w14:paraId="198ED501" w14:textId="77777777" w:rsidR="007862CA" w:rsidRDefault="007862CA" w:rsidP="0039767B">
      <w:pPr>
        <w:rPr>
          <w:b/>
          <w:bCs/>
        </w:rPr>
      </w:pPr>
    </w:p>
    <w:p w14:paraId="497F18BB" w14:textId="36388A5F" w:rsidR="007862CA" w:rsidRDefault="007862CA" w:rsidP="0039767B">
      <w:pPr>
        <w:rPr>
          <w:b/>
        </w:rPr>
      </w:pPr>
      <w:r>
        <w:rPr>
          <w:b/>
        </w:rPr>
        <w:t>AGREED TO RECOMMEND, on the proposal of Councillor</w:t>
      </w:r>
      <w:r w:rsidR="009B1E7A">
        <w:rPr>
          <w:b/>
        </w:rPr>
        <w:t xml:space="preserve"> Harbinson</w:t>
      </w:r>
      <w:r>
        <w:rPr>
          <w:b/>
        </w:rPr>
        <w:t>, seconded by Councillor</w:t>
      </w:r>
      <w:r w:rsidR="009B1E7A">
        <w:rPr>
          <w:b/>
        </w:rPr>
        <w:t xml:space="preserve"> Wray</w:t>
      </w:r>
      <w:r>
        <w:rPr>
          <w:b/>
        </w:rPr>
        <w:t xml:space="preserve">, that Council notes the update.  </w:t>
      </w:r>
    </w:p>
    <w:p w14:paraId="3CEC43DB" w14:textId="77777777" w:rsidR="00127C13" w:rsidRDefault="00127C13" w:rsidP="0039767B">
      <w:pPr>
        <w:rPr>
          <w:b/>
        </w:rPr>
      </w:pPr>
    </w:p>
    <w:p w14:paraId="7F103720" w14:textId="2E104212" w:rsidR="00127C13" w:rsidRDefault="00127C13" w:rsidP="00127C13">
      <w:pPr>
        <w:pStyle w:val="Heading2"/>
        <w:rPr>
          <w:b/>
          <w:bCs/>
        </w:rPr>
      </w:pPr>
      <w:r w:rsidRPr="00127C13">
        <w:rPr>
          <w:b/>
          <w:bCs/>
        </w:rPr>
        <w:t>4 (b) FOLLOW UP ACTIONS</w:t>
      </w:r>
    </w:p>
    <w:p w14:paraId="754C4E83" w14:textId="77777777" w:rsidR="00127C13" w:rsidRDefault="00127C13" w:rsidP="00127C13"/>
    <w:p w14:paraId="7CC100ED" w14:textId="49CBA386" w:rsidR="00127C13" w:rsidRDefault="00127C13" w:rsidP="00127C13">
      <w:r w:rsidRPr="00B32EF2">
        <w:rPr>
          <w:caps/>
        </w:rPr>
        <w:t>Previously circulated</w:t>
      </w:r>
      <w:r>
        <w:t xml:space="preserve">:- Report from the Director of Corporate Services </w:t>
      </w:r>
      <w:r>
        <w:rPr>
          <w:rFonts w:cs="Arial"/>
        </w:rPr>
        <w:t>detailing that,</w:t>
      </w:r>
      <w:r w:rsidRPr="00127C13">
        <w:t xml:space="preserve"> In line with good practice</w:t>
      </w:r>
      <w:r>
        <w:t>,</w:t>
      </w:r>
      <w:r w:rsidRPr="00127C13">
        <w:t xml:space="preserve"> a register of actions </w:t>
      </w:r>
      <w:r>
        <w:t>WAS</w:t>
      </w:r>
      <w:r w:rsidRPr="00127C13">
        <w:t xml:space="preserve"> maintained to ensure that requests from previous meetings of the Committee </w:t>
      </w:r>
      <w:r>
        <w:t>WERE</w:t>
      </w:r>
      <w:r w:rsidRPr="00127C13">
        <w:t xml:space="preserve"> followed up on.</w:t>
      </w:r>
    </w:p>
    <w:p w14:paraId="134D85E0" w14:textId="77777777" w:rsidR="00127C13" w:rsidRPr="00127C13" w:rsidRDefault="00127C13" w:rsidP="00127C13"/>
    <w:tbl>
      <w:tblPr>
        <w:tblStyle w:val="GridTable4-Accent5"/>
        <w:tblW w:w="10080" w:type="dxa"/>
        <w:tblInd w:w="-572" w:type="dxa"/>
        <w:tblLook w:val="0620" w:firstRow="1" w:lastRow="0" w:firstColumn="0" w:lastColumn="0" w:noHBand="1" w:noVBand="1"/>
      </w:tblPr>
      <w:tblGrid>
        <w:gridCol w:w="1012"/>
        <w:gridCol w:w="2802"/>
        <w:gridCol w:w="3152"/>
        <w:gridCol w:w="1790"/>
        <w:gridCol w:w="1324"/>
      </w:tblGrid>
      <w:tr w:rsidR="00127C13" w:rsidRPr="00127C13" w14:paraId="28DEB0E7" w14:textId="77777777" w:rsidTr="00127C13">
        <w:trPr>
          <w:cnfStyle w:val="100000000000" w:firstRow="1" w:lastRow="0" w:firstColumn="0" w:lastColumn="0" w:oddVBand="0" w:evenVBand="0" w:oddHBand="0" w:evenHBand="0" w:firstRowFirstColumn="0" w:firstRowLastColumn="0" w:lastRowFirstColumn="0" w:lastRowLastColumn="0"/>
          <w:tblHeader/>
        </w:trPr>
        <w:tc>
          <w:tcPr>
            <w:tcW w:w="1012" w:type="dxa"/>
            <w:hideMark/>
          </w:tcPr>
          <w:p w14:paraId="2015ACEE" w14:textId="77777777" w:rsidR="00127C13" w:rsidRPr="00127C13" w:rsidRDefault="00127C13" w:rsidP="00127C13">
            <w:r w:rsidRPr="00127C13">
              <w:t>Item</w:t>
            </w:r>
          </w:p>
        </w:tc>
        <w:tc>
          <w:tcPr>
            <w:tcW w:w="2802" w:type="dxa"/>
            <w:hideMark/>
          </w:tcPr>
          <w:p w14:paraId="7A97F608" w14:textId="77777777" w:rsidR="00127C13" w:rsidRPr="00127C13" w:rsidRDefault="00127C13" w:rsidP="00127C13">
            <w:r w:rsidRPr="00127C13">
              <w:t>Title</w:t>
            </w:r>
          </w:p>
        </w:tc>
        <w:tc>
          <w:tcPr>
            <w:tcW w:w="3152" w:type="dxa"/>
            <w:hideMark/>
          </w:tcPr>
          <w:p w14:paraId="32C68D5D" w14:textId="77777777" w:rsidR="00127C13" w:rsidRPr="00127C13" w:rsidRDefault="00127C13" w:rsidP="00127C13">
            <w:r w:rsidRPr="00127C13">
              <w:t>Acton</w:t>
            </w:r>
          </w:p>
        </w:tc>
        <w:tc>
          <w:tcPr>
            <w:tcW w:w="1790" w:type="dxa"/>
            <w:hideMark/>
          </w:tcPr>
          <w:p w14:paraId="0629F764" w14:textId="77777777" w:rsidR="00127C13" w:rsidRPr="00127C13" w:rsidRDefault="00127C13" w:rsidP="00127C13">
            <w:r w:rsidRPr="00127C13">
              <w:t>Officer</w:t>
            </w:r>
          </w:p>
        </w:tc>
        <w:tc>
          <w:tcPr>
            <w:tcW w:w="1324" w:type="dxa"/>
            <w:hideMark/>
          </w:tcPr>
          <w:p w14:paraId="13045933" w14:textId="77777777" w:rsidR="00127C13" w:rsidRPr="00127C13" w:rsidRDefault="00127C13" w:rsidP="00127C13">
            <w:r w:rsidRPr="00127C13">
              <w:t>Status</w:t>
            </w:r>
          </w:p>
        </w:tc>
      </w:tr>
      <w:tr w:rsidR="00127C13" w:rsidRPr="00127C13" w14:paraId="48CAFBBD" w14:textId="77777777" w:rsidTr="00127C13">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02354A50" w14:textId="77777777" w:rsidR="00127C13" w:rsidRPr="00127C13" w:rsidRDefault="00127C13" w:rsidP="00127C13">
            <w:r w:rsidRPr="00127C13">
              <w:t>Dec 23</w:t>
            </w:r>
          </w:p>
          <w:p w14:paraId="5170A1F9" w14:textId="77777777" w:rsidR="00127C13" w:rsidRPr="00127C13" w:rsidRDefault="00127C13" w:rsidP="00127C13">
            <w:r w:rsidRPr="00127C13">
              <w:t>6b</w:t>
            </w:r>
          </w:p>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6902AF2A" w14:textId="77777777" w:rsidR="00127C13" w:rsidRPr="00127C13" w:rsidRDefault="00127C13" w:rsidP="00127C13">
            <w:r w:rsidRPr="00127C13">
              <w:t>Audit and Assessment Report</w:t>
            </w:r>
          </w:p>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706C9B5" w14:textId="77777777" w:rsidR="00127C13" w:rsidRPr="00127C13" w:rsidRDefault="00127C13" w:rsidP="00127C13">
            <w:pPr>
              <w:numPr>
                <w:ilvl w:val="0"/>
                <w:numId w:val="19"/>
              </w:numPr>
            </w:pPr>
            <w:r w:rsidRPr="00127C13">
              <w:t>Drafting of formal consultation strategy</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4A74EA5D" w14:textId="77777777" w:rsidR="00127C13" w:rsidRPr="00127C13" w:rsidRDefault="00127C13" w:rsidP="00127C13">
            <w:r w:rsidRPr="00127C13">
              <w:t>Head of Comms &amp; Marketing</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CAEDFB" w:themeFill="accent4" w:themeFillTint="33"/>
            <w:hideMark/>
          </w:tcPr>
          <w:p w14:paraId="024FC1D0" w14:textId="77777777" w:rsidR="00127C13" w:rsidRPr="00127C13" w:rsidRDefault="00127C13" w:rsidP="00127C13">
            <w:r w:rsidRPr="00127C13">
              <w:t>Due March 2025</w:t>
            </w:r>
          </w:p>
        </w:tc>
      </w:tr>
      <w:tr w:rsidR="00127C13" w:rsidRPr="00127C13" w14:paraId="3D794519" w14:textId="77777777" w:rsidTr="00127C13">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E285DD3" w14:textId="77777777" w:rsidR="00127C13" w:rsidRPr="00127C13" w:rsidRDefault="00127C13" w:rsidP="00127C13">
            <w:r w:rsidRPr="00127C13">
              <w:lastRenderedPageBreak/>
              <w:t>Jun 24</w:t>
            </w:r>
          </w:p>
          <w:p w14:paraId="5DA4422A" w14:textId="77777777" w:rsidR="00127C13" w:rsidRPr="00127C13" w:rsidRDefault="00127C13" w:rsidP="00127C13">
            <w:r w:rsidRPr="00127C13">
              <w:t>11</w:t>
            </w:r>
          </w:p>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018B2F49" w14:textId="77777777" w:rsidR="00127C13" w:rsidRPr="00127C13" w:rsidRDefault="00127C13" w:rsidP="00127C13">
            <w:r w:rsidRPr="00127C13">
              <w:t>Draft Financial Statements</w:t>
            </w:r>
          </w:p>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53A1B7D2" w14:textId="77777777" w:rsidR="00127C13" w:rsidRPr="00127C13" w:rsidRDefault="00127C13" w:rsidP="00127C13">
            <w:pPr>
              <w:numPr>
                <w:ilvl w:val="0"/>
                <w:numId w:val="19"/>
              </w:numPr>
            </w:pPr>
            <w:r w:rsidRPr="00127C13">
              <w:t>Review of Scheme of Allowances to remove the need for Members to claim SRA</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E15C4E2" w14:textId="77777777" w:rsidR="00127C13" w:rsidRPr="00127C13" w:rsidRDefault="00127C13" w:rsidP="00127C13">
            <w:r w:rsidRPr="00127C13">
              <w:t>Head of Finance</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CAEDFB" w:themeFill="accent4" w:themeFillTint="33"/>
            <w:hideMark/>
          </w:tcPr>
          <w:p w14:paraId="242F165A" w14:textId="77777777" w:rsidR="00127C13" w:rsidRPr="00127C13" w:rsidRDefault="00127C13" w:rsidP="00127C13">
            <w:r w:rsidRPr="00127C13">
              <w:t>Due March 2025</w:t>
            </w:r>
          </w:p>
        </w:tc>
      </w:tr>
      <w:tr w:rsidR="00127C13" w:rsidRPr="00127C13" w14:paraId="51224A15" w14:textId="77777777" w:rsidTr="00127C13">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05CB814" w14:textId="77777777" w:rsidR="00127C13" w:rsidRPr="00127C13" w:rsidRDefault="00127C13" w:rsidP="00127C13">
            <w:r w:rsidRPr="00127C13">
              <w:t>12</w:t>
            </w:r>
          </w:p>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300EDBF7" w14:textId="77777777" w:rsidR="00127C13" w:rsidRPr="00127C13" w:rsidRDefault="00127C13" w:rsidP="00127C13">
            <w:r w:rsidRPr="00127C13">
              <w:t>Private Meeting with Auditors</w:t>
            </w:r>
          </w:p>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45196095" w14:textId="77777777" w:rsidR="00127C13" w:rsidRPr="00127C13" w:rsidRDefault="00127C13" w:rsidP="00127C13">
            <w:pPr>
              <w:numPr>
                <w:ilvl w:val="0"/>
                <w:numId w:val="19"/>
              </w:numPr>
            </w:pPr>
            <w:r w:rsidRPr="00127C13">
              <w:t>Need for progress with regard to Governance and Internal Audit issues</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99B0366" w14:textId="77777777" w:rsidR="00127C13" w:rsidRPr="00127C13" w:rsidRDefault="00127C13" w:rsidP="00127C13">
            <w:r w:rsidRPr="00127C13">
              <w:t>Director of Corporate Services</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CAEDFB" w:themeFill="accent4" w:themeFillTint="33"/>
            <w:hideMark/>
          </w:tcPr>
          <w:p w14:paraId="4ADE6700" w14:textId="77777777" w:rsidR="00127C13" w:rsidRPr="00127C13" w:rsidRDefault="00127C13" w:rsidP="00127C13">
            <w:r w:rsidRPr="00127C13">
              <w:t>In progress see item 7a</w:t>
            </w:r>
          </w:p>
        </w:tc>
      </w:tr>
      <w:tr w:rsidR="00127C13" w:rsidRPr="00127C13" w14:paraId="2F79FC0E" w14:textId="77777777" w:rsidTr="00127C13">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2B80F4BA" w14:textId="77777777" w:rsidR="00127C13" w:rsidRPr="00127C13" w:rsidRDefault="00127C13" w:rsidP="00127C13"/>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0D394908" w14:textId="77777777" w:rsidR="00127C13" w:rsidRPr="00127C13" w:rsidRDefault="00127C13" w:rsidP="00127C13"/>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69B379FE" w14:textId="77777777" w:rsidR="00127C13" w:rsidRPr="00127C13" w:rsidRDefault="00127C13" w:rsidP="00127C13">
            <w:pPr>
              <w:numPr>
                <w:ilvl w:val="0"/>
                <w:numId w:val="19"/>
              </w:numPr>
            </w:pPr>
            <w:r w:rsidRPr="00127C13">
              <w:t>Members requested earlier draft financial statements</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55BE70F" w14:textId="77777777" w:rsidR="00127C13" w:rsidRPr="00127C13" w:rsidRDefault="00127C13" w:rsidP="00127C13">
            <w:r w:rsidRPr="00127C13">
              <w:t>Head of Finance</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CAEDFB" w:themeFill="accent4" w:themeFillTint="33"/>
            <w:hideMark/>
          </w:tcPr>
          <w:p w14:paraId="51BBDF7F" w14:textId="77777777" w:rsidR="00127C13" w:rsidRPr="00127C13" w:rsidRDefault="00127C13" w:rsidP="00127C13">
            <w:r w:rsidRPr="00127C13">
              <w:t>Due June 2025</w:t>
            </w:r>
          </w:p>
        </w:tc>
      </w:tr>
      <w:tr w:rsidR="00127C13" w:rsidRPr="00127C13" w14:paraId="0D316E54" w14:textId="77777777" w:rsidTr="00127C13">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75C774A8" w14:textId="77777777" w:rsidR="00127C13" w:rsidRPr="00127C13" w:rsidRDefault="00127C13" w:rsidP="00127C13"/>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7FD34D7C" w14:textId="77777777" w:rsidR="00127C13" w:rsidRPr="00127C13" w:rsidRDefault="00127C13" w:rsidP="00127C13"/>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68508302" w14:textId="77777777" w:rsidR="00127C13" w:rsidRPr="00127C13" w:rsidRDefault="00127C13" w:rsidP="00127C13">
            <w:pPr>
              <w:numPr>
                <w:ilvl w:val="0"/>
                <w:numId w:val="19"/>
              </w:numPr>
            </w:pPr>
            <w:r w:rsidRPr="00127C13">
              <w:t>Need for additional meeting to be considered during Annual Meeting</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3BED265" w14:textId="77777777" w:rsidR="00127C13" w:rsidRPr="00127C13" w:rsidRDefault="00127C13" w:rsidP="00127C13">
            <w:r w:rsidRPr="00127C13">
              <w:t>Director of Corporate Services</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CAEDFB" w:themeFill="accent4" w:themeFillTint="33"/>
            <w:hideMark/>
          </w:tcPr>
          <w:p w14:paraId="7A9A5164" w14:textId="77777777" w:rsidR="00127C13" w:rsidRPr="00127C13" w:rsidRDefault="00127C13" w:rsidP="00127C13">
            <w:r w:rsidRPr="00127C13">
              <w:t>June 2025</w:t>
            </w:r>
          </w:p>
        </w:tc>
      </w:tr>
      <w:tr w:rsidR="00127C13" w:rsidRPr="00127C13" w14:paraId="798EC8CB" w14:textId="77777777" w:rsidTr="00127C13">
        <w:tc>
          <w:tcPr>
            <w:tcW w:w="101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3C624FE0" w14:textId="77777777" w:rsidR="00127C13" w:rsidRPr="00127C13" w:rsidRDefault="00127C13" w:rsidP="00127C13">
            <w:r w:rsidRPr="00127C13">
              <w:t>Sep 24</w:t>
            </w:r>
          </w:p>
          <w:p w14:paraId="229F2988" w14:textId="77777777" w:rsidR="00127C13" w:rsidRPr="00127C13" w:rsidRDefault="00127C13" w:rsidP="00127C13">
            <w:r w:rsidRPr="00127C13">
              <w:t>5a</w:t>
            </w:r>
          </w:p>
        </w:tc>
        <w:tc>
          <w:tcPr>
            <w:tcW w:w="280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4F090220" w14:textId="77777777" w:rsidR="00127C13" w:rsidRPr="00127C13" w:rsidRDefault="00127C13" w:rsidP="00127C13">
            <w:r w:rsidRPr="00127C13">
              <w:t>Draft Report to those charged with Governance</w:t>
            </w:r>
          </w:p>
        </w:tc>
        <w:tc>
          <w:tcPr>
            <w:tcW w:w="3152"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7A3568D" w14:textId="77777777" w:rsidR="00127C13" w:rsidRPr="00127C13" w:rsidRDefault="00127C13" w:rsidP="00127C13">
            <w:pPr>
              <w:numPr>
                <w:ilvl w:val="0"/>
                <w:numId w:val="19"/>
              </w:numPr>
            </w:pPr>
            <w:r w:rsidRPr="00127C13">
              <w:t xml:space="preserve">Special  Committee meeting to be held </w:t>
            </w:r>
          </w:p>
        </w:tc>
        <w:tc>
          <w:tcPr>
            <w:tcW w:w="179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403C194B" w14:textId="77777777" w:rsidR="00127C13" w:rsidRPr="00127C13" w:rsidRDefault="00127C13" w:rsidP="00127C13">
            <w:r w:rsidRPr="00127C13">
              <w:t>Director of Corporate Services</w:t>
            </w:r>
          </w:p>
        </w:tc>
        <w:tc>
          <w:tcPr>
            <w:tcW w:w="1324"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shd w:val="clear" w:color="auto" w:fill="92D050"/>
            <w:hideMark/>
          </w:tcPr>
          <w:p w14:paraId="5CA32351" w14:textId="77777777" w:rsidR="00127C13" w:rsidRPr="00127C13" w:rsidRDefault="00127C13" w:rsidP="00127C13">
            <w:r w:rsidRPr="00127C13">
              <w:t>October 2024</w:t>
            </w:r>
          </w:p>
        </w:tc>
      </w:tr>
    </w:tbl>
    <w:p w14:paraId="7C0FA04E" w14:textId="77777777" w:rsidR="00127C13" w:rsidRPr="00127C13" w:rsidRDefault="00127C13" w:rsidP="00127C13"/>
    <w:p w14:paraId="02592740" w14:textId="18D531A2" w:rsidR="00127C13" w:rsidRPr="00127C13" w:rsidRDefault="00127C13" w:rsidP="00127C13">
      <w:r>
        <w:rPr>
          <w:bCs/>
        </w:rPr>
        <w:t>RECOMMENDED</w:t>
      </w:r>
      <w:r w:rsidRPr="00127C13">
        <w:t xml:space="preserve"> that Council notes this update.</w:t>
      </w:r>
    </w:p>
    <w:p w14:paraId="63444C8F" w14:textId="77777777" w:rsidR="00127C13" w:rsidRDefault="00127C13" w:rsidP="00127C13">
      <w:pPr>
        <w:rPr>
          <w:b/>
          <w:bCs/>
        </w:rPr>
      </w:pPr>
    </w:p>
    <w:p w14:paraId="2313EF3F" w14:textId="7C6A65ED" w:rsidR="00127C13" w:rsidRPr="00B424B4" w:rsidRDefault="00127C13" w:rsidP="00127C13">
      <w:pPr>
        <w:rPr>
          <w:b/>
        </w:rPr>
      </w:pPr>
      <w:r>
        <w:rPr>
          <w:b/>
        </w:rPr>
        <w:t xml:space="preserve">AGREED TO RECOMMEND, on the proposal of Councillor </w:t>
      </w:r>
      <w:r w:rsidR="0084379A">
        <w:rPr>
          <w:b/>
        </w:rPr>
        <w:t>Wray</w:t>
      </w:r>
      <w:r>
        <w:rPr>
          <w:b/>
        </w:rPr>
        <w:t xml:space="preserve">, seconded by Councillor </w:t>
      </w:r>
      <w:r w:rsidR="0084379A">
        <w:rPr>
          <w:b/>
        </w:rPr>
        <w:t>Harbinson</w:t>
      </w:r>
      <w:r>
        <w:rPr>
          <w:b/>
        </w:rPr>
        <w:t xml:space="preserve">, that Council notes the update.  </w:t>
      </w:r>
    </w:p>
    <w:p w14:paraId="1C81EC2D" w14:textId="77777777" w:rsidR="000D28D6" w:rsidRDefault="000D28D6" w:rsidP="0039767B">
      <w:pPr>
        <w:rPr>
          <w:rFonts w:cs="Arial"/>
          <w:b/>
          <w:bCs/>
          <w:sz w:val="28"/>
          <w:szCs w:val="28"/>
          <w:u w:val="single"/>
        </w:rPr>
      </w:pPr>
    </w:p>
    <w:p w14:paraId="7A79FE34" w14:textId="439B6056" w:rsidR="00AE13D3" w:rsidRPr="00AE13D3" w:rsidRDefault="00CA048D" w:rsidP="00AE13D3">
      <w:pPr>
        <w:pStyle w:val="Heading1"/>
        <w:ind w:left="720" w:hanging="720"/>
        <w:rPr>
          <w:u w:val="single"/>
        </w:rPr>
      </w:pPr>
      <w:r>
        <w:t>5.</w:t>
      </w:r>
      <w:r>
        <w:tab/>
      </w:r>
      <w:r w:rsidR="003035FD">
        <w:rPr>
          <w:u w:val="single"/>
        </w:rPr>
        <w:t>CORPORATE GOVERNANCE</w:t>
      </w:r>
      <w:r w:rsidRPr="00AE13D3">
        <w:rPr>
          <w:u w:val="single"/>
        </w:rPr>
        <w:t xml:space="preserve"> </w:t>
      </w:r>
    </w:p>
    <w:p w14:paraId="0283FBEB" w14:textId="77777777" w:rsidR="0039767B" w:rsidRDefault="0039767B" w:rsidP="004249E2">
      <w:pPr>
        <w:pStyle w:val="Normal0"/>
      </w:pPr>
    </w:p>
    <w:p w14:paraId="31671404" w14:textId="751C832E" w:rsidR="003035FD" w:rsidRPr="00731237" w:rsidRDefault="003035FD" w:rsidP="00731237">
      <w:pPr>
        <w:pStyle w:val="Heading2"/>
        <w:rPr>
          <w:b/>
          <w:bCs/>
        </w:rPr>
      </w:pPr>
      <w:r w:rsidRPr="00731237">
        <w:rPr>
          <w:b/>
          <w:bCs/>
        </w:rPr>
        <w:t>5</w:t>
      </w:r>
      <w:r w:rsidR="00731237" w:rsidRPr="00731237">
        <w:rPr>
          <w:b/>
          <w:bCs/>
        </w:rPr>
        <w:t xml:space="preserve"> (a)</w:t>
      </w:r>
      <w:r w:rsidRPr="00731237">
        <w:rPr>
          <w:b/>
          <w:bCs/>
        </w:rPr>
        <w:tab/>
      </w:r>
      <w:r w:rsidRPr="00731237">
        <w:rPr>
          <w:b/>
          <w:bCs/>
          <w:u w:val="single"/>
        </w:rPr>
        <w:t>STATEMENTS OF ASSURANCE REPORT</w:t>
      </w:r>
    </w:p>
    <w:p w14:paraId="068DB62A" w14:textId="77777777" w:rsidR="003035FD" w:rsidRDefault="003035FD" w:rsidP="003035FD">
      <w:pPr>
        <w:rPr>
          <w:caps/>
        </w:rPr>
      </w:pPr>
    </w:p>
    <w:p w14:paraId="174D3802" w14:textId="77777777" w:rsidR="000D28D6" w:rsidRPr="00756EC2" w:rsidRDefault="000D28D6" w:rsidP="000D28D6">
      <w:pPr>
        <w:rPr>
          <w:rFonts w:cs="Arial"/>
        </w:rPr>
      </w:pPr>
      <w:r w:rsidRPr="00B32EF2">
        <w:rPr>
          <w:caps/>
        </w:rPr>
        <w:t>Previously circulated</w:t>
      </w:r>
      <w:r>
        <w:t xml:space="preserve">:- Report from the Director of Corporate Services </w:t>
      </w:r>
      <w:r>
        <w:rPr>
          <w:rFonts w:cs="Arial"/>
        </w:rPr>
        <w:t>detailing that, i</w:t>
      </w:r>
      <w:r w:rsidRPr="00756EC2">
        <w:rPr>
          <w:rFonts w:cs="Arial"/>
        </w:rPr>
        <w:t xml:space="preserve">n accordance with the Council’s Risk Management Strategy, Heads of Service </w:t>
      </w:r>
      <w:r>
        <w:rPr>
          <w:rFonts w:cs="Arial"/>
        </w:rPr>
        <w:t>were</w:t>
      </w:r>
      <w:r w:rsidRPr="00756EC2">
        <w:rPr>
          <w:rFonts w:cs="Arial"/>
        </w:rPr>
        <w:t xml:space="preserve"> required to provide Statements of Assurance.  Assurance Statements comprise</w:t>
      </w:r>
      <w:r>
        <w:rPr>
          <w:rFonts w:cs="Arial"/>
        </w:rPr>
        <w:t>d of</w:t>
      </w:r>
      <w:r w:rsidRPr="00756EC2">
        <w:rPr>
          <w:rFonts w:cs="Arial"/>
        </w:rPr>
        <w:t xml:space="preserve"> four main sections to be completed by each Head of Service following consultation with each of their Service Units.  Period of this report, 1 April 2024 - 30 September 2024.</w:t>
      </w:r>
    </w:p>
    <w:p w14:paraId="086A6325" w14:textId="77777777" w:rsidR="000D28D6" w:rsidRPr="00756EC2" w:rsidRDefault="000D28D6" w:rsidP="000D28D6">
      <w:pPr>
        <w:rPr>
          <w:rFonts w:cs="Arial"/>
        </w:rPr>
      </w:pPr>
    </w:p>
    <w:p w14:paraId="746A41AE" w14:textId="77777777" w:rsidR="000D28D6" w:rsidRPr="00756EC2" w:rsidRDefault="000D28D6" w:rsidP="000D28D6">
      <w:pPr>
        <w:rPr>
          <w:rFonts w:cs="Arial"/>
          <w:b/>
        </w:rPr>
      </w:pPr>
      <w:r w:rsidRPr="00756EC2">
        <w:rPr>
          <w:rFonts w:cs="Arial"/>
          <w:b/>
        </w:rPr>
        <w:t>Findings</w:t>
      </w:r>
    </w:p>
    <w:p w14:paraId="2B6695BE" w14:textId="77777777" w:rsidR="000D28D6" w:rsidRPr="00756EC2" w:rsidRDefault="000D28D6" w:rsidP="000D28D6">
      <w:pPr>
        <w:rPr>
          <w:rFonts w:cs="Arial"/>
          <w:b/>
          <w:u w:val="single"/>
        </w:rPr>
      </w:pPr>
    </w:p>
    <w:p w14:paraId="198B524C" w14:textId="77777777" w:rsidR="000D28D6" w:rsidRPr="00756EC2" w:rsidRDefault="000D28D6" w:rsidP="000D28D6">
      <w:pPr>
        <w:rPr>
          <w:rFonts w:cs="Arial"/>
          <w:b/>
          <w:u w:val="single"/>
        </w:rPr>
      </w:pPr>
      <w:r w:rsidRPr="00756EC2">
        <w:rPr>
          <w:rFonts w:cs="Arial"/>
          <w:b/>
          <w:u w:val="single"/>
        </w:rPr>
        <w:t>General – Identification of Risk, Monitoring and Control measures</w:t>
      </w:r>
    </w:p>
    <w:p w14:paraId="10E0F0E6" w14:textId="77777777" w:rsidR="000D28D6" w:rsidRDefault="000D28D6" w:rsidP="000D28D6">
      <w:pPr>
        <w:rPr>
          <w:rFonts w:cs="Arial"/>
        </w:rPr>
      </w:pPr>
    </w:p>
    <w:p w14:paraId="20865F61" w14:textId="77777777" w:rsidR="000D28D6" w:rsidRPr="00756EC2" w:rsidRDefault="000D28D6" w:rsidP="000D28D6">
      <w:pPr>
        <w:rPr>
          <w:rFonts w:cs="Arial"/>
        </w:rPr>
      </w:pPr>
      <w:r w:rsidRPr="00756EC2">
        <w:rPr>
          <w:rFonts w:cs="Arial"/>
        </w:rPr>
        <w:t xml:space="preserve">No key issues </w:t>
      </w:r>
      <w:r>
        <w:rPr>
          <w:rFonts w:cs="Arial"/>
        </w:rPr>
        <w:t>had</w:t>
      </w:r>
      <w:r w:rsidRPr="00756EC2">
        <w:rPr>
          <w:rFonts w:cs="Arial"/>
        </w:rPr>
        <w:t xml:space="preserve"> been declared as not having appropriate internal controls in place. All Services have confirmed that any risks identified </w:t>
      </w:r>
      <w:r>
        <w:rPr>
          <w:rFonts w:cs="Arial"/>
        </w:rPr>
        <w:t>had</w:t>
      </w:r>
      <w:r w:rsidRPr="00756EC2">
        <w:rPr>
          <w:rFonts w:cs="Arial"/>
        </w:rPr>
        <w:t xml:space="preserve"> appropriate internal controls and any further actions taken, or to be taken, to adequately mitigate or resolve the risk have been identified.</w:t>
      </w:r>
    </w:p>
    <w:p w14:paraId="5E05CC13" w14:textId="77777777" w:rsidR="000D28D6" w:rsidRPr="00756EC2" w:rsidRDefault="000D28D6" w:rsidP="000D28D6">
      <w:pPr>
        <w:rPr>
          <w:rFonts w:cs="Arial"/>
        </w:rPr>
      </w:pPr>
    </w:p>
    <w:p w14:paraId="1F72EBD1" w14:textId="77777777" w:rsidR="000D28D6" w:rsidRPr="00756EC2" w:rsidRDefault="000D28D6" w:rsidP="000D28D6">
      <w:pPr>
        <w:rPr>
          <w:rFonts w:cs="Arial"/>
        </w:rPr>
      </w:pPr>
      <w:r w:rsidRPr="00756EC2">
        <w:rPr>
          <w:rFonts w:cs="Arial"/>
        </w:rPr>
        <w:t xml:space="preserve">The Corporate Risk Register </w:t>
      </w:r>
      <w:r>
        <w:rPr>
          <w:rFonts w:cs="Arial"/>
        </w:rPr>
        <w:t>was</w:t>
      </w:r>
      <w:r w:rsidRPr="00756EC2">
        <w:rPr>
          <w:rFonts w:cs="Arial"/>
        </w:rPr>
        <w:t xml:space="preserve"> reviewed by the Heads of Service Team and Corporate Leadership Team, assigning owners for each of the Risks.</w:t>
      </w:r>
    </w:p>
    <w:p w14:paraId="16CD6E85" w14:textId="77777777" w:rsidR="000D28D6" w:rsidRPr="00756EC2" w:rsidRDefault="000D28D6" w:rsidP="000D28D6">
      <w:pPr>
        <w:rPr>
          <w:rFonts w:cs="Arial"/>
        </w:rPr>
      </w:pPr>
    </w:p>
    <w:p w14:paraId="6215A3A1" w14:textId="77777777" w:rsidR="000D28D6" w:rsidRPr="00756EC2" w:rsidRDefault="000D28D6" w:rsidP="000D28D6">
      <w:pPr>
        <w:rPr>
          <w:rFonts w:cs="Arial"/>
        </w:rPr>
      </w:pPr>
    </w:p>
    <w:p w14:paraId="733343FB" w14:textId="77777777" w:rsidR="000D28D6" w:rsidRPr="00756EC2" w:rsidRDefault="000D28D6" w:rsidP="000D28D6">
      <w:pPr>
        <w:rPr>
          <w:rFonts w:cs="Arial"/>
          <w:b/>
          <w:u w:val="single"/>
        </w:rPr>
      </w:pPr>
      <w:r w:rsidRPr="00756EC2">
        <w:rPr>
          <w:rFonts w:cs="Arial"/>
          <w:b/>
          <w:u w:val="single"/>
        </w:rPr>
        <w:t xml:space="preserve">Section 1 – Strategic and Operational Risk Management </w:t>
      </w:r>
    </w:p>
    <w:p w14:paraId="10C3F4FD" w14:textId="77777777" w:rsidR="000D28D6" w:rsidRDefault="000D28D6" w:rsidP="000D28D6">
      <w:pPr>
        <w:rPr>
          <w:rFonts w:cs="Arial"/>
        </w:rPr>
      </w:pPr>
    </w:p>
    <w:p w14:paraId="489A4AAD" w14:textId="77777777" w:rsidR="000D28D6" w:rsidRPr="00756EC2" w:rsidRDefault="000D28D6" w:rsidP="000D28D6">
      <w:pPr>
        <w:rPr>
          <w:rFonts w:cs="Arial"/>
        </w:rPr>
      </w:pPr>
      <w:r w:rsidRPr="00756EC2">
        <w:rPr>
          <w:rFonts w:cs="Arial"/>
        </w:rPr>
        <w:t>Services report</w:t>
      </w:r>
      <w:r>
        <w:rPr>
          <w:rFonts w:cs="Arial"/>
        </w:rPr>
        <w:t>ed</w:t>
      </w:r>
      <w:r w:rsidRPr="00756EC2">
        <w:rPr>
          <w:rFonts w:cs="Arial"/>
        </w:rPr>
        <w:t xml:space="preserve"> appropriate controls </w:t>
      </w:r>
      <w:r>
        <w:rPr>
          <w:rFonts w:cs="Arial"/>
        </w:rPr>
        <w:t>were</w:t>
      </w:r>
      <w:r w:rsidRPr="00756EC2">
        <w:rPr>
          <w:rFonts w:cs="Arial"/>
        </w:rPr>
        <w:t xml:space="preserve"> in place and </w:t>
      </w:r>
      <w:r>
        <w:rPr>
          <w:rFonts w:cs="Arial"/>
        </w:rPr>
        <w:t>had</w:t>
      </w:r>
      <w:r w:rsidRPr="00756EC2">
        <w:rPr>
          <w:rFonts w:cs="Arial"/>
        </w:rPr>
        <w:t xml:space="preserve"> identified satisfactory actions to review, monitor, control, mitigate and resolve issues, where appropriate. </w:t>
      </w:r>
    </w:p>
    <w:p w14:paraId="622FB499" w14:textId="77777777" w:rsidR="000D28D6" w:rsidRPr="00756EC2" w:rsidRDefault="000D28D6" w:rsidP="000D28D6">
      <w:pPr>
        <w:rPr>
          <w:rFonts w:cs="Arial"/>
        </w:rPr>
      </w:pPr>
    </w:p>
    <w:p w14:paraId="5B30450C" w14:textId="77777777" w:rsidR="000D28D6" w:rsidRPr="00756EC2" w:rsidRDefault="000D28D6" w:rsidP="000D28D6">
      <w:pPr>
        <w:rPr>
          <w:rFonts w:cs="Arial"/>
        </w:rPr>
      </w:pPr>
      <w:r w:rsidRPr="00756EC2">
        <w:rPr>
          <w:rFonts w:cs="Arial"/>
        </w:rPr>
        <w:t xml:space="preserve">The Administration service </w:t>
      </w:r>
      <w:r>
        <w:rPr>
          <w:rFonts w:cs="Arial"/>
        </w:rPr>
        <w:t>had</w:t>
      </w:r>
      <w:r w:rsidRPr="00756EC2">
        <w:rPr>
          <w:rFonts w:cs="Arial"/>
        </w:rPr>
        <w:t xml:space="preserve"> reported that the new Corporate Risk Register </w:t>
      </w:r>
      <w:r>
        <w:rPr>
          <w:rFonts w:cs="Arial"/>
        </w:rPr>
        <w:t>was</w:t>
      </w:r>
      <w:r w:rsidRPr="00756EC2">
        <w:rPr>
          <w:rFonts w:cs="Arial"/>
        </w:rPr>
        <w:t xml:space="preserve"> now live* with assigned Risk Leads and action plans for each item. (*the new live Corporate Risk Register and associated Action plan was reported to Audit Committee in June 2024).  Also reported, fortnightly data protection advice </w:t>
      </w:r>
      <w:r>
        <w:rPr>
          <w:rFonts w:cs="Arial"/>
        </w:rPr>
        <w:t>was</w:t>
      </w:r>
      <w:r w:rsidRPr="00756EC2">
        <w:rPr>
          <w:rFonts w:cs="Arial"/>
        </w:rPr>
        <w:t xml:space="preserve"> being provided to staff via the News and Info, to address perceived trends in this area. The process of obtaining reinstatement valuations for insurance purposes </w:t>
      </w:r>
      <w:r>
        <w:rPr>
          <w:rFonts w:cs="Arial"/>
        </w:rPr>
        <w:t>had</w:t>
      </w:r>
      <w:r w:rsidRPr="00756EC2">
        <w:rPr>
          <w:rFonts w:cs="Arial"/>
        </w:rPr>
        <w:t xml:space="preserve"> been formalised and a suitable surveyor </w:t>
      </w:r>
      <w:r>
        <w:rPr>
          <w:rFonts w:cs="Arial"/>
        </w:rPr>
        <w:t>would</w:t>
      </w:r>
      <w:r w:rsidRPr="00756EC2">
        <w:rPr>
          <w:rFonts w:cs="Arial"/>
        </w:rPr>
        <w:t xml:space="preserve"> be appointed following a tender exercise in 2025.</w:t>
      </w:r>
    </w:p>
    <w:p w14:paraId="65D5B3AD" w14:textId="77777777" w:rsidR="000D28D6" w:rsidRPr="00756EC2" w:rsidRDefault="000D28D6" w:rsidP="000D28D6">
      <w:pPr>
        <w:rPr>
          <w:rFonts w:cs="Arial"/>
        </w:rPr>
      </w:pPr>
    </w:p>
    <w:p w14:paraId="525AD747" w14:textId="77777777" w:rsidR="000D28D6" w:rsidRPr="00756EC2" w:rsidRDefault="000D28D6" w:rsidP="000D28D6">
      <w:pPr>
        <w:rPr>
          <w:rFonts w:cs="Arial"/>
        </w:rPr>
      </w:pPr>
      <w:r w:rsidRPr="00756EC2">
        <w:rPr>
          <w:rFonts w:cs="Arial"/>
        </w:rPr>
        <w:t xml:space="preserve">The Parks &amp; Cemetery Service </w:t>
      </w:r>
      <w:r>
        <w:rPr>
          <w:rFonts w:cs="Arial"/>
        </w:rPr>
        <w:t>had</w:t>
      </w:r>
      <w:r w:rsidRPr="00756EC2">
        <w:rPr>
          <w:rFonts w:cs="Arial"/>
        </w:rPr>
        <w:t xml:space="preserve"> reported that</w:t>
      </w:r>
      <w:r>
        <w:rPr>
          <w:rFonts w:cs="Arial"/>
        </w:rPr>
        <w:t xml:space="preserve"> the</w:t>
      </w:r>
      <w:r w:rsidRPr="00756EC2">
        <w:rPr>
          <w:rFonts w:cs="Arial"/>
        </w:rPr>
        <w:t xml:space="preserve"> staff restructuring </w:t>
      </w:r>
      <w:r>
        <w:rPr>
          <w:rFonts w:cs="Arial"/>
        </w:rPr>
        <w:t>ad</w:t>
      </w:r>
      <w:r w:rsidRPr="00756EC2">
        <w:rPr>
          <w:rFonts w:cs="Arial"/>
        </w:rPr>
        <w:t xml:space="preserve"> </w:t>
      </w:r>
      <w:proofErr w:type="spellStart"/>
      <w:r w:rsidRPr="00756EC2">
        <w:rPr>
          <w:rFonts w:cs="Arial"/>
        </w:rPr>
        <w:t>ha</w:t>
      </w:r>
      <w:r>
        <w:rPr>
          <w:rFonts w:cs="Arial"/>
        </w:rPr>
        <w:t>h</w:t>
      </w:r>
      <w:r w:rsidRPr="00756EC2">
        <w:rPr>
          <w:rFonts w:cs="Arial"/>
        </w:rPr>
        <w:t>s</w:t>
      </w:r>
      <w:proofErr w:type="spellEnd"/>
      <w:r w:rsidRPr="00756EC2">
        <w:rPr>
          <w:rFonts w:cs="Arial"/>
        </w:rPr>
        <w:t xml:space="preserve"> taken longer than expected but new momentum </w:t>
      </w:r>
      <w:r>
        <w:rPr>
          <w:rFonts w:cs="Arial"/>
        </w:rPr>
        <w:t>had</w:t>
      </w:r>
      <w:r w:rsidRPr="00756EC2">
        <w:rPr>
          <w:rFonts w:cs="Arial"/>
        </w:rPr>
        <w:t xml:space="preserve"> been achieved by weekly meetings with HR. They anticipate</w:t>
      </w:r>
      <w:r>
        <w:rPr>
          <w:rFonts w:cs="Arial"/>
        </w:rPr>
        <w:t>d</w:t>
      </w:r>
      <w:r w:rsidRPr="00756EC2">
        <w:rPr>
          <w:rFonts w:cs="Arial"/>
        </w:rPr>
        <w:t xml:space="preserve"> that this process </w:t>
      </w:r>
      <w:r>
        <w:rPr>
          <w:rFonts w:cs="Arial"/>
        </w:rPr>
        <w:t>would</w:t>
      </w:r>
      <w:r w:rsidRPr="00756EC2">
        <w:rPr>
          <w:rFonts w:cs="Arial"/>
        </w:rPr>
        <w:t xml:space="preserve"> be complete by March 2025.  In addition, the Service </w:t>
      </w:r>
      <w:r>
        <w:rPr>
          <w:rFonts w:cs="Arial"/>
        </w:rPr>
        <w:t>had</w:t>
      </w:r>
      <w:r w:rsidRPr="00756EC2">
        <w:rPr>
          <w:rFonts w:cs="Arial"/>
        </w:rPr>
        <w:t xml:space="preserve"> continued to report that grave space across the borough </w:t>
      </w:r>
      <w:r>
        <w:rPr>
          <w:rFonts w:cs="Arial"/>
        </w:rPr>
        <w:t>was</w:t>
      </w:r>
      <w:r w:rsidRPr="00756EC2">
        <w:rPr>
          <w:rFonts w:cs="Arial"/>
        </w:rPr>
        <w:t xml:space="preserve"> running low, this </w:t>
      </w:r>
      <w:r>
        <w:rPr>
          <w:rFonts w:cs="Arial"/>
        </w:rPr>
        <w:t>was</w:t>
      </w:r>
      <w:r w:rsidRPr="00756EC2">
        <w:rPr>
          <w:rFonts w:cs="Arial"/>
        </w:rPr>
        <w:t xml:space="preserve"> being progressed by the Cemetery Provision Project Board.</w:t>
      </w:r>
    </w:p>
    <w:p w14:paraId="02019A0F" w14:textId="77777777" w:rsidR="000D28D6" w:rsidRPr="00756EC2" w:rsidRDefault="000D28D6" w:rsidP="000D28D6">
      <w:pPr>
        <w:rPr>
          <w:rFonts w:cs="Arial"/>
        </w:rPr>
      </w:pPr>
    </w:p>
    <w:p w14:paraId="127FEE12" w14:textId="77777777" w:rsidR="000D28D6" w:rsidRPr="00756EC2" w:rsidRDefault="000D28D6" w:rsidP="000D28D6">
      <w:pPr>
        <w:rPr>
          <w:rFonts w:cs="Arial"/>
        </w:rPr>
      </w:pPr>
      <w:r w:rsidRPr="00756EC2">
        <w:rPr>
          <w:rFonts w:cs="Arial"/>
        </w:rPr>
        <w:t xml:space="preserve">Waste and Cleansing Service </w:t>
      </w:r>
      <w:r>
        <w:rPr>
          <w:rFonts w:cs="Arial"/>
        </w:rPr>
        <w:t>had</w:t>
      </w:r>
      <w:r w:rsidRPr="00756EC2">
        <w:rPr>
          <w:rFonts w:cs="Arial"/>
        </w:rPr>
        <w:t xml:space="preserve"> continued to report on the significant financial liability for the Council should the bidding process for the Residual Waste Treatment project be collapsed by the client. The current landfill being used by the Council </w:t>
      </w:r>
      <w:r>
        <w:rPr>
          <w:rFonts w:cs="Arial"/>
        </w:rPr>
        <w:t>was due to</w:t>
      </w:r>
      <w:r w:rsidRPr="00756EC2">
        <w:rPr>
          <w:rFonts w:cs="Arial"/>
        </w:rPr>
        <w:t xml:space="preserve"> close in January 2025, so award of the interim residual waste contract </w:t>
      </w:r>
      <w:r>
        <w:rPr>
          <w:rFonts w:cs="Arial"/>
        </w:rPr>
        <w:t>was</w:t>
      </w:r>
      <w:r w:rsidRPr="00756EC2">
        <w:rPr>
          <w:rFonts w:cs="Arial"/>
        </w:rPr>
        <w:t xml:space="preserve"> critical for the Council.</w:t>
      </w:r>
    </w:p>
    <w:p w14:paraId="50DCD9FE" w14:textId="77777777" w:rsidR="000D28D6" w:rsidRPr="00756EC2" w:rsidRDefault="000D28D6" w:rsidP="000D28D6">
      <w:pPr>
        <w:rPr>
          <w:rFonts w:cs="Arial"/>
        </w:rPr>
      </w:pPr>
    </w:p>
    <w:p w14:paraId="43A3D19F" w14:textId="77777777" w:rsidR="000D28D6" w:rsidRPr="00756EC2" w:rsidRDefault="000D28D6" w:rsidP="000D28D6">
      <w:pPr>
        <w:rPr>
          <w:rFonts w:cs="Arial"/>
        </w:rPr>
      </w:pPr>
      <w:r w:rsidRPr="00756EC2">
        <w:rPr>
          <w:rFonts w:cs="Arial"/>
        </w:rPr>
        <w:t xml:space="preserve">Environmental Health, Protection and Development Service </w:t>
      </w:r>
      <w:r>
        <w:rPr>
          <w:rFonts w:cs="Arial"/>
        </w:rPr>
        <w:t>had</w:t>
      </w:r>
      <w:r w:rsidRPr="00756EC2">
        <w:rPr>
          <w:rFonts w:cs="Arial"/>
        </w:rPr>
        <w:t xml:space="preserve"> continued to report that they </w:t>
      </w:r>
      <w:r>
        <w:rPr>
          <w:rFonts w:cs="Arial"/>
        </w:rPr>
        <w:t>were</w:t>
      </w:r>
      <w:r w:rsidRPr="00756EC2">
        <w:rPr>
          <w:rFonts w:cs="Arial"/>
        </w:rPr>
        <w:t xml:space="preserve"> working with funding organisations and other Councils to understand the impact of changes in regulation in relation to the Safeguarding the Union document.</w:t>
      </w:r>
    </w:p>
    <w:p w14:paraId="7EAD8D43" w14:textId="77777777" w:rsidR="000D28D6" w:rsidRPr="00756EC2" w:rsidRDefault="000D28D6" w:rsidP="000D28D6">
      <w:pPr>
        <w:rPr>
          <w:rFonts w:cs="Arial"/>
        </w:rPr>
      </w:pPr>
    </w:p>
    <w:p w14:paraId="63112EA3" w14:textId="77777777" w:rsidR="000D28D6" w:rsidRPr="00756EC2" w:rsidRDefault="000D28D6" w:rsidP="000D28D6">
      <w:pPr>
        <w:rPr>
          <w:rFonts w:cs="Arial"/>
        </w:rPr>
      </w:pPr>
      <w:r w:rsidRPr="00756EC2">
        <w:rPr>
          <w:rFonts w:cs="Arial"/>
        </w:rPr>
        <w:t xml:space="preserve">Tourism Service </w:t>
      </w:r>
      <w:r>
        <w:rPr>
          <w:rFonts w:cs="Arial"/>
        </w:rPr>
        <w:t>had</w:t>
      </w:r>
      <w:r w:rsidRPr="00756EC2">
        <w:rPr>
          <w:rFonts w:cs="Arial"/>
        </w:rPr>
        <w:t xml:space="preserve"> reported that in relation to the leak at the Ards Visitor Information Centre, the Council </w:t>
      </w:r>
      <w:r>
        <w:rPr>
          <w:rFonts w:cs="Arial"/>
        </w:rPr>
        <w:t>was</w:t>
      </w:r>
      <w:r w:rsidRPr="00756EC2">
        <w:rPr>
          <w:rFonts w:cs="Arial"/>
        </w:rPr>
        <w:t xml:space="preserve"> in protracted discussions with the landlord to seek clarity on whose responsibility it </w:t>
      </w:r>
      <w:r>
        <w:rPr>
          <w:rFonts w:cs="Arial"/>
        </w:rPr>
        <w:t>was</w:t>
      </w:r>
      <w:r w:rsidRPr="00756EC2">
        <w:rPr>
          <w:rFonts w:cs="Arial"/>
        </w:rPr>
        <w:t xml:space="preserve"> to fix. The leak </w:t>
      </w:r>
      <w:r>
        <w:rPr>
          <w:rFonts w:cs="Arial"/>
        </w:rPr>
        <w:t>was</w:t>
      </w:r>
      <w:r w:rsidRPr="00756EC2">
        <w:rPr>
          <w:rFonts w:cs="Arial"/>
        </w:rPr>
        <w:t xml:space="preserve"> a potential </w:t>
      </w:r>
      <w:r>
        <w:rPr>
          <w:rFonts w:cs="Arial"/>
        </w:rPr>
        <w:t>Health and Safety</w:t>
      </w:r>
      <w:r w:rsidRPr="00756EC2">
        <w:rPr>
          <w:rFonts w:cs="Arial"/>
        </w:rPr>
        <w:t xml:space="preserve"> hazard and </w:t>
      </w:r>
      <w:r>
        <w:rPr>
          <w:rFonts w:cs="Arial"/>
        </w:rPr>
        <w:t>had</w:t>
      </w:r>
      <w:r w:rsidRPr="00756EC2">
        <w:rPr>
          <w:rFonts w:cs="Arial"/>
        </w:rPr>
        <w:t xml:space="preserve"> also caused damage to the space. Lands Officers </w:t>
      </w:r>
      <w:proofErr w:type="spellStart"/>
      <w:r>
        <w:rPr>
          <w:rFonts w:cs="Arial"/>
        </w:rPr>
        <w:t>ere</w:t>
      </w:r>
      <w:proofErr w:type="spellEnd"/>
      <w:r w:rsidRPr="00756EC2">
        <w:rPr>
          <w:rFonts w:cs="Arial"/>
        </w:rPr>
        <w:t xml:space="preserve"> seeking legal advice on the matter.</w:t>
      </w:r>
    </w:p>
    <w:p w14:paraId="25370140" w14:textId="77777777" w:rsidR="000D28D6" w:rsidRPr="00756EC2" w:rsidRDefault="000D28D6" w:rsidP="000D28D6">
      <w:pPr>
        <w:rPr>
          <w:rFonts w:cs="Arial"/>
        </w:rPr>
      </w:pPr>
    </w:p>
    <w:p w14:paraId="4A37CC84" w14:textId="77777777" w:rsidR="000D28D6" w:rsidRPr="00756EC2" w:rsidRDefault="000D28D6" w:rsidP="000D28D6">
      <w:pPr>
        <w:rPr>
          <w:rFonts w:cs="Arial"/>
          <w:b/>
          <w:u w:val="single"/>
        </w:rPr>
      </w:pPr>
      <w:r w:rsidRPr="00756EC2">
        <w:rPr>
          <w:rFonts w:cs="Arial"/>
          <w:b/>
          <w:u w:val="single"/>
        </w:rPr>
        <w:t>Section 2 – Internal Control</w:t>
      </w:r>
    </w:p>
    <w:p w14:paraId="59ADBCBE" w14:textId="77777777" w:rsidR="000D28D6" w:rsidRDefault="000D28D6" w:rsidP="000D28D6">
      <w:pPr>
        <w:rPr>
          <w:rFonts w:cs="Arial"/>
        </w:rPr>
      </w:pPr>
    </w:p>
    <w:p w14:paraId="792EA83A" w14:textId="77777777" w:rsidR="000D28D6" w:rsidRPr="00756EC2" w:rsidRDefault="000D28D6" w:rsidP="000D28D6">
      <w:pPr>
        <w:rPr>
          <w:rFonts w:cs="Arial"/>
        </w:rPr>
      </w:pPr>
      <w:r w:rsidRPr="00756EC2">
        <w:rPr>
          <w:rFonts w:cs="Arial"/>
        </w:rPr>
        <w:t xml:space="preserve">Generally, there </w:t>
      </w:r>
      <w:r>
        <w:rPr>
          <w:rFonts w:cs="Arial"/>
        </w:rPr>
        <w:t>were</w:t>
      </w:r>
      <w:r w:rsidRPr="00756EC2">
        <w:rPr>
          <w:rFonts w:cs="Arial"/>
        </w:rPr>
        <w:t xml:space="preserve"> no key issues arising to cause significant concern or requiring immediate action. </w:t>
      </w:r>
    </w:p>
    <w:p w14:paraId="0DF8A5CB" w14:textId="77777777" w:rsidR="000D28D6" w:rsidRPr="00756EC2" w:rsidRDefault="000D28D6" w:rsidP="000D28D6">
      <w:pPr>
        <w:tabs>
          <w:tab w:val="left" w:pos="2640"/>
        </w:tabs>
        <w:rPr>
          <w:rFonts w:cs="Arial"/>
        </w:rPr>
      </w:pPr>
      <w:r>
        <w:rPr>
          <w:rFonts w:cs="Arial"/>
        </w:rPr>
        <w:tab/>
      </w:r>
    </w:p>
    <w:p w14:paraId="16FD25CE" w14:textId="77777777" w:rsidR="000D28D6" w:rsidRPr="00756EC2" w:rsidRDefault="000D28D6" w:rsidP="000D28D6">
      <w:pPr>
        <w:rPr>
          <w:rFonts w:cs="Arial"/>
        </w:rPr>
      </w:pPr>
      <w:r w:rsidRPr="00756EC2">
        <w:rPr>
          <w:rFonts w:cs="Arial"/>
        </w:rPr>
        <w:t xml:space="preserve">Parks and Cemeteries </w:t>
      </w:r>
      <w:r>
        <w:rPr>
          <w:rFonts w:cs="Arial"/>
        </w:rPr>
        <w:t>had</w:t>
      </w:r>
      <w:r w:rsidRPr="00756EC2">
        <w:rPr>
          <w:rFonts w:cs="Arial"/>
        </w:rPr>
        <w:t xml:space="preserve"> reported that they have two new systems, PSS Live and </w:t>
      </w:r>
      <w:proofErr w:type="spellStart"/>
      <w:r w:rsidRPr="00756EC2">
        <w:rPr>
          <w:rFonts w:cs="Arial"/>
        </w:rPr>
        <w:t>Plotbox</w:t>
      </w:r>
      <w:proofErr w:type="spellEnd"/>
      <w:r w:rsidRPr="00756EC2">
        <w:rPr>
          <w:rFonts w:cs="Arial"/>
        </w:rPr>
        <w:t xml:space="preserve">, which </w:t>
      </w:r>
      <w:r>
        <w:rPr>
          <w:rFonts w:cs="Arial"/>
        </w:rPr>
        <w:t>were</w:t>
      </w:r>
      <w:r w:rsidRPr="00756EC2">
        <w:rPr>
          <w:rFonts w:cs="Arial"/>
        </w:rPr>
        <w:t xml:space="preserve"> being introduced on a phased basis with a further stage of </w:t>
      </w:r>
      <w:proofErr w:type="spellStart"/>
      <w:r w:rsidRPr="00756EC2">
        <w:rPr>
          <w:rFonts w:cs="Arial"/>
        </w:rPr>
        <w:t>Plotbox</w:t>
      </w:r>
      <w:proofErr w:type="spellEnd"/>
      <w:r w:rsidRPr="00756EC2">
        <w:rPr>
          <w:rFonts w:cs="Arial"/>
        </w:rPr>
        <w:t xml:space="preserve"> being considered.</w:t>
      </w:r>
    </w:p>
    <w:p w14:paraId="08A00723" w14:textId="77777777" w:rsidR="000D28D6" w:rsidRPr="00756EC2" w:rsidRDefault="000D28D6" w:rsidP="000D28D6">
      <w:pPr>
        <w:rPr>
          <w:rFonts w:cs="Arial"/>
        </w:rPr>
      </w:pPr>
    </w:p>
    <w:p w14:paraId="7E3E7F23" w14:textId="77777777" w:rsidR="000D28D6" w:rsidRPr="00756EC2" w:rsidRDefault="000D28D6" w:rsidP="000D28D6">
      <w:pPr>
        <w:rPr>
          <w:rFonts w:cs="Arial"/>
        </w:rPr>
      </w:pPr>
      <w:r w:rsidRPr="00756EC2">
        <w:rPr>
          <w:rFonts w:cs="Arial"/>
        </w:rPr>
        <w:lastRenderedPageBreak/>
        <w:t xml:space="preserve">Human Resources and Organisational Development </w:t>
      </w:r>
      <w:r>
        <w:rPr>
          <w:rFonts w:cs="Arial"/>
        </w:rPr>
        <w:t>had</w:t>
      </w:r>
      <w:r w:rsidRPr="00756EC2">
        <w:rPr>
          <w:rFonts w:cs="Arial"/>
        </w:rPr>
        <w:t xml:space="preserve"> reported that possible improvements were identified for the Core system to be able to notify managers of absence triggers being met and to notify them when suitable action </w:t>
      </w:r>
      <w:r>
        <w:rPr>
          <w:rFonts w:cs="Arial"/>
        </w:rPr>
        <w:t>had</w:t>
      </w:r>
      <w:r w:rsidRPr="00756EC2">
        <w:rPr>
          <w:rFonts w:cs="Arial"/>
        </w:rPr>
        <w:t xml:space="preserve"> been taken.</w:t>
      </w:r>
    </w:p>
    <w:p w14:paraId="3EA04F1C" w14:textId="77777777" w:rsidR="000D28D6" w:rsidRPr="00756EC2" w:rsidRDefault="000D28D6" w:rsidP="000D28D6">
      <w:pPr>
        <w:rPr>
          <w:rFonts w:cs="Arial"/>
        </w:rPr>
      </w:pPr>
    </w:p>
    <w:p w14:paraId="2707C681" w14:textId="77777777" w:rsidR="000D28D6" w:rsidRPr="00756EC2" w:rsidRDefault="000D28D6" w:rsidP="000D28D6">
      <w:pPr>
        <w:rPr>
          <w:rFonts w:cs="Arial"/>
        </w:rPr>
      </w:pPr>
      <w:r w:rsidRPr="00756EC2">
        <w:rPr>
          <w:rFonts w:cs="Arial"/>
        </w:rPr>
        <w:t xml:space="preserve">Both Regulatory Services and Communications and Marketing </w:t>
      </w:r>
      <w:r>
        <w:rPr>
          <w:rFonts w:cs="Arial"/>
        </w:rPr>
        <w:t>had</w:t>
      </w:r>
      <w:r w:rsidRPr="00756EC2">
        <w:rPr>
          <w:rFonts w:cs="Arial"/>
        </w:rPr>
        <w:t xml:space="preserve"> reported regarding a Facebook page which </w:t>
      </w:r>
      <w:r>
        <w:rPr>
          <w:rFonts w:cs="Arial"/>
        </w:rPr>
        <w:t>was</w:t>
      </w:r>
      <w:r w:rsidRPr="00756EC2">
        <w:rPr>
          <w:rFonts w:cs="Arial"/>
        </w:rPr>
        <w:t xml:space="preserve"> outside the Council’s control. Facebook </w:t>
      </w:r>
      <w:r>
        <w:rPr>
          <w:rFonts w:cs="Arial"/>
        </w:rPr>
        <w:t>had</w:t>
      </w:r>
      <w:r w:rsidRPr="00756EC2">
        <w:rPr>
          <w:rFonts w:cs="Arial"/>
        </w:rPr>
        <w:t xml:space="preserve"> been contacted regarding removal of this page.</w:t>
      </w:r>
    </w:p>
    <w:p w14:paraId="70571AD4" w14:textId="77777777" w:rsidR="000D28D6" w:rsidRPr="00756EC2" w:rsidRDefault="000D28D6" w:rsidP="000D28D6">
      <w:pPr>
        <w:rPr>
          <w:rFonts w:cs="Arial"/>
        </w:rPr>
      </w:pPr>
    </w:p>
    <w:p w14:paraId="58AD1A4B" w14:textId="77777777" w:rsidR="000D28D6" w:rsidRPr="00756EC2" w:rsidRDefault="000D28D6" w:rsidP="000D28D6">
      <w:pPr>
        <w:rPr>
          <w:rFonts w:cs="Arial"/>
        </w:rPr>
      </w:pPr>
      <w:r w:rsidRPr="00756EC2">
        <w:rPr>
          <w:rFonts w:cs="Arial"/>
        </w:rPr>
        <w:t xml:space="preserve">Finance Service </w:t>
      </w:r>
      <w:r>
        <w:rPr>
          <w:rFonts w:cs="Arial"/>
        </w:rPr>
        <w:t>had</w:t>
      </w:r>
      <w:r w:rsidRPr="00756EC2">
        <w:rPr>
          <w:rFonts w:cs="Arial"/>
        </w:rPr>
        <w:t xml:space="preserve"> noted that the lack of an electronic purchase ordering system </w:t>
      </w:r>
      <w:r>
        <w:rPr>
          <w:rFonts w:cs="Arial"/>
        </w:rPr>
        <w:t>meant that</w:t>
      </w:r>
      <w:r w:rsidRPr="00756EC2">
        <w:rPr>
          <w:rFonts w:cs="Arial"/>
        </w:rPr>
        <w:t xml:space="preserve"> the service </w:t>
      </w:r>
      <w:r>
        <w:rPr>
          <w:rFonts w:cs="Arial"/>
        </w:rPr>
        <w:t>did</w:t>
      </w:r>
      <w:r w:rsidRPr="00756EC2">
        <w:rPr>
          <w:rFonts w:cs="Arial"/>
        </w:rPr>
        <w:t xml:space="preserve"> not have a full understanding of financial commitments on a live basis.  A project to introduce a system </w:t>
      </w:r>
      <w:r>
        <w:rPr>
          <w:rFonts w:cs="Arial"/>
        </w:rPr>
        <w:t>was</w:t>
      </w:r>
      <w:r w:rsidRPr="00756EC2">
        <w:rPr>
          <w:rFonts w:cs="Arial"/>
        </w:rPr>
        <w:t xml:space="preserve"> underway.</w:t>
      </w:r>
    </w:p>
    <w:p w14:paraId="03D6A304" w14:textId="77777777" w:rsidR="000D28D6" w:rsidRPr="00756EC2" w:rsidRDefault="000D28D6" w:rsidP="000D28D6">
      <w:pPr>
        <w:rPr>
          <w:rFonts w:cs="Arial"/>
        </w:rPr>
      </w:pPr>
    </w:p>
    <w:p w14:paraId="5C3875EA" w14:textId="77777777" w:rsidR="000D28D6" w:rsidRPr="00756EC2" w:rsidRDefault="000D28D6" w:rsidP="000D28D6">
      <w:pPr>
        <w:rPr>
          <w:rFonts w:cs="Arial"/>
        </w:rPr>
      </w:pPr>
      <w:r w:rsidRPr="00756EC2">
        <w:rPr>
          <w:rFonts w:cs="Arial"/>
        </w:rPr>
        <w:t xml:space="preserve">Administration Service </w:t>
      </w:r>
      <w:r>
        <w:rPr>
          <w:rFonts w:cs="Arial"/>
        </w:rPr>
        <w:t>had</w:t>
      </w:r>
      <w:r w:rsidRPr="00756EC2">
        <w:rPr>
          <w:rFonts w:cs="Arial"/>
        </w:rPr>
        <w:t xml:space="preserve"> reported successes with completing a title deed scanning exercise and the establishment of a Policy register to ensure a consistent development process for Council policies.</w:t>
      </w:r>
    </w:p>
    <w:p w14:paraId="7D108B50" w14:textId="77777777" w:rsidR="000D28D6" w:rsidRPr="00756EC2" w:rsidRDefault="000D28D6" w:rsidP="000D28D6">
      <w:pPr>
        <w:rPr>
          <w:rFonts w:cs="Arial"/>
        </w:rPr>
      </w:pPr>
    </w:p>
    <w:p w14:paraId="7EBD7F2F" w14:textId="77777777" w:rsidR="000D28D6" w:rsidRPr="00756EC2" w:rsidRDefault="000D28D6" w:rsidP="000D28D6">
      <w:pPr>
        <w:rPr>
          <w:rFonts w:cs="Arial"/>
        </w:rPr>
      </w:pPr>
      <w:bookmarkStart w:id="1" w:name="_Hlk184490272"/>
      <w:r w:rsidRPr="00756EC2">
        <w:rPr>
          <w:rFonts w:cs="Arial"/>
        </w:rPr>
        <w:t xml:space="preserve">Leisure Service </w:t>
      </w:r>
      <w:r>
        <w:rPr>
          <w:rFonts w:cs="Arial"/>
        </w:rPr>
        <w:t>had</w:t>
      </w:r>
      <w:r w:rsidRPr="00756EC2">
        <w:rPr>
          <w:rFonts w:cs="Arial"/>
        </w:rPr>
        <w:t xml:space="preserve"> reported that there </w:t>
      </w:r>
      <w:r>
        <w:rPr>
          <w:rFonts w:cs="Arial"/>
        </w:rPr>
        <w:t>were</w:t>
      </w:r>
      <w:r w:rsidRPr="00756EC2">
        <w:rPr>
          <w:rFonts w:cs="Arial"/>
        </w:rPr>
        <w:t xml:space="preserve"> concerns within the section that lower than acceptable staffing levels in Leisure and an unsuccessful recruitment exercise </w:t>
      </w:r>
      <w:r>
        <w:rPr>
          <w:rFonts w:cs="Arial"/>
        </w:rPr>
        <w:t>had</w:t>
      </w:r>
      <w:r w:rsidRPr="00756EC2">
        <w:rPr>
          <w:rFonts w:cs="Arial"/>
        </w:rPr>
        <w:t xml:space="preserve"> resulting in service delivery being negatively impacted and staff welfare compromised. A transformation process </w:t>
      </w:r>
      <w:r>
        <w:rPr>
          <w:rFonts w:cs="Arial"/>
        </w:rPr>
        <w:t>was</w:t>
      </w:r>
      <w:r w:rsidRPr="00756EC2">
        <w:rPr>
          <w:rFonts w:cs="Arial"/>
        </w:rPr>
        <w:t xml:space="preserve"> underway to address this but there </w:t>
      </w:r>
      <w:r>
        <w:rPr>
          <w:rFonts w:cs="Arial"/>
        </w:rPr>
        <w:t>were</w:t>
      </w:r>
      <w:r w:rsidRPr="00756EC2">
        <w:rPr>
          <w:rFonts w:cs="Arial"/>
        </w:rPr>
        <w:t xml:space="preserve"> concerns regarding the speed at which it </w:t>
      </w:r>
      <w:r>
        <w:rPr>
          <w:rFonts w:cs="Arial"/>
        </w:rPr>
        <w:t>was</w:t>
      </w:r>
      <w:r w:rsidRPr="00756EC2">
        <w:rPr>
          <w:rFonts w:cs="Arial"/>
        </w:rPr>
        <w:t xml:space="preserve"> being implemented.</w:t>
      </w:r>
    </w:p>
    <w:bookmarkEnd w:id="1"/>
    <w:p w14:paraId="46C5297B" w14:textId="77777777" w:rsidR="000D28D6" w:rsidRPr="00756EC2" w:rsidRDefault="000D28D6" w:rsidP="000D28D6">
      <w:pPr>
        <w:rPr>
          <w:rFonts w:cs="Arial"/>
        </w:rPr>
      </w:pPr>
      <w:r w:rsidRPr="00756EC2">
        <w:rPr>
          <w:rFonts w:cs="Arial"/>
        </w:rPr>
        <w:t xml:space="preserve"> </w:t>
      </w:r>
    </w:p>
    <w:p w14:paraId="14D533D2" w14:textId="77777777" w:rsidR="000D28D6" w:rsidRDefault="000D28D6" w:rsidP="000D28D6">
      <w:pPr>
        <w:rPr>
          <w:rFonts w:cs="Arial"/>
          <w:b/>
          <w:u w:val="single"/>
        </w:rPr>
      </w:pPr>
      <w:r w:rsidRPr="00756EC2">
        <w:rPr>
          <w:rFonts w:cs="Arial"/>
          <w:b/>
          <w:u w:val="single"/>
        </w:rPr>
        <w:t>Section 3 – Governance</w:t>
      </w:r>
    </w:p>
    <w:p w14:paraId="5231B47D" w14:textId="77777777" w:rsidR="000D28D6" w:rsidRPr="00756EC2" w:rsidRDefault="000D28D6" w:rsidP="000D28D6">
      <w:pPr>
        <w:rPr>
          <w:rFonts w:cs="Arial"/>
          <w:b/>
          <w:u w:val="single"/>
        </w:rPr>
      </w:pPr>
    </w:p>
    <w:p w14:paraId="57E5F7E6" w14:textId="77777777" w:rsidR="000D28D6" w:rsidRPr="00756EC2" w:rsidRDefault="000D28D6" w:rsidP="000D28D6">
      <w:pPr>
        <w:rPr>
          <w:rFonts w:cs="Arial"/>
        </w:rPr>
      </w:pPr>
      <w:r>
        <w:rPr>
          <w:rFonts w:cs="Arial"/>
        </w:rPr>
        <w:t xml:space="preserve">The </w:t>
      </w:r>
      <w:r w:rsidRPr="00756EC2">
        <w:rPr>
          <w:rFonts w:cs="Arial"/>
        </w:rPr>
        <w:t xml:space="preserve">Finance Service </w:t>
      </w:r>
      <w:r>
        <w:rPr>
          <w:rFonts w:cs="Arial"/>
        </w:rPr>
        <w:t>had</w:t>
      </w:r>
      <w:r w:rsidRPr="00756EC2">
        <w:rPr>
          <w:rFonts w:cs="Arial"/>
        </w:rPr>
        <w:t xml:space="preserve"> previously reported on challenges involving the interaction of overtime and holiday pay which </w:t>
      </w:r>
      <w:r>
        <w:rPr>
          <w:rFonts w:cs="Arial"/>
        </w:rPr>
        <w:t>were</w:t>
      </w:r>
      <w:r w:rsidRPr="00756EC2">
        <w:rPr>
          <w:rFonts w:cs="Arial"/>
        </w:rPr>
        <w:t xml:space="preserve"> still being examined. </w:t>
      </w:r>
    </w:p>
    <w:p w14:paraId="2C642040" w14:textId="77777777" w:rsidR="000D28D6" w:rsidRPr="00756EC2" w:rsidRDefault="000D28D6" w:rsidP="000D28D6">
      <w:pPr>
        <w:rPr>
          <w:rFonts w:cs="Arial"/>
        </w:rPr>
      </w:pPr>
    </w:p>
    <w:p w14:paraId="18360E18" w14:textId="77777777" w:rsidR="000D28D6" w:rsidRPr="00756EC2" w:rsidRDefault="000D28D6" w:rsidP="000D28D6">
      <w:pPr>
        <w:rPr>
          <w:rFonts w:cs="Arial"/>
        </w:rPr>
      </w:pPr>
      <w:r w:rsidRPr="00756EC2">
        <w:rPr>
          <w:rFonts w:cs="Arial"/>
        </w:rPr>
        <w:t xml:space="preserve">On the subject of complaints, the Parks and Cemeteries Service </w:t>
      </w:r>
      <w:r>
        <w:rPr>
          <w:rFonts w:cs="Arial"/>
        </w:rPr>
        <w:t>had</w:t>
      </w:r>
      <w:r w:rsidRPr="00756EC2">
        <w:rPr>
          <w:rFonts w:cs="Arial"/>
        </w:rPr>
        <w:t xml:space="preserve"> responded to recent complaints regarding cemetery and sports turf maintenance by implementing solutions based around increased monitoring and record keeping of maintenance together with the inclusion of the Service in the Council-wide </w:t>
      </w:r>
      <w:proofErr w:type="spellStart"/>
      <w:r w:rsidRPr="00756EC2">
        <w:rPr>
          <w:rFonts w:cs="Arial"/>
        </w:rPr>
        <w:t>Te</w:t>
      </w:r>
      <w:proofErr w:type="spellEnd"/>
      <w:r w:rsidRPr="00756EC2">
        <w:rPr>
          <w:rFonts w:cs="Arial"/>
        </w:rPr>
        <w:t xml:space="preserve">-Care system; a report on this </w:t>
      </w:r>
      <w:r>
        <w:rPr>
          <w:rFonts w:cs="Arial"/>
        </w:rPr>
        <w:t>was</w:t>
      </w:r>
      <w:r w:rsidRPr="00756EC2">
        <w:rPr>
          <w:rFonts w:cs="Arial"/>
        </w:rPr>
        <w:t xml:space="preserve"> being prepared for the Community and Wellbeing Committee.</w:t>
      </w:r>
    </w:p>
    <w:p w14:paraId="6CC77633" w14:textId="77777777" w:rsidR="000D28D6" w:rsidRPr="00756EC2" w:rsidRDefault="000D28D6" w:rsidP="000D28D6">
      <w:pPr>
        <w:rPr>
          <w:rFonts w:cs="Arial"/>
        </w:rPr>
      </w:pPr>
    </w:p>
    <w:p w14:paraId="3B0E674E" w14:textId="77777777" w:rsidR="000D28D6" w:rsidRPr="00756EC2" w:rsidRDefault="000D28D6" w:rsidP="000D28D6">
      <w:pPr>
        <w:rPr>
          <w:rFonts w:cs="Arial"/>
        </w:rPr>
      </w:pPr>
      <w:r>
        <w:rPr>
          <w:rFonts w:cs="Arial"/>
        </w:rPr>
        <w:t xml:space="preserve">The </w:t>
      </w:r>
      <w:r w:rsidRPr="00756EC2">
        <w:rPr>
          <w:rFonts w:cs="Arial"/>
        </w:rPr>
        <w:t xml:space="preserve">Administration Service </w:t>
      </w:r>
      <w:r>
        <w:rPr>
          <w:rFonts w:cs="Arial"/>
        </w:rPr>
        <w:t>had</w:t>
      </w:r>
      <w:r w:rsidRPr="00756EC2">
        <w:rPr>
          <w:rFonts w:cs="Arial"/>
        </w:rPr>
        <w:t xml:space="preserve"> reported that Council </w:t>
      </w:r>
      <w:r>
        <w:rPr>
          <w:rFonts w:cs="Arial"/>
        </w:rPr>
        <w:t>had</w:t>
      </w:r>
      <w:r w:rsidRPr="00756EC2">
        <w:rPr>
          <w:rFonts w:cs="Arial"/>
        </w:rPr>
        <w:t xml:space="preserve"> approved the extinction of a Public Right of Way which may result in a public enquiry; legal advice </w:t>
      </w:r>
      <w:r>
        <w:rPr>
          <w:rFonts w:cs="Arial"/>
        </w:rPr>
        <w:t>was</w:t>
      </w:r>
      <w:r w:rsidRPr="00756EC2">
        <w:rPr>
          <w:rFonts w:cs="Arial"/>
        </w:rPr>
        <w:t xml:space="preserve"> being sought.</w:t>
      </w:r>
    </w:p>
    <w:p w14:paraId="329E0104" w14:textId="77777777" w:rsidR="000D28D6" w:rsidRPr="00756EC2" w:rsidRDefault="000D28D6" w:rsidP="000D28D6">
      <w:pPr>
        <w:rPr>
          <w:rFonts w:cs="Arial"/>
        </w:rPr>
      </w:pPr>
    </w:p>
    <w:p w14:paraId="7299BC95" w14:textId="77777777" w:rsidR="000D28D6" w:rsidRPr="00756EC2" w:rsidRDefault="000D28D6" w:rsidP="000D28D6">
      <w:pPr>
        <w:rPr>
          <w:rFonts w:cs="Arial"/>
        </w:rPr>
      </w:pPr>
      <w:r w:rsidRPr="00756EC2">
        <w:rPr>
          <w:rFonts w:cs="Arial"/>
        </w:rPr>
        <w:t>Some services reported deviations from the Procurement Policy for single tender actions or Direct Awards, however for each of these a deviation from Procurement policy form was completed and submitted.</w:t>
      </w:r>
    </w:p>
    <w:p w14:paraId="0EE4A0EF" w14:textId="77777777" w:rsidR="000D28D6" w:rsidRPr="00756EC2" w:rsidRDefault="000D28D6" w:rsidP="000D28D6">
      <w:pPr>
        <w:rPr>
          <w:rFonts w:cs="Arial"/>
        </w:rPr>
      </w:pPr>
    </w:p>
    <w:p w14:paraId="73FEAD97" w14:textId="77777777" w:rsidR="000D28D6" w:rsidRPr="00756EC2" w:rsidRDefault="000D28D6" w:rsidP="000D28D6">
      <w:pPr>
        <w:rPr>
          <w:rFonts w:cs="Arial"/>
        </w:rPr>
      </w:pPr>
      <w:r>
        <w:rPr>
          <w:rFonts w:cs="Arial"/>
        </w:rPr>
        <w:t xml:space="preserve">The </w:t>
      </w:r>
      <w:r w:rsidRPr="00756EC2">
        <w:rPr>
          <w:rFonts w:cs="Arial"/>
        </w:rPr>
        <w:t xml:space="preserve">Planning Service </w:t>
      </w:r>
      <w:r>
        <w:rPr>
          <w:rFonts w:cs="Arial"/>
        </w:rPr>
        <w:t>had</w:t>
      </w:r>
      <w:r w:rsidRPr="00756EC2">
        <w:rPr>
          <w:rFonts w:cs="Arial"/>
        </w:rPr>
        <w:t xml:space="preserve"> reported that an objection to Planning Approval </w:t>
      </w:r>
      <w:r>
        <w:rPr>
          <w:rFonts w:cs="Arial"/>
        </w:rPr>
        <w:t>had</w:t>
      </w:r>
      <w:r w:rsidRPr="00756EC2">
        <w:rPr>
          <w:rFonts w:cs="Arial"/>
        </w:rPr>
        <w:t xml:space="preserve"> progressed to the lodging of Pre-Action papers, followed by full papers seeking a Judicial Review. If this action </w:t>
      </w:r>
      <w:r>
        <w:rPr>
          <w:rFonts w:cs="Arial"/>
        </w:rPr>
        <w:t>was</w:t>
      </w:r>
      <w:r w:rsidRPr="00756EC2">
        <w:rPr>
          <w:rFonts w:cs="Arial"/>
        </w:rPr>
        <w:t xml:space="preserve"> successful, Council may be held responsible for reimbursing the legal fees of the objector.</w:t>
      </w:r>
    </w:p>
    <w:p w14:paraId="0C565F9D" w14:textId="77777777" w:rsidR="000D28D6" w:rsidRPr="00756EC2" w:rsidRDefault="000D28D6" w:rsidP="000D28D6">
      <w:pPr>
        <w:rPr>
          <w:rFonts w:cs="Arial"/>
        </w:rPr>
      </w:pPr>
    </w:p>
    <w:p w14:paraId="689EB0EC" w14:textId="77777777" w:rsidR="000D28D6" w:rsidRPr="00756EC2" w:rsidRDefault="000D28D6" w:rsidP="000D28D6">
      <w:pPr>
        <w:rPr>
          <w:rFonts w:cs="Arial"/>
        </w:rPr>
      </w:pPr>
      <w:r w:rsidRPr="00756EC2">
        <w:rPr>
          <w:rFonts w:cs="Arial"/>
        </w:rPr>
        <w:t xml:space="preserve">Regulatory Services </w:t>
      </w:r>
      <w:r>
        <w:rPr>
          <w:rFonts w:cs="Arial"/>
        </w:rPr>
        <w:t>had</w:t>
      </w:r>
      <w:r w:rsidRPr="00756EC2">
        <w:rPr>
          <w:rFonts w:cs="Arial"/>
        </w:rPr>
        <w:t xml:space="preserve"> reported two main pressures, the first </w:t>
      </w:r>
      <w:r>
        <w:rPr>
          <w:rFonts w:cs="Arial"/>
        </w:rPr>
        <w:t>was</w:t>
      </w:r>
      <w:r w:rsidRPr="00756EC2">
        <w:rPr>
          <w:rFonts w:cs="Arial"/>
        </w:rPr>
        <w:t xml:space="preserve"> the recent introduction of XL Bully legislation which </w:t>
      </w:r>
      <w:r>
        <w:rPr>
          <w:rFonts w:cs="Arial"/>
        </w:rPr>
        <w:t>would</w:t>
      </w:r>
      <w:r w:rsidRPr="00756EC2">
        <w:rPr>
          <w:rFonts w:cs="Arial"/>
        </w:rPr>
        <w:t xml:space="preserve"> require additional training for staff and additional housing for the dogs which </w:t>
      </w:r>
      <w:r>
        <w:rPr>
          <w:rFonts w:cs="Arial"/>
        </w:rPr>
        <w:t>would</w:t>
      </w:r>
      <w:r w:rsidRPr="00756EC2">
        <w:rPr>
          <w:rFonts w:cs="Arial"/>
        </w:rPr>
        <w:t xml:space="preserve"> add a financial burden. The second </w:t>
      </w:r>
      <w:r w:rsidRPr="00756EC2">
        <w:rPr>
          <w:rFonts w:cs="Arial"/>
        </w:rPr>
        <w:lastRenderedPageBreak/>
        <w:t xml:space="preserve">pressure </w:t>
      </w:r>
      <w:r>
        <w:rPr>
          <w:rFonts w:cs="Arial"/>
        </w:rPr>
        <w:t>as</w:t>
      </w:r>
      <w:r w:rsidRPr="00756EC2">
        <w:rPr>
          <w:rFonts w:cs="Arial"/>
        </w:rPr>
        <w:t xml:space="preserve"> due to an overall drop in car parking income and a greater demand for maintenance of car parks.</w:t>
      </w:r>
    </w:p>
    <w:p w14:paraId="2AF631FD" w14:textId="77777777" w:rsidR="000D28D6" w:rsidRPr="00756EC2" w:rsidRDefault="000D28D6" w:rsidP="000D28D6">
      <w:pPr>
        <w:rPr>
          <w:rFonts w:cs="Arial"/>
        </w:rPr>
      </w:pPr>
    </w:p>
    <w:p w14:paraId="41E89219" w14:textId="77777777" w:rsidR="000D28D6" w:rsidRPr="00756EC2" w:rsidRDefault="000D28D6" w:rsidP="000D28D6">
      <w:pPr>
        <w:rPr>
          <w:rFonts w:cs="Arial"/>
        </w:rPr>
      </w:pPr>
      <w:r w:rsidRPr="00756EC2">
        <w:rPr>
          <w:rFonts w:cs="Arial"/>
        </w:rPr>
        <w:t xml:space="preserve">Assets and Property Service </w:t>
      </w:r>
      <w:r>
        <w:rPr>
          <w:rFonts w:cs="Arial"/>
        </w:rPr>
        <w:t>had</w:t>
      </w:r>
      <w:r w:rsidRPr="00756EC2">
        <w:rPr>
          <w:rFonts w:cs="Arial"/>
        </w:rPr>
        <w:t xml:space="preserve"> reported that legal action continue</w:t>
      </w:r>
      <w:r>
        <w:rPr>
          <w:rFonts w:cs="Arial"/>
        </w:rPr>
        <w:t>d</w:t>
      </w:r>
      <w:r w:rsidRPr="00756EC2">
        <w:rPr>
          <w:rFonts w:cs="Arial"/>
        </w:rPr>
        <w:t xml:space="preserve"> regarding Aurora construction defects. The Service </w:t>
      </w:r>
      <w:r>
        <w:rPr>
          <w:rFonts w:cs="Arial"/>
        </w:rPr>
        <w:t>had</w:t>
      </w:r>
      <w:r w:rsidRPr="00756EC2">
        <w:rPr>
          <w:rFonts w:cs="Arial"/>
        </w:rPr>
        <w:t xml:space="preserve"> reported that the tender for the sale of electricity from the wind turbine in Balloo Wood Bangor </w:t>
      </w:r>
      <w:r>
        <w:rPr>
          <w:rFonts w:cs="Arial"/>
        </w:rPr>
        <w:t>had</w:t>
      </w:r>
      <w:r w:rsidRPr="00756EC2">
        <w:rPr>
          <w:rFonts w:cs="Arial"/>
        </w:rPr>
        <w:t xml:space="preserve"> been extended due to changes in the electricity market. </w:t>
      </w:r>
    </w:p>
    <w:p w14:paraId="1239A519" w14:textId="77777777" w:rsidR="000D28D6" w:rsidRPr="00756EC2" w:rsidRDefault="000D28D6" w:rsidP="000D28D6">
      <w:pPr>
        <w:rPr>
          <w:rFonts w:cs="Arial"/>
        </w:rPr>
      </w:pPr>
    </w:p>
    <w:p w14:paraId="487F65A8" w14:textId="77777777" w:rsidR="000D28D6" w:rsidRPr="00756EC2" w:rsidRDefault="000D28D6" w:rsidP="000D28D6">
      <w:pPr>
        <w:rPr>
          <w:rFonts w:cs="Arial"/>
          <w:b/>
          <w:u w:val="single"/>
        </w:rPr>
      </w:pPr>
      <w:r w:rsidRPr="00756EC2">
        <w:rPr>
          <w:rFonts w:cs="Arial"/>
          <w:b/>
          <w:u w:val="single"/>
        </w:rPr>
        <w:t>Section 4 – Miscellaneous</w:t>
      </w:r>
    </w:p>
    <w:p w14:paraId="5A6BB300" w14:textId="77777777" w:rsidR="000D28D6" w:rsidRPr="00756EC2" w:rsidRDefault="000D28D6" w:rsidP="000D28D6">
      <w:pPr>
        <w:rPr>
          <w:rFonts w:cs="Arial"/>
        </w:rPr>
      </w:pPr>
    </w:p>
    <w:p w14:paraId="70BEE016" w14:textId="77777777" w:rsidR="000D28D6" w:rsidRPr="00756EC2" w:rsidRDefault="000D28D6" w:rsidP="000D28D6">
      <w:pPr>
        <w:rPr>
          <w:rFonts w:cs="Arial"/>
        </w:rPr>
      </w:pPr>
      <w:r w:rsidRPr="00756EC2">
        <w:rPr>
          <w:rFonts w:cs="Arial"/>
        </w:rPr>
        <w:t xml:space="preserve">Parks and Cemeteries Service </w:t>
      </w:r>
      <w:r>
        <w:rPr>
          <w:rFonts w:cs="Arial"/>
        </w:rPr>
        <w:t>had</w:t>
      </w:r>
      <w:r w:rsidRPr="00756EC2">
        <w:rPr>
          <w:rFonts w:cs="Arial"/>
        </w:rPr>
        <w:t xml:space="preserve"> reported that the impacts of changing weather patterns and the lessening ‘seasonal’ variation </w:t>
      </w:r>
      <w:r>
        <w:rPr>
          <w:rFonts w:cs="Arial"/>
        </w:rPr>
        <w:t>was</w:t>
      </w:r>
      <w:r w:rsidRPr="00756EC2">
        <w:rPr>
          <w:rFonts w:cs="Arial"/>
        </w:rPr>
        <w:t xml:space="preserve"> affecting service delivery. This </w:t>
      </w:r>
      <w:r>
        <w:rPr>
          <w:rFonts w:cs="Arial"/>
        </w:rPr>
        <w:t>had</w:t>
      </w:r>
      <w:r w:rsidRPr="00756EC2">
        <w:rPr>
          <w:rFonts w:cs="Arial"/>
        </w:rPr>
        <w:t xml:space="preserve"> resulted in criticism of the service regarding grass cutting and sports pitch availability across the Service. Mitigations </w:t>
      </w:r>
      <w:r>
        <w:rPr>
          <w:rFonts w:cs="Arial"/>
        </w:rPr>
        <w:t>were</w:t>
      </w:r>
      <w:r w:rsidRPr="00756EC2">
        <w:rPr>
          <w:rFonts w:cs="Arial"/>
        </w:rPr>
        <w:t xml:space="preserve"> planned with increased investment in drainage projects and realignment of staffing structures and maintenance schedules.</w:t>
      </w:r>
    </w:p>
    <w:p w14:paraId="65A7AB12" w14:textId="77777777" w:rsidR="000D28D6" w:rsidRPr="00756EC2" w:rsidRDefault="000D28D6" w:rsidP="000D28D6">
      <w:pPr>
        <w:rPr>
          <w:rFonts w:cs="Arial"/>
        </w:rPr>
      </w:pPr>
    </w:p>
    <w:p w14:paraId="6C5AADC6" w14:textId="77777777" w:rsidR="000D28D6" w:rsidRDefault="000D28D6" w:rsidP="000D28D6">
      <w:pPr>
        <w:rPr>
          <w:rFonts w:cs="Arial"/>
        </w:rPr>
      </w:pPr>
      <w:r>
        <w:rPr>
          <w:rFonts w:cs="Arial"/>
        </w:rPr>
        <w:t>RECOMMENDED</w:t>
      </w:r>
      <w:r w:rsidRPr="00756EC2">
        <w:rPr>
          <w:rFonts w:cs="Arial"/>
        </w:rPr>
        <w:t xml:space="preserve"> that Council note this report. </w:t>
      </w:r>
    </w:p>
    <w:p w14:paraId="7E5EFE5A" w14:textId="77777777" w:rsidR="0084379A" w:rsidRDefault="0084379A" w:rsidP="000D28D6">
      <w:pPr>
        <w:rPr>
          <w:rFonts w:cs="Arial"/>
        </w:rPr>
      </w:pPr>
    </w:p>
    <w:p w14:paraId="6A04CC2E" w14:textId="10F77335" w:rsidR="0084379A" w:rsidRPr="0084379A" w:rsidRDefault="0084379A" w:rsidP="0084379A">
      <w:pPr>
        <w:rPr>
          <w:rFonts w:cs="Arial"/>
        </w:rPr>
      </w:pPr>
      <w:r w:rsidRPr="0084379A">
        <w:rPr>
          <w:rFonts w:cs="Arial"/>
        </w:rPr>
        <w:t xml:space="preserve">Councillor </w:t>
      </w:r>
      <w:r>
        <w:rPr>
          <w:rFonts w:cs="Arial"/>
        </w:rPr>
        <w:t>Wray</w:t>
      </w:r>
      <w:r w:rsidRPr="0084379A">
        <w:rPr>
          <w:rFonts w:cs="Arial"/>
        </w:rPr>
        <w:t xml:space="preserve"> proposed, seconded by Councillor </w:t>
      </w:r>
      <w:r>
        <w:rPr>
          <w:rFonts w:cs="Arial"/>
        </w:rPr>
        <w:t>Harbinson</w:t>
      </w:r>
      <w:r w:rsidRPr="0084379A">
        <w:rPr>
          <w:rFonts w:cs="Arial"/>
        </w:rPr>
        <w:t>, that the recommendation be adopted.</w:t>
      </w:r>
    </w:p>
    <w:p w14:paraId="3ECA7DDF" w14:textId="77777777" w:rsidR="0084379A" w:rsidRPr="00756EC2" w:rsidRDefault="0084379A" w:rsidP="000D28D6">
      <w:pPr>
        <w:rPr>
          <w:rFonts w:cs="Arial"/>
        </w:rPr>
      </w:pPr>
    </w:p>
    <w:p w14:paraId="4D785B01" w14:textId="5951048B" w:rsidR="003035FD" w:rsidRDefault="0084379A" w:rsidP="003035FD">
      <w:r>
        <w:t>Councillor Wray noted the leak at Ards Arts Centre, the bid for residual waste and lack of grave space in cemeteries. He asked what implications may occur in working with other organisations and councils around regulation changes in the Safeguarding the Union document and what work might be entailed.</w:t>
      </w:r>
    </w:p>
    <w:p w14:paraId="61BD1A4B" w14:textId="77777777" w:rsidR="0084379A" w:rsidRDefault="0084379A" w:rsidP="003035FD"/>
    <w:p w14:paraId="486F8570" w14:textId="6A142970" w:rsidR="0084379A" w:rsidRDefault="0084379A" w:rsidP="003035FD">
      <w:r>
        <w:t xml:space="preserve">The Director of Corporate Services explained that the document was produced </w:t>
      </w:r>
      <w:r w:rsidR="00FB47AB">
        <w:t>every six months.</w:t>
      </w:r>
      <w:r>
        <w:t xml:space="preserve"> Risk </w:t>
      </w:r>
      <w:r w:rsidR="00FB47AB">
        <w:t xml:space="preserve">Management received assurances from eighteen departments in Council. Within those, notes would range from ongoing tasks, mitigations, and provided opportunities for Heads of Service to outline key issues in their service areas. This report extracted and summarised information as opposed to supplying the Audit Committee with eighteen different reports. </w:t>
      </w:r>
      <w:r w:rsidR="00FC72C7">
        <w:t xml:space="preserve">The Director advised that he </w:t>
      </w:r>
      <w:proofErr w:type="gramStart"/>
      <w:r w:rsidR="00FC72C7">
        <w:t>would seek</w:t>
      </w:r>
      <w:proofErr w:type="gramEnd"/>
      <w:r w:rsidR="00FC72C7">
        <w:t xml:space="preserve"> and provide further information. Councillor Wray queried whether further information could be provided on the </w:t>
      </w:r>
      <w:proofErr w:type="spellStart"/>
      <w:r w:rsidR="00FC72C7">
        <w:t>facebook</w:t>
      </w:r>
      <w:proofErr w:type="spellEnd"/>
      <w:r w:rsidR="00FC72C7">
        <w:t xml:space="preserve"> page and extinction of right of way mentioned within the report. The Director of Corporate Services advised that he </w:t>
      </w:r>
      <w:proofErr w:type="gramStart"/>
      <w:r w:rsidR="00FC72C7">
        <w:t>would also</w:t>
      </w:r>
      <w:proofErr w:type="gramEnd"/>
      <w:r w:rsidR="00FC72C7">
        <w:t xml:space="preserve"> procure further information on both items. </w:t>
      </w:r>
    </w:p>
    <w:p w14:paraId="21852FA0" w14:textId="77777777" w:rsidR="00FC72C7" w:rsidRDefault="00FC72C7" w:rsidP="003035FD"/>
    <w:p w14:paraId="235D7819" w14:textId="6BCC3D22" w:rsidR="00FC72C7" w:rsidRDefault="00FC72C7" w:rsidP="003035FD">
      <w:r>
        <w:t>Councillor McKee asked who the client referred to on page 2 regarding Waste and Cleansing Services and for clarification on the bidding process. The Director of Corporate Services confirmed that Arc21 was the client and explained that as the Audit Committee only met quarterly, the information in the report was based on April-September, but since then</w:t>
      </w:r>
      <w:r w:rsidR="00D06D42">
        <w:t xml:space="preserve">, the situation had progressed to allow for more certainty in costs that would be incurred with financial liability not being as great as first perceived. Councillor McKee asked for further clarity on wording as one part spoke of an interim contract whilst the other appeared to reference the collapse of Arc21 in its entirety. The Head of Finance advised that Arc21 were undertaking the tender process for the residual waste treatment plant that had been amidst the planning process for a number of years. There had been various court cases on the matter but there was an agreement with the preferred bidder should the tendering process collapse due to the client withdrawing. There was a contingency agreement with </w:t>
      </w:r>
      <w:r w:rsidR="00D06D42">
        <w:lastRenderedPageBreak/>
        <w:t>Arc21 and other Councils and there was no intention of the client collapsing the tender process with difficulties instead lying with getting planning permission.</w:t>
      </w:r>
    </w:p>
    <w:p w14:paraId="00229DCC" w14:textId="77777777" w:rsidR="0054214D" w:rsidRDefault="0054214D" w:rsidP="003035FD"/>
    <w:p w14:paraId="2C5418F9" w14:textId="263FB903" w:rsidR="005E18D0" w:rsidRDefault="005E18D0" w:rsidP="005E18D0">
      <w:pPr>
        <w:rPr>
          <w:b/>
        </w:rPr>
      </w:pPr>
      <w:r>
        <w:rPr>
          <w:b/>
        </w:rPr>
        <w:t>AGREED TO RECOMMEND, on the proposal of Councillor</w:t>
      </w:r>
      <w:r w:rsidR="0084379A">
        <w:rPr>
          <w:b/>
        </w:rPr>
        <w:t xml:space="preserve"> Wray</w:t>
      </w:r>
      <w:r>
        <w:rPr>
          <w:b/>
        </w:rPr>
        <w:t>, seconded by Councillor</w:t>
      </w:r>
      <w:r w:rsidR="0084379A">
        <w:rPr>
          <w:b/>
        </w:rPr>
        <w:t xml:space="preserve"> Harbinson</w:t>
      </w:r>
      <w:r>
        <w:rPr>
          <w:b/>
        </w:rPr>
        <w:t xml:space="preserve">, that the </w:t>
      </w:r>
      <w:r w:rsidR="0007456D">
        <w:rPr>
          <w:b/>
        </w:rPr>
        <w:t>report</w:t>
      </w:r>
      <w:r>
        <w:rPr>
          <w:b/>
        </w:rPr>
        <w:t xml:space="preserve"> be noted. </w:t>
      </w:r>
    </w:p>
    <w:p w14:paraId="73956BDE" w14:textId="77777777" w:rsidR="003035FD" w:rsidRDefault="003035FD" w:rsidP="003035FD"/>
    <w:p w14:paraId="3A989FA8" w14:textId="57567DEE" w:rsidR="003035FD" w:rsidRPr="004249E2" w:rsidRDefault="003035FD" w:rsidP="004249E2">
      <w:pPr>
        <w:pStyle w:val="Heading2"/>
        <w:rPr>
          <w:b/>
          <w:bCs/>
        </w:rPr>
      </w:pPr>
      <w:r w:rsidRPr="004249E2">
        <w:rPr>
          <w:b/>
          <w:bCs/>
        </w:rPr>
        <w:t>5</w:t>
      </w:r>
      <w:r w:rsidR="004249E2">
        <w:rPr>
          <w:b/>
          <w:bCs/>
        </w:rPr>
        <w:t xml:space="preserve"> (b)</w:t>
      </w:r>
      <w:r w:rsidRPr="004249E2">
        <w:rPr>
          <w:b/>
          <w:bCs/>
        </w:rPr>
        <w:tab/>
      </w:r>
      <w:r w:rsidRPr="004249E2">
        <w:rPr>
          <w:b/>
          <w:bCs/>
          <w:u w:val="single"/>
        </w:rPr>
        <w:t>CORPORATE RISK REGISTER</w:t>
      </w:r>
    </w:p>
    <w:p w14:paraId="69D0FD1D" w14:textId="77777777" w:rsidR="005E18D0" w:rsidRDefault="005E18D0" w:rsidP="005E18D0">
      <w:pPr>
        <w:rPr>
          <w:caps/>
        </w:rPr>
      </w:pPr>
    </w:p>
    <w:p w14:paraId="13F2EDEF" w14:textId="72F49D3E" w:rsidR="00CC34E1" w:rsidRPr="00CC34E1" w:rsidRDefault="005E18D0" w:rsidP="00CC34E1">
      <w:r w:rsidRPr="00B32EF2">
        <w:rPr>
          <w:caps/>
        </w:rPr>
        <w:t>Previously circulated</w:t>
      </w:r>
      <w:r>
        <w:t xml:space="preserve">:- </w:t>
      </w:r>
      <w:r w:rsidR="00CC34E1">
        <w:t xml:space="preserve">Report from the Director of Corporate Services </w:t>
      </w:r>
      <w:r w:rsidR="00CC34E1">
        <w:rPr>
          <w:rFonts w:cs="Arial"/>
        </w:rPr>
        <w:t>which explained that t</w:t>
      </w:r>
      <w:r w:rsidR="00CC34E1" w:rsidRPr="00CC34E1">
        <w:t xml:space="preserve">he Corporate Risk Register </w:t>
      </w:r>
      <w:r w:rsidR="00CC34E1">
        <w:t>had last been</w:t>
      </w:r>
      <w:r w:rsidR="00CC34E1" w:rsidRPr="00CC34E1">
        <w:t xml:space="preserve"> reported to Committee in June 2024, providing the first detailed Action Plan.  This report focuse</w:t>
      </w:r>
      <w:r w:rsidR="00CC34E1">
        <w:t>d</w:t>
      </w:r>
      <w:r w:rsidR="00CC34E1" w:rsidRPr="00CC34E1">
        <w:t xml:space="preserve"> on the period 1 June 2024 – 30 September 2024.  As this report cover</w:t>
      </w:r>
      <w:r w:rsidR="00CC34E1">
        <w:t>ed</w:t>
      </w:r>
      <w:r w:rsidR="00CC34E1" w:rsidRPr="00CC34E1">
        <w:t xml:space="preserve"> a 4-month period</w:t>
      </w:r>
      <w:r w:rsidR="00CC34E1">
        <w:t>,</w:t>
      </w:r>
      <w:r w:rsidR="00CC34E1" w:rsidRPr="00CC34E1">
        <w:t xml:space="preserve"> a significant number of updates </w:t>
      </w:r>
      <w:r w:rsidR="00CC34E1">
        <w:t>were</w:t>
      </w:r>
      <w:r w:rsidR="00CC34E1" w:rsidRPr="00CC34E1">
        <w:t xml:space="preserve"> not expected, particularly for those actions with long completion target dates. The next report to Audit Committee </w:t>
      </w:r>
      <w:r w:rsidR="00CC34E1">
        <w:t>was to</w:t>
      </w:r>
      <w:r w:rsidR="00CC34E1" w:rsidRPr="00CC34E1">
        <w:t xml:space="preserve"> cover the period October 2024 to April 2025.</w:t>
      </w:r>
    </w:p>
    <w:p w14:paraId="699E97E7" w14:textId="77777777" w:rsidR="00CC34E1" w:rsidRPr="00CC34E1" w:rsidRDefault="00CC34E1" w:rsidP="00CC34E1"/>
    <w:p w14:paraId="04366DF6" w14:textId="07354DDD" w:rsidR="00CC34E1" w:rsidRPr="00CC34E1" w:rsidRDefault="00CC34E1" w:rsidP="00CC34E1">
      <w:r w:rsidRPr="00CC34E1">
        <w:t xml:space="preserve">The Corporate Leadership Team together with the Heads of Service reviewed the Corporate Risk Register in October.  There </w:t>
      </w:r>
      <w:proofErr w:type="spellStart"/>
      <w:r>
        <w:t>ere</w:t>
      </w:r>
      <w:proofErr w:type="spellEnd"/>
      <w:r w:rsidRPr="00CC34E1">
        <w:t xml:space="preserve"> no changes to the Corporate Risk Register.  Within the Action Plan, there </w:t>
      </w:r>
      <w:r>
        <w:t>were</w:t>
      </w:r>
      <w:r w:rsidRPr="00CC34E1">
        <w:t xml:space="preserve"> a number of updates recorded for the period, </w:t>
      </w:r>
      <w:r>
        <w:t>as</w:t>
      </w:r>
      <w:r w:rsidRPr="00CC34E1">
        <w:t xml:space="preserve"> summarised below.  This summary </w:t>
      </w:r>
      <w:r>
        <w:t>did</w:t>
      </w:r>
      <w:r w:rsidRPr="00CC34E1">
        <w:t xml:space="preserve"> not include Corporate Risks or associated Actions without specific updates (reflecting no change), or where the update reflect</w:t>
      </w:r>
      <w:r>
        <w:t>ed</w:t>
      </w:r>
      <w:r w:rsidRPr="00CC34E1">
        <w:t xml:space="preserve"> that the action </w:t>
      </w:r>
      <w:r>
        <w:t>was</w:t>
      </w:r>
      <w:r w:rsidRPr="00CC34E1">
        <w:t xml:space="preserve"> ongoing or under development.  </w:t>
      </w:r>
    </w:p>
    <w:p w14:paraId="37251F34" w14:textId="77777777" w:rsidR="00CC34E1" w:rsidRPr="00CC34E1" w:rsidRDefault="00CC34E1" w:rsidP="00CC34E1"/>
    <w:p w14:paraId="262AE782" w14:textId="2693D2D5" w:rsidR="00CC34E1" w:rsidRPr="00CC34E1" w:rsidRDefault="00CC34E1" w:rsidP="00CC34E1">
      <w:r w:rsidRPr="00CC34E1">
        <w:rPr>
          <w:b/>
          <w:bCs/>
        </w:rPr>
        <w:t xml:space="preserve">CR1 – Inability to meet targets set out within </w:t>
      </w:r>
      <w:r w:rsidRPr="00CC34E1">
        <w:rPr>
          <w:b/>
          <w:bCs/>
          <w:i/>
          <w:iCs/>
        </w:rPr>
        <w:t>The Integrated Strategy for Tourism, Regeneration and Economic Development</w:t>
      </w:r>
      <w:r w:rsidRPr="00CC34E1">
        <w:t xml:space="preserve">, Under the Action Plan, sub-risk of </w:t>
      </w:r>
      <w:r w:rsidRPr="00CC34E1">
        <w:rPr>
          <w:i/>
          <w:iCs/>
        </w:rPr>
        <w:t>Failure to Increase the share of overnight NI Trips</w:t>
      </w:r>
      <w:r w:rsidRPr="00CC34E1">
        <w:t xml:space="preserve"> and </w:t>
      </w:r>
      <w:r w:rsidRPr="00CC34E1">
        <w:rPr>
          <w:i/>
          <w:iCs/>
        </w:rPr>
        <w:t>Failure to increase visitor spend</w:t>
      </w:r>
      <w:r w:rsidRPr="00CC34E1">
        <w:t xml:space="preserve">, the NISRA statistics for 2023 </w:t>
      </w:r>
      <w:r w:rsidR="00A9381C">
        <w:t>had</w:t>
      </w:r>
      <w:r w:rsidRPr="00CC34E1">
        <w:t xml:space="preserve"> been received, however NISRA </w:t>
      </w:r>
      <w:r w:rsidR="00A9381C">
        <w:t>had</w:t>
      </w:r>
      <w:r w:rsidRPr="00CC34E1">
        <w:t xml:space="preserve"> advised that they </w:t>
      </w:r>
      <w:r w:rsidR="00A9381C">
        <w:t>could not</w:t>
      </w:r>
      <w:r w:rsidRPr="00CC34E1">
        <w:t xml:space="preserve"> be compared to the 2019 data as the methodology used </w:t>
      </w:r>
      <w:r w:rsidR="00A9381C">
        <w:t>had</w:t>
      </w:r>
      <w:r w:rsidRPr="00CC34E1">
        <w:t xml:space="preserve"> been changed.</w:t>
      </w:r>
    </w:p>
    <w:p w14:paraId="570022FE" w14:textId="77777777" w:rsidR="00CC34E1" w:rsidRPr="00CC34E1" w:rsidRDefault="00CC34E1" w:rsidP="00CC34E1"/>
    <w:p w14:paraId="3B4B5007" w14:textId="029E9113" w:rsidR="00CC34E1" w:rsidRPr="00CC34E1" w:rsidRDefault="00CC34E1" w:rsidP="00CC34E1">
      <w:pPr>
        <w:rPr>
          <w:i/>
          <w:iCs/>
        </w:rPr>
      </w:pPr>
      <w:r w:rsidRPr="00CC34E1">
        <w:rPr>
          <w:b/>
          <w:bCs/>
        </w:rPr>
        <w:t xml:space="preserve">CR3 – </w:t>
      </w:r>
      <w:r w:rsidRPr="00CC34E1">
        <w:t xml:space="preserve">relating to </w:t>
      </w:r>
      <w:r w:rsidRPr="00CC34E1">
        <w:rPr>
          <w:b/>
          <w:bCs/>
        </w:rPr>
        <w:t>Member engagement in development plan and more targeted Corporate Plan.</w:t>
      </w:r>
      <w:r w:rsidRPr="00CC34E1">
        <w:rPr>
          <w:i/>
          <w:iCs/>
        </w:rPr>
        <w:t xml:space="preserve">  </w:t>
      </w:r>
      <w:r w:rsidRPr="00CC34E1">
        <w:t xml:space="preserve">The first action in relation to the design and development of the Corporate Plan </w:t>
      </w:r>
      <w:r w:rsidR="00A9381C">
        <w:t>had been</w:t>
      </w:r>
      <w:r w:rsidRPr="00CC34E1">
        <w:t xml:space="preserve"> complete. There </w:t>
      </w:r>
      <w:r w:rsidR="00A9381C">
        <w:t>was</w:t>
      </w:r>
      <w:r w:rsidRPr="00CC34E1">
        <w:t xml:space="preserve"> one status update in relation to the second action to use the Corporate Plan to shape the future direction of the council, </w:t>
      </w:r>
      <w:r w:rsidRPr="00CC34E1">
        <w:rPr>
          <w:i/>
          <w:iCs/>
        </w:rPr>
        <w:t>the Review of Organisational Redesign has restarted with a target date for completion of the first phase of March / April 2025.</w:t>
      </w:r>
    </w:p>
    <w:p w14:paraId="5349E9A5" w14:textId="77777777" w:rsidR="00CC34E1" w:rsidRPr="00CC34E1" w:rsidRDefault="00CC34E1" w:rsidP="00CC34E1"/>
    <w:p w14:paraId="55953542" w14:textId="38B5E360" w:rsidR="00CC34E1" w:rsidRPr="00CC34E1" w:rsidRDefault="00CC34E1" w:rsidP="00CC34E1">
      <w:r w:rsidRPr="00CC34E1">
        <w:rPr>
          <w:b/>
          <w:bCs/>
        </w:rPr>
        <w:t xml:space="preserve">CR4 – </w:t>
      </w:r>
      <w:r w:rsidRPr="00CC34E1">
        <w:t>the risk of</w:t>
      </w:r>
      <w:r w:rsidRPr="00CC34E1">
        <w:rPr>
          <w:b/>
          <w:bCs/>
        </w:rPr>
        <w:t xml:space="preserve"> Failure to adequately plan for the impact of climate change.  </w:t>
      </w:r>
      <w:r w:rsidRPr="00CC34E1">
        <w:t xml:space="preserve">There </w:t>
      </w:r>
      <w:r w:rsidR="00A9381C">
        <w:t>were</w:t>
      </w:r>
      <w:r w:rsidRPr="00CC34E1">
        <w:t xml:space="preserve"> no officers in post to take these actions forward</w:t>
      </w:r>
      <w:r w:rsidR="00A9381C">
        <w:t xml:space="preserve"> at the time of writing</w:t>
      </w:r>
      <w:r w:rsidRPr="00CC34E1">
        <w:t xml:space="preserve">.  The current target date for completion of the five identified risks </w:t>
      </w:r>
      <w:r w:rsidR="00A9381C">
        <w:t>was</w:t>
      </w:r>
      <w:r w:rsidRPr="00CC34E1">
        <w:t xml:space="preserve"> March 2025.</w:t>
      </w:r>
    </w:p>
    <w:p w14:paraId="58290868" w14:textId="77777777" w:rsidR="00CC34E1" w:rsidRPr="00CC34E1" w:rsidRDefault="00CC34E1" w:rsidP="00CC34E1"/>
    <w:p w14:paraId="3934590B" w14:textId="0DCBA63D" w:rsidR="00CC34E1" w:rsidRPr="00CC34E1" w:rsidRDefault="00CC34E1" w:rsidP="00CC34E1">
      <w:r w:rsidRPr="00CC34E1">
        <w:rPr>
          <w:b/>
          <w:bCs/>
        </w:rPr>
        <w:t xml:space="preserve">CR5 – </w:t>
      </w:r>
      <w:r w:rsidRPr="00CC34E1">
        <w:t>the risk of</w:t>
      </w:r>
      <w:r w:rsidRPr="00CC34E1">
        <w:rPr>
          <w:b/>
          <w:bCs/>
        </w:rPr>
        <w:t xml:space="preserve"> Not achieving the Council’s Net Zero targets.  </w:t>
      </w:r>
      <w:r w:rsidRPr="00CC34E1">
        <w:t xml:space="preserve">Under the first (control) detail risk, it </w:t>
      </w:r>
      <w:r w:rsidR="00B94A4B">
        <w:t>was</w:t>
      </w:r>
      <w:r w:rsidRPr="00CC34E1">
        <w:t xml:space="preserve"> noted that there </w:t>
      </w:r>
      <w:r w:rsidR="00B94A4B">
        <w:t>was</w:t>
      </w:r>
      <w:r w:rsidRPr="00CC34E1">
        <w:t xml:space="preserve"> no officer in place.  Under the control risk </w:t>
      </w:r>
      <w:r w:rsidRPr="00CC34E1">
        <w:rPr>
          <w:i/>
          <w:iCs/>
        </w:rPr>
        <w:t>Poor monitoring of progress,</w:t>
      </w:r>
      <w:r w:rsidRPr="00CC34E1">
        <w:t xml:space="preserve"> the action for the </w:t>
      </w:r>
      <w:r w:rsidRPr="00CC34E1">
        <w:rPr>
          <w:i/>
          <w:iCs/>
        </w:rPr>
        <w:t xml:space="preserve">Roadmap to Sustainability </w:t>
      </w:r>
      <w:r w:rsidR="00B94A4B">
        <w:t>had</w:t>
      </w:r>
      <w:r w:rsidRPr="00CC34E1">
        <w:t xml:space="preserve"> been updated reporting that work </w:t>
      </w:r>
      <w:r w:rsidR="00B94A4B">
        <w:t>was</w:t>
      </w:r>
      <w:r w:rsidRPr="00CC34E1">
        <w:t xml:space="preserve"> underway with SNI to review the roadmap to incorporate current obligations.  The deadline for completion </w:t>
      </w:r>
      <w:r w:rsidR="00B94A4B">
        <w:t>had been</w:t>
      </w:r>
      <w:r w:rsidRPr="00CC34E1">
        <w:t xml:space="preserve"> adjusted to March 25 due to the lack of internal resource to support this work.  The </w:t>
      </w:r>
      <w:r w:rsidRPr="00CC34E1">
        <w:rPr>
          <w:i/>
          <w:iCs/>
        </w:rPr>
        <w:t xml:space="preserve">Routine Carbon budget progress reporting </w:t>
      </w:r>
      <w:r w:rsidRPr="00CC34E1">
        <w:t xml:space="preserve">action </w:t>
      </w:r>
      <w:r w:rsidR="00B94A4B">
        <w:t>had</w:t>
      </w:r>
      <w:r w:rsidRPr="00CC34E1">
        <w:t xml:space="preserve"> been updated, reporting that that work on Co-Design with DAERA </w:t>
      </w:r>
      <w:r w:rsidR="00B94A4B">
        <w:t>was</w:t>
      </w:r>
      <w:r w:rsidRPr="00CC34E1">
        <w:t xml:space="preserve"> being undertaken in relation to climate change reporting.</w:t>
      </w:r>
    </w:p>
    <w:p w14:paraId="2848DDFA" w14:textId="77777777" w:rsidR="00CC34E1" w:rsidRPr="00CC34E1" w:rsidRDefault="00CC34E1" w:rsidP="00CC34E1"/>
    <w:p w14:paraId="0E7897A4" w14:textId="30B90A53" w:rsidR="00CC34E1" w:rsidRPr="00CC34E1" w:rsidRDefault="00CC34E1" w:rsidP="00CC34E1">
      <w:r w:rsidRPr="00CC34E1">
        <w:rPr>
          <w:b/>
          <w:bCs/>
        </w:rPr>
        <w:t xml:space="preserve">CR6 – </w:t>
      </w:r>
      <w:r w:rsidRPr="00CC34E1">
        <w:t xml:space="preserve">the risk of </w:t>
      </w:r>
      <w:r w:rsidRPr="00CC34E1">
        <w:rPr>
          <w:b/>
          <w:bCs/>
        </w:rPr>
        <w:t xml:space="preserve">Failure to work in effective partnerships to meet Council Objectives </w:t>
      </w:r>
      <w:r w:rsidR="00B94A4B">
        <w:t>had</w:t>
      </w:r>
      <w:r w:rsidRPr="00CC34E1">
        <w:t xml:space="preserve"> three detail risks.  The following updates relate</w:t>
      </w:r>
      <w:r w:rsidR="00B94A4B">
        <w:t>d</w:t>
      </w:r>
      <w:r w:rsidRPr="00CC34E1">
        <w:t xml:space="preserve"> to the Community Planning Partnership detail risk.  The November Strategic Partnership meeting </w:t>
      </w:r>
      <w:r w:rsidR="00B94A4B">
        <w:t>would</w:t>
      </w:r>
      <w:r w:rsidRPr="00CC34E1">
        <w:t xml:space="preserve"> see the chair of the Strategic Community Partnership Group change and a vice chair to be elected for two years.  The Annual progress update report </w:t>
      </w:r>
      <w:r w:rsidR="00B94A4B">
        <w:t>would</w:t>
      </w:r>
      <w:r w:rsidRPr="00CC34E1">
        <w:t xml:space="preserve"> be presented and proposals to amend the wording of outcomes, reducing priorities, better structures and alignment of workstreams </w:t>
      </w:r>
      <w:r w:rsidR="00B94A4B">
        <w:t>would</w:t>
      </w:r>
      <w:r w:rsidRPr="00CC34E1">
        <w:t xml:space="preserve"> be discussed.  In relation to the action on </w:t>
      </w:r>
      <w:r w:rsidRPr="00CC34E1">
        <w:rPr>
          <w:i/>
          <w:iCs/>
        </w:rPr>
        <w:t xml:space="preserve">Benchmarking with other models, </w:t>
      </w:r>
      <w:r w:rsidRPr="00CC34E1">
        <w:t>the Operational Risk Lead also report</w:t>
      </w:r>
      <w:r w:rsidR="00B94A4B">
        <w:t>ed</w:t>
      </w:r>
      <w:r w:rsidRPr="00CC34E1">
        <w:t xml:space="preserve"> that there </w:t>
      </w:r>
      <w:r w:rsidR="00B94A4B">
        <w:t>was</w:t>
      </w:r>
      <w:r w:rsidRPr="00CC34E1">
        <w:t xml:space="preserve"> council participation in the Community Planning Officers Network meetings and the </w:t>
      </w:r>
      <w:proofErr w:type="spellStart"/>
      <w:r w:rsidRPr="00CC34E1">
        <w:t>DfC</w:t>
      </w:r>
      <w:proofErr w:type="spellEnd"/>
      <w:r w:rsidRPr="00CC34E1">
        <w:t xml:space="preserve"> Working Group.</w:t>
      </w:r>
    </w:p>
    <w:p w14:paraId="435E1D8F" w14:textId="77777777" w:rsidR="00CC34E1" w:rsidRPr="00CC34E1" w:rsidRDefault="00CC34E1" w:rsidP="00CC34E1"/>
    <w:p w14:paraId="0CA0CC85" w14:textId="11BBA3DC" w:rsidR="00CC34E1" w:rsidRPr="00CC34E1" w:rsidRDefault="00CC34E1" w:rsidP="00CC34E1">
      <w:pPr>
        <w:rPr>
          <w:b/>
          <w:bCs/>
        </w:rPr>
      </w:pPr>
      <w:r w:rsidRPr="00CC34E1">
        <w:rPr>
          <w:b/>
          <w:bCs/>
        </w:rPr>
        <w:t xml:space="preserve">CR8 – </w:t>
      </w:r>
      <w:r w:rsidRPr="00CC34E1">
        <w:t>Risk of</w:t>
      </w:r>
      <w:r w:rsidRPr="00CC34E1">
        <w:rPr>
          <w:b/>
          <w:bCs/>
        </w:rPr>
        <w:t xml:space="preserve"> Death as a result of Council actions or omissions </w:t>
      </w:r>
      <w:r w:rsidR="00B94A4B">
        <w:t>had</w:t>
      </w:r>
      <w:r w:rsidRPr="00CC34E1">
        <w:t xml:space="preserve"> ten detail risks. Under </w:t>
      </w:r>
      <w:r w:rsidRPr="00CC34E1">
        <w:rPr>
          <w:i/>
          <w:iCs/>
        </w:rPr>
        <w:t>Event Safety</w:t>
      </w:r>
      <w:r w:rsidRPr="00CC34E1">
        <w:t xml:space="preserve">, it </w:t>
      </w:r>
      <w:r w:rsidR="00B94A4B">
        <w:t>was</w:t>
      </w:r>
      <w:r w:rsidRPr="00CC34E1">
        <w:t xml:space="preserve"> noted that the Lands Policy </w:t>
      </w:r>
      <w:r w:rsidR="00B94A4B">
        <w:t>was</w:t>
      </w:r>
      <w:r w:rsidRPr="00CC34E1">
        <w:t xml:space="preserve"> currently under review and the Events Toolkit </w:t>
      </w:r>
      <w:r w:rsidR="00B94A4B">
        <w:t>was</w:t>
      </w:r>
      <w:r w:rsidRPr="00CC34E1">
        <w:t xml:space="preserve"> under revision. Commencing the 2025/26 season, the inclusion of a requirement for early engagement, requirement for specified documentation and / or attendance at Safety Advisory Group meetings </w:t>
      </w:r>
      <w:r w:rsidR="00B94A4B">
        <w:t>would</w:t>
      </w:r>
      <w:r w:rsidRPr="00CC34E1">
        <w:t xml:space="preserve"> be set out in the Terms and Conditions for those receiving grants to deliver events and for external operators supported to deliver tourism experiences.   </w:t>
      </w:r>
    </w:p>
    <w:p w14:paraId="0FD2CE6E" w14:textId="77777777" w:rsidR="00CC34E1" w:rsidRPr="00CC34E1" w:rsidRDefault="00CC34E1" w:rsidP="00CC34E1"/>
    <w:p w14:paraId="254609B6" w14:textId="485BEDBC" w:rsidR="00CC34E1" w:rsidRPr="00CC34E1" w:rsidRDefault="00CC34E1" w:rsidP="00CC34E1">
      <w:r w:rsidRPr="00CC34E1">
        <w:rPr>
          <w:b/>
          <w:bCs/>
        </w:rPr>
        <w:t xml:space="preserve">CR11 – Decline in the Council’s non-domestic tax base </w:t>
      </w:r>
      <w:r w:rsidR="00B94A4B">
        <w:t>was</w:t>
      </w:r>
      <w:r w:rsidRPr="00CC34E1">
        <w:t xml:space="preserve"> now highlighted in the 2024 – 2028 Corporate Plan. The action to develop a number of key projects to address need to start to grow the non-domestic rate base </w:t>
      </w:r>
      <w:r w:rsidR="00B94A4B">
        <w:t>had</w:t>
      </w:r>
      <w:r w:rsidRPr="00CC34E1">
        <w:t xml:space="preserve"> been updated.  The status relating to the Regeneration budget </w:t>
      </w:r>
      <w:r w:rsidR="00B94A4B">
        <w:t>had been</w:t>
      </w:r>
      <w:r w:rsidRPr="00CC34E1">
        <w:t xml:space="preserve"> updated to confirm the 2024/25 budget </w:t>
      </w:r>
      <w:r w:rsidR="00B94A4B">
        <w:t>was</w:t>
      </w:r>
      <w:r w:rsidRPr="00CC34E1">
        <w:t xml:space="preserve"> being managed and the 2025/26 budget requirements </w:t>
      </w:r>
      <w:r w:rsidR="00B94A4B">
        <w:t>were</w:t>
      </w:r>
      <w:r w:rsidRPr="00CC34E1">
        <w:t xml:space="preserve"> being considered before the budget scrutiny panel.</w:t>
      </w:r>
    </w:p>
    <w:p w14:paraId="0AEF43FE" w14:textId="77777777" w:rsidR="00CC34E1" w:rsidRPr="00CC34E1" w:rsidRDefault="00CC34E1" w:rsidP="00CC34E1">
      <w:pPr>
        <w:rPr>
          <w:b/>
          <w:bCs/>
        </w:rPr>
      </w:pPr>
    </w:p>
    <w:p w14:paraId="18101595" w14:textId="77777777" w:rsidR="00CC34E1" w:rsidRPr="00CC34E1" w:rsidRDefault="00CC34E1" w:rsidP="00CC34E1">
      <w:r w:rsidRPr="00CC34E1">
        <w:rPr>
          <w:b/>
          <w:bCs/>
        </w:rPr>
        <w:t xml:space="preserve">CR15 – </w:t>
      </w:r>
      <w:r w:rsidRPr="00CC34E1">
        <w:t>A report</w:t>
      </w:r>
      <w:r w:rsidRPr="00CC34E1">
        <w:rPr>
          <w:b/>
          <w:bCs/>
        </w:rPr>
        <w:t xml:space="preserve"> </w:t>
      </w:r>
      <w:r w:rsidRPr="00CC34E1">
        <w:t xml:space="preserve">of the risk of </w:t>
      </w:r>
      <w:r w:rsidRPr="00CC34E1">
        <w:rPr>
          <w:b/>
          <w:bCs/>
        </w:rPr>
        <w:t xml:space="preserve">Failure to fulfil the Council’s statutory obligations under the Burial Grounds Regulations </w:t>
      </w:r>
      <w:r w:rsidRPr="00CC34E1">
        <w:t>was brought to the Community and Wellbeing Committee in June 2024.  The recommendation in this report was adopted with a further review scheduled for December 2024.</w:t>
      </w:r>
    </w:p>
    <w:p w14:paraId="3C18B259" w14:textId="77777777" w:rsidR="00CC34E1" w:rsidRPr="00CC34E1" w:rsidRDefault="00CC34E1" w:rsidP="00CC34E1">
      <w:pPr>
        <w:rPr>
          <w:b/>
          <w:bCs/>
        </w:rPr>
      </w:pPr>
    </w:p>
    <w:p w14:paraId="2EE358FD" w14:textId="282D4B34" w:rsidR="00CC34E1" w:rsidRPr="00CC34E1" w:rsidRDefault="00B94A4B" w:rsidP="00CC34E1">
      <w:r>
        <w:t>RECOMMENDED</w:t>
      </w:r>
      <w:r w:rsidR="00CC34E1" w:rsidRPr="00CC34E1">
        <w:t xml:space="preserve"> that Council notes this report.</w:t>
      </w:r>
    </w:p>
    <w:p w14:paraId="258B3061" w14:textId="77777777" w:rsidR="0054214D" w:rsidRDefault="0054214D" w:rsidP="0054214D">
      <w:pPr>
        <w:rPr>
          <w:rFonts w:cs="Arial"/>
        </w:rPr>
      </w:pPr>
    </w:p>
    <w:p w14:paraId="29E18D63" w14:textId="5DCBF10B" w:rsidR="0054214D" w:rsidRPr="0084379A" w:rsidRDefault="0054214D" w:rsidP="0054214D">
      <w:pPr>
        <w:rPr>
          <w:rFonts w:cs="Arial"/>
        </w:rPr>
      </w:pPr>
      <w:r w:rsidRPr="0084379A">
        <w:rPr>
          <w:rFonts w:cs="Arial"/>
        </w:rPr>
        <w:t xml:space="preserve">Councillor </w:t>
      </w:r>
      <w:r>
        <w:rPr>
          <w:rFonts w:cs="Arial"/>
        </w:rPr>
        <w:t>Harbinson</w:t>
      </w:r>
      <w:r w:rsidRPr="0084379A">
        <w:rPr>
          <w:rFonts w:cs="Arial"/>
        </w:rPr>
        <w:t xml:space="preserve"> proposed, seconded by Councillor </w:t>
      </w:r>
      <w:r>
        <w:rPr>
          <w:rFonts w:cs="Arial"/>
        </w:rPr>
        <w:t>Ashe</w:t>
      </w:r>
      <w:r w:rsidRPr="0084379A">
        <w:rPr>
          <w:rFonts w:cs="Arial"/>
        </w:rPr>
        <w:t>, that the recommendation be adopted.</w:t>
      </w:r>
    </w:p>
    <w:p w14:paraId="605D64C1" w14:textId="5449DA56" w:rsidR="005E18D0" w:rsidRDefault="005E18D0" w:rsidP="005E18D0"/>
    <w:p w14:paraId="4F2363F6" w14:textId="773725E5" w:rsidR="003035FD" w:rsidRDefault="0054214D" w:rsidP="003035FD">
      <w:r>
        <w:t xml:space="preserve">Councillor McKee referenced the report’s mention of no officer being in post to ensure compliance with required steps in planning for climate change and asked if there was any update. The Director of Corporate Services explained that further developments had occurred since the report. The role had been </w:t>
      </w:r>
      <w:r w:rsidR="003D6031">
        <w:t>recruited in the intervening period</w:t>
      </w:r>
      <w:r w:rsidR="00837DBA">
        <w:t xml:space="preserve">. </w:t>
      </w:r>
      <w:r w:rsidR="005462FC">
        <w:t>Unfortunately,</w:t>
      </w:r>
      <w:r w:rsidR="00837DBA">
        <w:t xml:space="preserve"> this particular area was under-</w:t>
      </w:r>
      <w:proofErr w:type="gramStart"/>
      <w:r w:rsidR="00837DBA">
        <w:t>resourced</w:t>
      </w:r>
      <w:proofErr w:type="gramEnd"/>
      <w:r w:rsidR="00837DBA">
        <w:t xml:space="preserve"> but management were amidst a review of Senior structures in the organisation and, once completed, more comprehensive resourcing requirements would be investigated that could help further actions regarding climate change.</w:t>
      </w:r>
    </w:p>
    <w:p w14:paraId="63AEC489" w14:textId="77777777" w:rsidR="004249E2" w:rsidRDefault="004249E2" w:rsidP="003035FD"/>
    <w:p w14:paraId="5FA2E6DB" w14:textId="472E71C7" w:rsidR="005E18D0" w:rsidRDefault="005E18D0" w:rsidP="005E18D0">
      <w:pPr>
        <w:rPr>
          <w:b/>
        </w:rPr>
      </w:pPr>
      <w:r>
        <w:rPr>
          <w:b/>
        </w:rPr>
        <w:t>AGREED TO RECOMMEND, on the proposal of Councillor</w:t>
      </w:r>
      <w:r w:rsidR="0054214D">
        <w:rPr>
          <w:b/>
        </w:rPr>
        <w:t xml:space="preserve"> Harbinson</w:t>
      </w:r>
      <w:r>
        <w:rPr>
          <w:b/>
        </w:rPr>
        <w:t>, seconded by Councillor</w:t>
      </w:r>
      <w:r w:rsidR="0054214D">
        <w:rPr>
          <w:b/>
        </w:rPr>
        <w:t xml:space="preserve"> Ashe</w:t>
      </w:r>
      <w:r>
        <w:rPr>
          <w:b/>
        </w:rPr>
        <w:t xml:space="preserve">, that the </w:t>
      </w:r>
      <w:r w:rsidR="0007456D">
        <w:rPr>
          <w:b/>
        </w:rPr>
        <w:t>report</w:t>
      </w:r>
      <w:r>
        <w:rPr>
          <w:b/>
        </w:rPr>
        <w:t xml:space="preserve"> be noted. </w:t>
      </w:r>
    </w:p>
    <w:p w14:paraId="3971D91C" w14:textId="77777777" w:rsidR="005E18D0" w:rsidRDefault="005E18D0" w:rsidP="003035FD"/>
    <w:p w14:paraId="0083B285" w14:textId="77777777" w:rsidR="003035FD" w:rsidRPr="003035FD" w:rsidRDefault="003035FD" w:rsidP="003035FD"/>
    <w:p w14:paraId="73C5DE74" w14:textId="2D7194CB" w:rsidR="00CA048D" w:rsidRDefault="00CA048D" w:rsidP="00BF4166">
      <w:pPr>
        <w:pStyle w:val="Heading1"/>
        <w:rPr>
          <w:u w:val="single"/>
        </w:rPr>
      </w:pPr>
      <w:r>
        <w:lastRenderedPageBreak/>
        <w:t>6.</w:t>
      </w:r>
      <w:r>
        <w:tab/>
      </w:r>
      <w:r w:rsidR="003035FD">
        <w:rPr>
          <w:u w:val="single"/>
        </w:rPr>
        <w:t>EXTERNAL AUDIT</w:t>
      </w:r>
    </w:p>
    <w:p w14:paraId="58824892" w14:textId="77777777" w:rsidR="003035FD" w:rsidRPr="004249E2" w:rsidRDefault="003035FD" w:rsidP="004249E2">
      <w:pPr>
        <w:pStyle w:val="Normal0"/>
      </w:pPr>
    </w:p>
    <w:p w14:paraId="310935AD" w14:textId="79E7F0A8" w:rsidR="00CA048D" w:rsidRPr="004249E2" w:rsidRDefault="005E18D0" w:rsidP="004249E2">
      <w:pPr>
        <w:pStyle w:val="Heading2"/>
        <w:rPr>
          <w:b/>
          <w:bCs/>
        </w:rPr>
      </w:pPr>
      <w:r w:rsidRPr="004249E2">
        <w:rPr>
          <w:b/>
          <w:bCs/>
        </w:rPr>
        <w:t>6</w:t>
      </w:r>
      <w:r w:rsidR="004249E2" w:rsidRPr="004249E2">
        <w:rPr>
          <w:b/>
          <w:bCs/>
        </w:rPr>
        <w:t xml:space="preserve"> (a)</w:t>
      </w:r>
      <w:r w:rsidRPr="004249E2">
        <w:rPr>
          <w:b/>
          <w:bCs/>
        </w:rPr>
        <w:tab/>
      </w:r>
      <w:r w:rsidRPr="004249E2">
        <w:rPr>
          <w:b/>
          <w:bCs/>
          <w:u w:val="single"/>
        </w:rPr>
        <w:t>FINAL REPORT TO THOSE CHARGED WITH GOVERNANCE</w:t>
      </w:r>
    </w:p>
    <w:p w14:paraId="06BC0E0A" w14:textId="77777777" w:rsidR="005E18D0" w:rsidRDefault="005E18D0" w:rsidP="005E18D0"/>
    <w:p w14:paraId="2956C6CB" w14:textId="21E9C1D3" w:rsidR="001F59EE" w:rsidRDefault="001F59EE" w:rsidP="005E18D0">
      <w:r w:rsidRPr="00B32EF2">
        <w:rPr>
          <w:caps/>
        </w:rPr>
        <w:t>Previously circulated</w:t>
      </w:r>
      <w:r>
        <w:t>:- Copy of the above report.</w:t>
      </w:r>
    </w:p>
    <w:p w14:paraId="5D653A4B" w14:textId="77777777" w:rsidR="0007456D" w:rsidRDefault="0007456D" w:rsidP="005E18D0"/>
    <w:p w14:paraId="5ED16848" w14:textId="657B770D" w:rsidR="0007456D" w:rsidRDefault="0007456D" w:rsidP="005E18D0">
      <w:r>
        <w:t xml:space="preserve">Sarah Heanen, representative of the NIAO advised that the report contained three recommendations with this final version including management responses that had been accepted. </w:t>
      </w:r>
    </w:p>
    <w:p w14:paraId="30AFC708" w14:textId="77777777" w:rsidR="0007456D" w:rsidRDefault="0007456D" w:rsidP="005E18D0"/>
    <w:p w14:paraId="28B51A2B" w14:textId="739FFB63" w:rsidR="0007456D" w:rsidRDefault="0007456D" w:rsidP="0007456D">
      <w:pPr>
        <w:rPr>
          <w:b/>
        </w:rPr>
      </w:pPr>
      <w:r>
        <w:rPr>
          <w:b/>
        </w:rPr>
        <w:t xml:space="preserve">AGREED TO RECOMMEND, on the proposal of Councillor McKee, seconded by Councillor Ashe, that the report be noted. </w:t>
      </w:r>
    </w:p>
    <w:p w14:paraId="4179D55E" w14:textId="77777777" w:rsidR="001F59EE" w:rsidRDefault="001F59EE" w:rsidP="005E18D0"/>
    <w:p w14:paraId="1B305B36" w14:textId="543CA3D4" w:rsidR="005E18D0" w:rsidRPr="004249E2" w:rsidRDefault="005E18D0" w:rsidP="004249E2">
      <w:pPr>
        <w:pStyle w:val="Heading2"/>
        <w:rPr>
          <w:b/>
          <w:bCs/>
          <w:u w:val="single"/>
        </w:rPr>
      </w:pPr>
      <w:r w:rsidRPr="004249E2">
        <w:rPr>
          <w:b/>
          <w:bCs/>
        </w:rPr>
        <w:t>6</w:t>
      </w:r>
      <w:r w:rsidR="004249E2" w:rsidRPr="004249E2">
        <w:rPr>
          <w:b/>
          <w:bCs/>
        </w:rPr>
        <w:t xml:space="preserve"> (b)</w:t>
      </w:r>
      <w:r w:rsidRPr="004249E2">
        <w:rPr>
          <w:b/>
          <w:bCs/>
        </w:rPr>
        <w:tab/>
      </w:r>
      <w:r w:rsidRPr="004249E2">
        <w:rPr>
          <w:b/>
          <w:bCs/>
          <w:u w:val="single"/>
        </w:rPr>
        <w:t>S95 AUDIT AND ASSESSMENT REPORT</w:t>
      </w:r>
    </w:p>
    <w:p w14:paraId="550FA530" w14:textId="77777777" w:rsidR="009169FE" w:rsidRDefault="009169FE" w:rsidP="009169FE"/>
    <w:p w14:paraId="70D4F9EF" w14:textId="35840DB0" w:rsidR="009169FE" w:rsidRPr="009169FE" w:rsidRDefault="006E4142" w:rsidP="009169FE">
      <w:r w:rsidRPr="00B32EF2">
        <w:rPr>
          <w:caps/>
        </w:rPr>
        <w:t>Previously circulated</w:t>
      </w:r>
      <w:r>
        <w:t xml:space="preserve">:- Report from the Director of Corporate Services </w:t>
      </w:r>
      <w:r>
        <w:rPr>
          <w:rFonts w:cs="Arial"/>
        </w:rPr>
        <w:t>which explained that t</w:t>
      </w:r>
      <w:r w:rsidR="009169FE" w:rsidRPr="009169FE">
        <w:t xml:space="preserve">he Local Government Auditor’s (LGA) audit and assessment work on the Council’s performance improvement arrangements </w:t>
      </w:r>
      <w:r>
        <w:t>had</w:t>
      </w:r>
      <w:r w:rsidR="009169FE" w:rsidRPr="009169FE">
        <w:t xml:space="preserve"> concluded. The Audit and Assessment 2024-25 Report to the Council and the Department for Communities under Section 95 of the Local Government (NI) Act 2014 </w:t>
      </w:r>
      <w:r>
        <w:t>had been</w:t>
      </w:r>
      <w:r w:rsidR="009169FE" w:rsidRPr="009169FE">
        <w:t xml:space="preserve"> attached at </w:t>
      </w:r>
      <w:r w:rsidR="009169FE" w:rsidRPr="009169FE">
        <w:rPr>
          <w:b/>
          <w:bCs/>
        </w:rPr>
        <w:t>Appendix 1</w:t>
      </w:r>
      <w:r w:rsidR="009169FE" w:rsidRPr="009169FE">
        <w:t xml:space="preserve"> for Members</w:t>
      </w:r>
      <w:r>
        <w:t>’</w:t>
      </w:r>
      <w:r w:rsidR="009169FE" w:rsidRPr="009169FE">
        <w:t xml:space="preserve"> information. </w:t>
      </w:r>
    </w:p>
    <w:p w14:paraId="35852C54" w14:textId="77777777" w:rsidR="009169FE" w:rsidRPr="009169FE" w:rsidRDefault="009169FE" w:rsidP="009169FE">
      <w:pPr>
        <w:rPr>
          <w:b/>
          <w:bCs/>
        </w:rPr>
      </w:pPr>
    </w:p>
    <w:p w14:paraId="51025893" w14:textId="77777777" w:rsidR="009169FE" w:rsidRPr="009169FE" w:rsidRDefault="009169FE" w:rsidP="009169FE">
      <w:pPr>
        <w:rPr>
          <w:b/>
          <w:bCs/>
        </w:rPr>
      </w:pPr>
      <w:r w:rsidRPr="009169FE">
        <w:rPr>
          <w:b/>
          <w:bCs/>
        </w:rPr>
        <w:t xml:space="preserve">SUMMARY OF THE AUDIT </w:t>
      </w:r>
    </w:p>
    <w:p w14:paraId="620CD2DF" w14:textId="7D457742" w:rsidR="009169FE" w:rsidRPr="009169FE" w:rsidRDefault="009169FE" w:rsidP="009169FE">
      <w:r w:rsidRPr="009169FE">
        <w:t xml:space="preserve">The LGA </w:t>
      </w:r>
      <w:r w:rsidR="006E4142">
        <w:t>had</w:t>
      </w:r>
      <w:r w:rsidRPr="009169FE">
        <w:t xml:space="preserve"> certified the performance arrangements with an unqualified audit opinion, without modification. They certif</w:t>
      </w:r>
      <w:r w:rsidR="006E4142">
        <w:t>ied</w:t>
      </w:r>
      <w:r w:rsidRPr="009169FE">
        <w:t xml:space="preserve"> that an improvement audit and improvement assessment </w:t>
      </w:r>
      <w:r w:rsidR="006E4142">
        <w:t>had</w:t>
      </w:r>
      <w:r w:rsidRPr="009169FE">
        <w:t xml:space="preserve"> been conducted. The LGA also state</w:t>
      </w:r>
      <w:r w:rsidR="006E4142">
        <w:t>d</w:t>
      </w:r>
      <w:r w:rsidRPr="009169FE">
        <w:t xml:space="preserve"> that, as a result, they believe</w:t>
      </w:r>
      <w:r w:rsidR="006E4142">
        <w:t>d</w:t>
      </w:r>
      <w:r w:rsidRPr="009169FE">
        <w:t xml:space="preserve"> the Council has discharged its performance improvement and reporting duties under Section 95 of the Local Government Act 2014, including its assessment of performance for 2023-24 and its 2024-25 improvement plan, and </w:t>
      </w:r>
      <w:r w:rsidR="006E4142">
        <w:t>had</w:t>
      </w:r>
      <w:r w:rsidRPr="009169FE">
        <w:t xml:space="preserve"> acted in accordance with the Guidance</w:t>
      </w:r>
    </w:p>
    <w:p w14:paraId="21029C31" w14:textId="77777777" w:rsidR="009169FE" w:rsidRPr="009169FE" w:rsidRDefault="009169FE" w:rsidP="009169FE"/>
    <w:p w14:paraId="7C2EBBD8" w14:textId="54A43862" w:rsidR="009169FE" w:rsidRPr="009169FE" w:rsidRDefault="009169FE" w:rsidP="009169FE">
      <w:r w:rsidRPr="009169FE">
        <w:t xml:space="preserve">In their opinion, the Council </w:t>
      </w:r>
      <w:r w:rsidR="006E4142">
        <w:t>had</w:t>
      </w:r>
      <w:r w:rsidRPr="009169FE">
        <w:t xml:space="preserve"> demonstrated a track record of ongoing improvement, and they believe</w:t>
      </w:r>
      <w:r w:rsidR="006E4142">
        <w:t>d</w:t>
      </w:r>
      <w:r w:rsidRPr="009169FE">
        <w:t xml:space="preserve"> that the Council </w:t>
      </w:r>
      <w:r w:rsidR="006E4142">
        <w:t>was</w:t>
      </w:r>
      <w:r w:rsidRPr="009169FE">
        <w:t xml:space="preserve"> likely to comply with Part 12 of the Act during 2024-25.</w:t>
      </w:r>
    </w:p>
    <w:p w14:paraId="27E94894" w14:textId="77777777" w:rsidR="009169FE" w:rsidRPr="009169FE" w:rsidRDefault="009169FE" w:rsidP="009169FE"/>
    <w:p w14:paraId="3B921A07" w14:textId="77777777" w:rsidR="009169FE" w:rsidRPr="009169FE" w:rsidRDefault="009169FE" w:rsidP="009169FE">
      <w:r w:rsidRPr="009169FE">
        <w:t xml:space="preserve">During the audit and assessment, the LGA identified no issues requiring a formal statutory recommendation under the Act. </w:t>
      </w:r>
    </w:p>
    <w:p w14:paraId="6EFD4439" w14:textId="77777777" w:rsidR="009169FE" w:rsidRPr="009169FE" w:rsidRDefault="009169FE" w:rsidP="009169FE"/>
    <w:p w14:paraId="052F3C11" w14:textId="77777777" w:rsidR="009169FE" w:rsidRPr="009169FE" w:rsidRDefault="009169FE" w:rsidP="009169FE">
      <w:pPr>
        <w:rPr>
          <w:b/>
          <w:bCs/>
        </w:rPr>
      </w:pPr>
      <w:r w:rsidRPr="009169FE">
        <w:t>The LGA made one proposal for improvement as follows (to be considered when developing 2025/26 Performance Improvement Plan):</w:t>
      </w:r>
    </w:p>
    <w:p w14:paraId="0020074F" w14:textId="77777777" w:rsidR="009169FE" w:rsidRPr="009169FE" w:rsidRDefault="009169FE" w:rsidP="009169F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9169FE" w:rsidRPr="009169FE" w14:paraId="11451ECF" w14:textId="77777777" w:rsidTr="009169FE">
        <w:trPr>
          <w:trHeight w:val="300"/>
        </w:trPr>
        <w:tc>
          <w:tcPr>
            <w:tcW w:w="3000" w:type="dxa"/>
            <w:tcBorders>
              <w:top w:val="single" w:sz="6" w:space="0" w:color="auto"/>
              <w:left w:val="single" w:sz="6" w:space="0" w:color="auto"/>
              <w:bottom w:val="single" w:sz="6" w:space="0" w:color="auto"/>
              <w:right w:val="single" w:sz="6" w:space="0" w:color="auto"/>
            </w:tcBorders>
            <w:hideMark/>
          </w:tcPr>
          <w:p w14:paraId="67C51ED7" w14:textId="77777777" w:rsidR="009169FE" w:rsidRPr="009169FE" w:rsidRDefault="009169FE" w:rsidP="009169FE">
            <w:r w:rsidRPr="009169FE">
              <w:rPr>
                <w:b/>
                <w:bCs/>
              </w:rPr>
              <w:t>Thematic area</w:t>
            </w:r>
            <w:r w:rsidRPr="009169FE">
              <w:t> </w:t>
            </w:r>
          </w:p>
        </w:tc>
        <w:tc>
          <w:tcPr>
            <w:tcW w:w="3000" w:type="dxa"/>
            <w:tcBorders>
              <w:top w:val="single" w:sz="6" w:space="0" w:color="auto"/>
              <w:left w:val="single" w:sz="6" w:space="0" w:color="auto"/>
              <w:bottom w:val="single" w:sz="6" w:space="0" w:color="auto"/>
              <w:right w:val="single" w:sz="6" w:space="0" w:color="auto"/>
            </w:tcBorders>
            <w:hideMark/>
          </w:tcPr>
          <w:p w14:paraId="103D0057" w14:textId="77777777" w:rsidR="009169FE" w:rsidRPr="009169FE" w:rsidRDefault="009169FE" w:rsidP="009169FE">
            <w:r w:rsidRPr="009169FE">
              <w:rPr>
                <w:b/>
                <w:bCs/>
              </w:rPr>
              <w:t>Issue</w:t>
            </w:r>
            <w:r w:rsidRPr="009169FE">
              <w:t> </w:t>
            </w:r>
          </w:p>
        </w:tc>
        <w:tc>
          <w:tcPr>
            <w:tcW w:w="3000" w:type="dxa"/>
            <w:tcBorders>
              <w:top w:val="single" w:sz="6" w:space="0" w:color="auto"/>
              <w:left w:val="single" w:sz="6" w:space="0" w:color="auto"/>
              <w:bottom w:val="single" w:sz="6" w:space="0" w:color="auto"/>
              <w:right w:val="single" w:sz="6" w:space="0" w:color="auto"/>
            </w:tcBorders>
            <w:hideMark/>
          </w:tcPr>
          <w:p w14:paraId="0F42D07E" w14:textId="77777777" w:rsidR="009169FE" w:rsidRPr="009169FE" w:rsidRDefault="009169FE" w:rsidP="009169FE">
            <w:r w:rsidRPr="009169FE">
              <w:rPr>
                <w:b/>
                <w:bCs/>
              </w:rPr>
              <w:t>Proposal for improvement</w:t>
            </w:r>
            <w:r w:rsidRPr="009169FE">
              <w:t> </w:t>
            </w:r>
          </w:p>
        </w:tc>
      </w:tr>
      <w:tr w:rsidR="009169FE" w:rsidRPr="009169FE" w14:paraId="19BC1E5E" w14:textId="77777777" w:rsidTr="009169FE">
        <w:trPr>
          <w:trHeight w:val="300"/>
        </w:trPr>
        <w:tc>
          <w:tcPr>
            <w:tcW w:w="3000" w:type="dxa"/>
            <w:tcBorders>
              <w:top w:val="single" w:sz="6" w:space="0" w:color="auto"/>
              <w:left w:val="single" w:sz="6" w:space="0" w:color="auto"/>
              <w:bottom w:val="single" w:sz="6" w:space="0" w:color="auto"/>
              <w:right w:val="single" w:sz="6" w:space="0" w:color="auto"/>
            </w:tcBorders>
            <w:hideMark/>
          </w:tcPr>
          <w:p w14:paraId="23BBA50C" w14:textId="77777777" w:rsidR="009169FE" w:rsidRPr="009169FE" w:rsidRDefault="009169FE" w:rsidP="009169FE">
            <w:r w:rsidRPr="009169FE">
              <w:t>Governance arrangements </w:t>
            </w:r>
          </w:p>
        </w:tc>
        <w:tc>
          <w:tcPr>
            <w:tcW w:w="3000" w:type="dxa"/>
            <w:tcBorders>
              <w:top w:val="single" w:sz="6" w:space="0" w:color="auto"/>
              <w:left w:val="single" w:sz="6" w:space="0" w:color="auto"/>
              <w:bottom w:val="single" w:sz="6" w:space="0" w:color="auto"/>
              <w:right w:val="single" w:sz="6" w:space="0" w:color="auto"/>
            </w:tcBorders>
            <w:hideMark/>
          </w:tcPr>
          <w:p w14:paraId="70B77986" w14:textId="77777777" w:rsidR="009169FE" w:rsidRPr="009169FE" w:rsidRDefault="009169FE" w:rsidP="009169FE">
            <w:r w:rsidRPr="009169FE">
              <w:t xml:space="preserve">Most objectives have more than one Senior Responsible Officer, in addition there are numerous Heads of Service feeding into the progress of the measures within the </w:t>
            </w:r>
            <w:r w:rsidRPr="009169FE">
              <w:lastRenderedPageBreak/>
              <w:t>objective. Whilst progress is reported, it could be to several different Standing Committees. </w:t>
            </w:r>
          </w:p>
        </w:tc>
        <w:tc>
          <w:tcPr>
            <w:tcW w:w="3000" w:type="dxa"/>
            <w:tcBorders>
              <w:top w:val="single" w:sz="6" w:space="0" w:color="auto"/>
              <w:left w:val="single" w:sz="6" w:space="0" w:color="auto"/>
              <w:bottom w:val="single" w:sz="6" w:space="0" w:color="auto"/>
              <w:right w:val="single" w:sz="6" w:space="0" w:color="auto"/>
            </w:tcBorders>
            <w:hideMark/>
          </w:tcPr>
          <w:p w14:paraId="49BE0469" w14:textId="77777777" w:rsidR="009169FE" w:rsidRPr="009169FE" w:rsidRDefault="009169FE" w:rsidP="009169FE">
            <w:r w:rsidRPr="009169FE">
              <w:lastRenderedPageBreak/>
              <w:t xml:space="preserve">The Council should consider that each objective should have one Senior Responsible Officer, therefore ensuring clear ownership of the objective and ensuring that the </w:t>
            </w:r>
            <w:r w:rsidRPr="009169FE">
              <w:lastRenderedPageBreak/>
              <w:t>overall progress of the objective is reported to one committee. </w:t>
            </w:r>
          </w:p>
        </w:tc>
      </w:tr>
    </w:tbl>
    <w:p w14:paraId="67ABF1FE" w14:textId="77777777" w:rsidR="009169FE" w:rsidRPr="009169FE" w:rsidRDefault="009169FE" w:rsidP="009169FE">
      <w:pPr>
        <w:rPr>
          <w:bCs/>
        </w:rPr>
      </w:pPr>
    </w:p>
    <w:p w14:paraId="79B559DA" w14:textId="0B3E9EFD" w:rsidR="009169FE" w:rsidRPr="009169FE" w:rsidRDefault="00EB679D" w:rsidP="009169FE">
      <w:r w:rsidRPr="00EB679D">
        <w:rPr>
          <w:bCs/>
        </w:rPr>
        <w:t>RECOMMENDED</w:t>
      </w:r>
      <w:r w:rsidR="009169FE" w:rsidRPr="009169FE">
        <w:t xml:space="preserve"> that Members note the above summary and attached Report at Appendix 1. </w:t>
      </w:r>
    </w:p>
    <w:p w14:paraId="3D44EBDE" w14:textId="77777777" w:rsidR="009169FE" w:rsidRPr="009169FE" w:rsidRDefault="009169FE" w:rsidP="009169FE"/>
    <w:p w14:paraId="5E4008C3" w14:textId="353587B7" w:rsidR="009169FE" w:rsidRDefault="0007456D" w:rsidP="009169FE">
      <w:r>
        <w:t xml:space="preserve">Camile McDermott of Deloitte summarised the report to Members, advising that the audit opinion on the report was unqualified which was good news and that guidance had been applied appropriately. There were no issues regarding formal statutory recommendations. The report contained one recommendation, though small in nature; a proposal for improvement which should provide a responsible officer to each objective and reported to one Committee in order to give ownership. </w:t>
      </w:r>
    </w:p>
    <w:p w14:paraId="103C26F6" w14:textId="77777777" w:rsidR="0007456D" w:rsidRDefault="0007456D" w:rsidP="009169FE"/>
    <w:p w14:paraId="394F0CE0" w14:textId="4FE44BAF" w:rsidR="0007456D" w:rsidRDefault="0007456D" w:rsidP="0007456D">
      <w:pPr>
        <w:rPr>
          <w:b/>
        </w:rPr>
      </w:pPr>
      <w:r>
        <w:rPr>
          <w:b/>
        </w:rPr>
        <w:t xml:space="preserve">AGREED TO RECOMMEND, on the proposal of Councillor McKee, seconded by Councillor Wray, that the report be noted. </w:t>
      </w:r>
    </w:p>
    <w:p w14:paraId="3EE244B2" w14:textId="77777777" w:rsidR="005E18D0" w:rsidRDefault="005E18D0" w:rsidP="005E18D0"/>
    <w:p w14:paraId="7DB13EBD" w14:textId="602F9A88" w:rsidR="005E18D0" w:rsidRPr="004249E2" w:rsidRDefault="005E18D0" w:rsidP="004249E2">
      <w:pPr>
        <w:pStyle w:val="Heading2"/>
        <w:rPr>
          <w:b/>
          <w:bCs/>
          <w:u w:val="single"/>
        </w:rPr>
      </w:pPr>
      <w:r w:rsidRPr="004249E2">
        <w:rPr>
          <w:b/>
          <w:bCs/>
        </w:rPr>
        <w:t>6.C.</w:t>
      </w:r>
      <w:r w:rsidRPr="004249E2">
        <w:rPr>
          <w:b/>
          <w:bCs/>
        </w:rPr>
        <w:tab/>
      </w:r>
      <w:r w:rsidRPr="004249E2">
        <w:rPr>
          <w:b/>
          <w:bCs/>
          <w:u w:val="single"/>
        </w:rPr>
        <w:t>FINAL AUDIT LETTER</w:t>
      </w:r>
    </w:p>
    <w:p w14:paraId="38E05146" w14:textId="77777777" w:rsidR="001F59EE" w:rsidRDefault="001F59EE" w:rsidP="001F59EE"/>
    <w:p w14:paraId="1ACA6F5D" w14:textId="2782E012" w:rsidR="001F59EE" w:rsidRDefault="001F59EE" w:rsidP="001F59EE">
      <w:r w:rsidRPr="00B32EF2">
        <w:rPr>
          <w:caps/>
        </w:rPr>
        <w:t>Previously circulated</w:t>
      </w:r>
      <w:r>
        <w:t>:- Copy of the above report.</w:t>
      </w:r>
    </w:p>
    <w:p w14:paraId="0EFD43FB" w14:textId="77777777" w:rsidR="0035439F" w:rsidRDefault="0035439F" w:rsidP="001F59EE"/>
    <w:p w14:paraId="573766B0" w14:textId="37113767" w:rsidR="0035439F" w:rsidRDefault="0035439F" w:rsidP="0035439F">
      <w:pPr>
        <w:rPr>
          <w:b/>
        </w:rPr>
      </w:pPr>
      <w:r>
        <w:rPr>
          <w:b/>
        </w:rPr>
        <w:t xml:space="preserve">AGREED TO RECOMMEND, on the proposal of Councillor Thompson, seconded by Councillor Harbinson, that the report be noted. </w:t>
      </w:r>
    </w:p>
    <w:p w14:paraId="554B17E6" w14:textId="77777777" w:rsidR="005E18D0" w:rsidRDefault="005E18D0" w:rsidP="005E18D0"/>
    <w:p w14:paraId="148FCCDB" w14:textId="0E3769B6" w:rsidR="005E18D0" w:rsidRDefault="005E18D0" w:rsidP="005E18D0">
      <w:pPr>
        <w:pStyle w:val="Heading1"/>
        <w:rPr>
          <w:u w:val="single"/>
        </w:rPr>
      </w:pPr>
      <w:r>
        <w:t>7.</w:t>
      </w:r>
      <w:r>
        <w:tab/>
      </w:r>
      <w:r>
        <w:rPr>
          <w:u w:val="single"/>
        </w:rPr>
        <w:t>INTERNAL AUDIT</w:t>
      </w:r>
    </w:p>
    <w:p w14:paraId="5126D912" w14:textId="77777777" w:rsidR="005E18D0" w:rsidRDefault="005E18D0" w:rsidP="005E18D0"/>
    <w:p w14:paraId="0C248D91" w14:textId="62DAE5EF" w:rsidR="005E18D0" w:rsidRPr="00C6305B" w:rsidRDefault="005E18D0" w:rsidP="001F59EE">
      <w:pPr>
        <w:pStyle w:val="Normal0"/>
        <w:rPr>
          <w:sz w:val="24"/>
          <w:szCs w:val="24"/>
        </w:rPr>
      </w:pPr>
      <w:r w:rsidRPr="00C6305B">
        <w:rPr>
          <w:sz w:val="24"/>
          <w:szCs w:val="24"/>
        </w:rPr>
        <w:t>PROGRESS REPORT 2024/25</w:t>
      </w:r>
    </w:p>
    <w:p w14:paraId="1EC655C0" w14:textId="77777777" w:rsidR="00E51CAF" w:rsidRPr="00C6305B" w:rsidRDefault="00E51CAF" w:rsidP="001F59EE">
      <w:pPr>
        <w:pStyle w:val="Normal0"/>
        <w:rPr>
          <w:sz w:val="24"/>
          <w:szCs w:val="24"/>
        </w:rPr>
      </w:pPr>
    </w:p>
    <w:p w14:paraId="2BE44A1A" w14:textId="77777777" w:rsidR="00E51CAF" w:rsidRPr="00C6305B" w:rsidRDefault="00E51CAF" w:rsidP="00E51CAF">
      <w:r w:rsidRPr="00C6305B">
        <w:t xml:space="preserve">Camile McDermott summarised the report to Members, advising that PCSP and budgetary control drafts expected this week. Deloitte were content that all audits would be completed within the audit year with remaining reports being presented at the next committee meeting. It was noted that there was a request from management to defer the business technology governance review and in its place, Deloitte brought forward the transformation program and project management review that had been on the plan for 2025-26. Outstanding recommendations had a new format as could be seen on page 14 of the report. Whereas before, Members would have viewed the total open issues as of the last Audit Committee meeting, instead they will now see the total number of open issues present at the beginning of a reporting year, items added to the tracker and items closed. It was hoped this would provide a better overview of movement. Four Priority #1 recommendations had been closed in the current internal audit year and only one remaining that related to procurement of vehicles. A test still had to be carried out that the new process would be followed but as there had been no procurement of vehicles, the item could not be progressed within the current period. There were </w:t>
      </w:r>
      <w:proofErr w:type="gramStart"/>
      <w:r w:rsidRPr="00C6305B">
        <w:t>twenty two</w:t>
      </w:r>
      <w:proofErr w:type="gramEnd"/>
      <w:r w:rsidRPr="00C6305B">
        <w:t xml:space="preserve"> items not started and overdue but none were categorised as Priority #1. A smaller number existed of items that were not yet due. Six Priority #2 had also been closed.</w:t>
      </w:r>
    </w:p>
    <w:p w14:paraId="26EEA2B2" w14:textId="77777777" w:rsidR="00E51CAF" w:rsidRPr="00C6305B" w:rsidRDefault="00E51CAF" w:rsidP="001F59EE">
      <w:pPr>
        <w:pStyle w:val="Normal0"/>
        <w:rPr>
          <w:sz w:val="24"/>
          <w:szCs w:val="24"/>
        </w:rPr>
      </w:pPr>
    </w:p>
    <w:p w14:paraId="5F9399E6" w14:textId="00C86FD2" w:rsidR="005E18D0" w:rsidRPr="00C6305B" w:rsidRDefault="00E51CAF" w:rsidP="005E18D0">
      <w:r w:rsidRPr="00C6305B">
        <w:t xml:space="preserve">Items 7.A-1 and 7.A-2 were </w:t>
      </w:r>
      <w:r w:rsidR="00982FA4" w:rsidRPr="00C6305B">
        <w:t>explained by Camile McDermott and noted as a group item.</w:t>
      </w:r>
    </w:p>
    <w:p w14:paraId="68D10E1E" w14:textId="3E8ED89A" w:rsidR="00C6305B" w:rsidRPr="003C5C10" w:rsidRDefault="005E18D0" w:rsidP="003C5C10">
      <w:pPr>
        <w:pStyle w:val="Heading2"/>
        <w:rPr>
          <w:b/>
          <w:bCs/>
        </w:rPr>
      </w:pPr>
      <w:r w:rsidRPr="003C5C10">
        <w:rPr>
          <w:b/>
          <w:bCs/>
        </w:rPr>
        <w:lastRenderedPageBreak/>
        <w:t>7.A-1</w:t>
      </w:r>
      <w:r w:rsidRPr="003C5C10">
        <w:rPr>
          <w:b/>
          <w:bCs/>
        </w:rPr>
        <w:tab/>
      </w:r>
      <w:r w:rsidRPr="003C5C10">
        <w:rPr>
          <w:b/>
          <w:bCs/>
          <w:u w:val="single"/>
        </w:rPr>
        <w:t>PROCUREMENT (BELOW THE TENDER THRESHOLD)</w:t>
      </w:r>
    </w:p>
    <w:p w14:paraId="1D024C2A" w14:textId="77777777" w:rsidR="00C6305B" w:rsidRDefault="00C6305B" w:rsidP="00C6305B">
      <w:pPr>
        <w:rPr>
          <w:caps/>
        </w:rPr>
      </w:pPr>
    </w:p>
    <w:p w14:paraId="75B83552" w14:textId="7358E5AD" w:rsidR="005E18D0" w:rsidRPr="00C6305B" w:rsidRDefault="001F59EE" w:rsidP="005E18D0">
      <w:r w:rsidRPr="00C6305B">
        <w:rPr>
          <w:caps/>
        </w:rPr>
        <w:t>Previously circulated</w:t>
      </w:r>
      <w:r w:rsidRPr="00C6305B">
        <w:t>:- Copy of the above report.</w:t>
      </w:r>
    </w:p>
    <w:p w14:paraId="5EF98D28" w14:textId="77777777" w:rsidR="001F59EE" w:rsidRPr="00C6305B" w:rsidRDefault="001F59EE" w:rsidP="005E18D0"/>
    <w:p w14:paraId="72BE0C6E" w14:textId="712359DF" w:rsidR="00982FA4" w:rsidRPr="00C6305B" w:rsidRDefault="00982FA4" w:rsidP="005E18D0">
      <w:r w:rsidRPr="00C6305B">
        <w:t>The report looked toward processes for procurement below £30,000. Procurement Service Units would not usually be involved in smaller sums, being at management level. There as one Priority #1 finding and overall limited assurance. The finding related to compliance with purchase ordering requirements. Whilst individual amounts were perhaps not at a material level for the Council, Internal Audit did not operate on materiality. There was a significant volume of instances within the sample  which led to the recommendation that staff are reminded of the need to comply with the policy whilst ensuring the Procurement Handbook was also updated.</w:t>
      </w:r>
    </w:p>
    <w:p w14:paraId="342FC562" w14:textId="77777777" w:rsidR="00982FA4" w:rsidRPr="00C6305B" w:rsidRDefault="00982FA4" w:rsidP="005E18D0"/>
    <w:p w14:paraId="40FA4EA8" w14:textId="41AE8939" w:rsidR="00982FA4" w:rsidRPr="00C6305B" w:rsidRDefault="00982FA4" w:rsidP="005E18D0">
      <w:r w:rsidRPr="00C6305B">
        <w:t xml:space="preserve">Councillor Ashe asked if a process was in place to ensure Council did not become vulnerable to a debtor. The Head of Finance advised that the Council were in the process of implementing systems with the new financial management system including Purchase to Pay systems which would address the issues. </w:t>
      </w:r>
      <w:proofErr w:type="gramStart"/>
      <w:r w:rsidRPr="00C6305B">
        <w:t>However</w:t>
      </w:r>
      <w:proofErr w:type="gramEnd"/>
      <w:r w:rsidRPr="00C6305B">
        <w:t xml:space="preserve"> it could take up to and beyond a year to implement the system. The electronic order system would have a workflow </w:t>
      </w:r>
      <w:r w:rsidR="00260980" w:rsidRPr="00C6305B">
        <w:t>which would address any issues. Whilst implementation was ongoing, the Finance Department would continue to work closely with all Services to ensure compliance for Purchase Orders.</w:t>
      </w:r>
    </w:p>
    <w:p w14:paraId="179367A1" w14:textId="77777777" w:rsidR="00260980" w:rsidRPr="00C6305B" w:rsidRDefault="00260980" w:rsidP="00F96332">
      <w:pPr>
        <w:pStyle w:val="Normal0"/>
      </w:pPr>
    </w:p>
    <w:p w14:paraId="2C4B8067" w14:textId="09186B8F" w:rsidR="005E18D0" w:rsidRPr="00F96332" w:rsidRDefault="005E18D0" w:rsidP="00424B35">
      <w:pPr>
        <w:pStyle w:val="Heading2"/>
        <w:rPr>
          <w:b/>
          <w:bCs/>
        </w:rPr>
      </w:pPr>
      <w:r w:rsidRPr="00F96332">
        <w:rPr>
          <w:b/>
          <w:bCs/>
        </w:rPr>
        <w:t>7.A-2</w:t>
      </w:r>
      <w:r w:rsidRPr="00F96332">
        <w:rPr>
          <w:b/>
          <w:bCs/>
        </w:rPr>
        <w:tab/>
      </w:r>
      <w:r w:rsidRPr="00F96332">
        <w:rPr>
          <w:b/>
          <w:bCs/>
          <w:u w:val="single"/>
        </w:rPr>
        <w:t>INFORMATION AND DATA PROTECTION</w:t>
      </w:r>
    </w:p>
    <w:p w14:paraId="2222F068" w14:textId="77777777" w:rsidR="001F59EE" w:rsidRPr="00C6305B" w:rsidRDefault="001F59EE" w:rsidP="00F96332">
      <w:pPr>
        <w:pStyle w:val="Normal0"/>
      </w:pPr>
    </w:p>
    <w:p w14:paraId="33FFBD33" w14:textId="7D56C983" w:rsidR="005E18D0" w:rsidRPr="00F96332" w:rsidRDefault="001F59EE" w:rsidP="00F96332">
      <w:pPr>
        <w:pStyle w:val="Normal0"/>
        <w:rPr>
          <w:sz w:val="24"/>
          <w:szCs w:val="24"/>
        </w:rPr>
      </w:pPr>
      <w:r w:rsidRPr="00F96332">
        <w:rPr>
          <w:caps/>
          <w:sz w:val="24"/>
          <w:szCs w:val="24"/>
        </w:rPr>
        <w:t>Previously circulated</w:t>
      </w:r>
      <w:r w:rsidRPr="00F96332">
        <w:rPr>
          <w:sz w:val="24"/>
          <w:szCs w:val="24"/>
        </w:rPr>
        <w:t>:- Copy of the above report.</w:t>
      </w:r>
    </w:p>
    <w:p w14:paraId="7DB564E3" w14:textId="77777777" w:rsidR="00016DDE" w:rsidRPr="00C6305B" w:rsidRDefault="00016DDE" w:rsidP="00F96332">
      <w:pPr>
        <w:pStyle w:val="Normal0"/>
      </w:pPr>
    </w:p>
    <w:p w14:paraId="411E23F0" w14:textId="727D002B" w:rsidR="001F59EE" w:rsidRPr="00C6305B" w:rsidRDefault="00392C25" w:rsidP="001F59EE">
      <w:pPr>
        <w:pStyle w:val="Normal0"/>
        <w:rPr>
          <w:sz w:val="24"/>
          <w:szCs w:val="24"/>
        </w:rPr>
      </w:pPr>
      <w:r w:rsidRPr="00C6305B">
        <w:rPr>
          <w:sz w:val="24"/>
          <w:szCs w:val="24"/>
        </w:rPr>
        <w:t>This report looked specifically at controls and processes around data breaches and subject access requests with one Priority #1, two Priority #2 and one Priority #3 finding and overall limited assurance.</w:t>
      </w:r>
      <w:r w:rsidR="00F549E0" w:rsidRPr="00C6305B">
        <w:rPr>
          <w:sz w:val="24"/>
          <w:szCs w:val="24"/>
        </w:rPr>
        <w:t xml:space="preserve"> The Priority #1 related to requirements of having a complete of processing activities which was a requirement under GDPR (ROPA for short).Part of that included the completion of a data mapping exercise which was part of the Information Commissioner’s Office guidance. Though there was a draft ROPA, GDPR had come into effect in </w:t>
      </w:r>
      <w:proofErr w:type="gramStart"/>
      <w:r w:rsidR="00F549E0" w:rsidRPr="00C6305B">
        <w:rPr>
          <w:sz w:val="24"/>
          <w:szCs w:val="24"/>
        </w:rPr>
        <w:t>May,</w:t>
      </w:r>
      <w:proofErr w:type="gramEnd"/>
      <w:r w:rsidR="00F549E0" w:rsidRPr="00C6305B">
        <w:rPr>
          <w:sz w:val="24"/>
          <w:szCs w:val="24"/>
        </w:rPr>
        <w:t xml:space="preserve"> 2018, it was important for the ROPA to be finalised and kept up to date including documentation outlining responsibility of maintaining it within each Service Area.</w:t>
      </w:r>
      <w:r w:rsidR="00C9477F" w:rsidRPr="00C6305B">
        <w:rPr>
          <w:sz w:val="24"/>
          <w:szCs w:val="24"/>
        </w:rPr>
        <w:t xml:space="preserve"> The document should remain live with periodic updates. The first of the Priority #2 recommendations related to Data Protection training wherein the policy did not outline its mandatory nature. Compliance levels at the time of writing showed that approximately 47% of staff had not completed refresher training within the last three years. The second Priority #2 recommendation related to updates within the data protection, information access and retention and disposal policies to ensure they are in line with GDPR. The </w:t>
      </w:r>
      <w:r w:rsidR="00DB3D03" w:rsidRPr="00C6305B">
        <w:rPr>
          <w:sz w:val="24"/>
          <w:szCs w:val="24"/>
        </w:rPr>
        <w:t>Priority</w:t>
      </w:r>
      <w:r w:rsidR="00C9477F" w:rsidRPr="00C6305B">
        <w:rPr>
          <w:sz w:val="24"/>
          <w:szCs w:val="24"/>
        </w:rPr>
        <w:t xml:space="preserve"> #3 related to retaining evidence of the usage of the self-assessment tool</w:t>
      </w:r>
      <w:r w:rsidR="00A2561E" w:rsidRPr="00C6305B">
        <w:rPr>
          <w:sz w:val="24"/>
          <w:szCs w:val="24"/>
        </w:rPr>
        <w:t xml:space="preserve"> when the Data Protection officer is considering whether a data breach is reportable to the Information Commissioner’s Office. The ICO offer this tool on their </w:t>
      </w:r>
      <w:proofErr w:type="gramStart"/>
      <w:r w:rsidR="00A2561E" w:rsidRPr="00C6305B">
        <w:rPr>
          <w:sz w:val="24"/>
          <w:szCs w:val="24"/>
        </w:rPr>
        <w:t>website</w:t>
      </w:r>
      <w:proofErr w:type="gramEnd"/>
      <w:r w:rsidR="00A2561E" w:rsidRPr="00C6305B">
        <w:rPr>
          <w:sz w:val="24"/>
          <w:szCs w:val="24"/>
        </w:rPr>
        <w:t xml:space="preserve"> and it would be good practice to keep that evidence trail in the event that an issue has to be revisited.</w:t>
      </w:r>
    </w:p>
    <w:p w14:paraId="7CBD3B12" w14:textId="77777777" w:rsidR="00694D6B" w:rsidRPr="00C6305B" w:rsidRDefault="00694D6B" w:rsidP="001F59EE">
      <w:pPr>
        <w:pStyle w:val="Normal0"/>
        <w:rPr>
          <w:sz w:val="24"/>
          <w:szCs w:val="24"/>
        </w:rPr>
      </w:pPr>
    </w:p>
    <w:p w14:paraId="6DF6E1DA" w14:textId="1E35865C" w:rsidR="00694D6B" w:rsidRPr="00C6305B" w:rsidRDefault="00694D6B" w:rsidP="00694D6B">
      <w:pPr>
        <w:rPr>
          <w:b/>
        </w:rPr>
      </w:pPr>
      <w:r w:rsidRPr="00C6305B">
        <w:rPr>
          <w:b/>
        </w:rPr>
        <w:t xml:space="preserve">AGREED TO RECOMMEND, on the proposal of Councillor Ashe, seconded by Councillor Harbinson, that the reports be noted. </w:t>
      </w:r>
    </w:p>
    <w:p w14:paraId="6BDBE541" w14:textId="77777777" w:rsidR="00694D6B" w:rsidRPr="00C6305B" w:rsidRDefault="00694D6B" w:rsidP="001F59EE">
      <w:pPr>
        <w:pStyle w:val="Normal0"/>
        <w:rPr>
          <w:sz w:val="24"/>
          <w:szCs w:val="24"/>
        </w:rPr>
      </w:pPr>
    </w:p>
    <w:p w14:paraId="3864654F" w14:textId="77777777" w:rsidR="001F59EE" w:rsidRPr="001F59EE" w:rsidRDefault="001F59EE" w:rsidP="001F59EE">
      <w:pPr>
        <w:pStyle w:val="Normal0"/>
        <w:rPr>
          <w:sz w:val="24"/>
          <w:szCs w:val="24"/>
        </w:rPr>
      </w:pPr>
    </w:p>
    <w:p w14:paraId="50A70C72" w14:textId="45158ACC" w:rsidR="005E18D0" w:rsidRPr="005E18D0" w:rsidRDefault="005E18D0" w:rsidP="005E18D0">
      <w:pPr>
        <w:pStyle w:val="Heading1"/>
        <w:rPr>
          <w:u w:val="single"/>
        </w:rPr>
      </w:pPr>
      <w:r>
        <w:lastRenderedPageBreak/>
        <w:t>8.</w:t>
      </w:r>
      <w:r>
        <w:tab/>
      </w:r>
      <w:r>
        <w:rPr>
          <w:u w:val="single"/>
        </w:rPr>
        <w:t>ANY OTHER NOTIFIED BUSINESS</w:t>
      </w:r>
    </w:p>
    <w:p w14:paraId="3687B2B4" w14:textId="77777777" w:rsidR="005E18D0" w:rsidRDefault="005E18D0" w:rsidP="0039767B">
      <w:pPr>
        <w:rPr>
          <w:rFonts w:cs="Arial"/>
          <w:bCs/>
          <w:caps/>
        </w:rPr>
      </w:pPr>
    </w:p>
    <w:p w14:paraId="218E0C01" w14:textId="4696DB7C" w:rsidR="00CA048D" w:rsidRDefault="005918FC" w:rsidP="0039767B">
      <w:pPr>
        <w:rPr>
          <w:rFonts w:cs="Arial"/>
          <w:bCs/>
        </w:rPr>
      </w:pPr>
      <w:r>
        <w:rPr>
          <w:rFonts w:cs="Arial"/>
          <w:bCs/>
          <w:caps/>
        </w:rPr>
        <w:t>T</w:t>
      </w:r>
      <w:r>
        <w:rPr>
          <w:rFonts w:cs="Arial"/>
          <w:bCs/>
        </w:rPr>
        <w:t>he Chairman advised that there were no Items of Any Other Notified Business.</w:t>
      </w:r>
    </w:p>
    <w:p w14:paraId="74F6B549" w14:textId="77777777" w:rsidR="005918FC" w:rsidRDefault="005918FC" w:rsidP="0039767B">
      <w:pPr>
        <w:rPr>
          <w:rFonts w:cs="Arial"/>
          <w:bCs/>
        </w:rPr>
      </w:pPr>
    </w:p>
    <w:p w14:paraId="0542D2C9" w14:textId="3FAA57C1" w:rsidR="005918FC" w:rsidRDefault="005918FC" w:rsidP="0039767B">
      <w:pPr>
        <w:rPr>
          <w:rFonts w:cs="Arial"/>
          <w:b/>
        </w:rPr>
      </w:pPr>
      <w:r>
        <w:rPr>
          <w:rFonts w:cs="Arial"/>
          <w:b/>
        </w:rPr>
        <w:t>NOTED.</w:t>
      </w:r>
    </w:p>
    <w:p w14:paraId="12C194DC" w14:textId="77777777" w:rsidR="00542DEC" w:rsidRDefault="00542DEC" w:rsidP="0039767B">
      <w:pPr>
        <w:rPr>
          <w:rFonts w:cs="Arial"/>
          <w:b/>
          <w:sz w:val="28"/>
          <w:szCs w:val="28"/>
          <w:u w:val="single"/>
        </w:rPr>
      </w:pPr>
    </w:p>
    <w:p w14:paraId="48D418EA" w14:textId="77777777" w:rsidR="00027338" w:rsidRPr="008B69F8" w:rsidRDefault="00027338" w:rsidP="0039767B">
      <w:pPr>
        <w:rPr>
          <w:rFonts w:cs="Arial"/>
          <w:b/>
          <w:sz w:val="28"/>
          <w:szCs w:val="28"/>
        </w:rPr>
      </w:pPr>
      <w:r w:rsidRPr="008B69F8">
        <w:rPr>
          <w:rFonts w:cs="Arial"/>
          <w:b/>
          <w:sz w:val="28"/>
          <w:szCs w:val="28"/>
          <w:u w:val="single"/>
        </w:rPr>
        <w:t>EXCLUSION OF PUBLIC/PRESS</w:t>
      </w:r>
      <w:r w:rsidRPr="008B69F8">
        <w:rPr>
          <w:rFonts w:cs="Arial"/>
          <w:b/>
          <w:sz w:val="28"/>
          <w:szCs w:val="28"/>
        </w:rPr>
        <w:t xml:space="preserve"> </w:t>
      </w:r>
    </w:p>
    <w:p w14:paraId="43C139D1" w14:textId="77777777" w:rsidR="00027338" w:rsidRDefault="00027338" w:rsidP="0039767B">
      <w:pPr>
        <w:rPr>
          <w:rFonts w:cs="Arial"/>
          <w:b/>
        </w:rPr>
      </w:pPr>
    </w:p>
    <w:p w14:paraId="3CA5083B" w14:textId="6E8154B7" w:rsidR="00027338" w:rsidRDefault="00027338" w:rsidP="0039767B">
      <w:pPr>
        <w:rPr>
          <w:rFonts w:cs="Arial"/>
          <w:b/>
        </w:rPr>
      </w:pPr>
      <w:r w:rsidRPr="00027338">
        <w:rPr>
          <w:rFonts w:cs="Arial"/>
          <w:b/>
        </w:rPr>
        <w:t>AGREED TO RECOMMEND, on the proposal of Councillor</w:t>
      </w:r>
      <w:r w:rsidR="00694D6B">
        <w:rPr>
          <w:rFonts w:cs="Arial"/>
          <w:b/>
        </w:rPr>
        <w:t xml:space="preserve"> Harbinson</w:t>
      </w:r>
      <w:r w:rsidRPr="00027338">
        <w:rPr>
          <w:rFonts w:cs="Arial"/>
          <w:b/>
        </w:rPr>
        <w:t>, seconded by Councillor</w:t>
      </w:r>
      <w:r w:rsidR="00694D6B">
        <w:rPr>
          <w:rFonts w:cs="Arial"/>
          <w:b/>
        </w:rPr>
        <w:t xml:space="preserve"> Ashe</w:t>
      </w:r>
      <w:r w:rsidRPr="00027338">
        <w:rPr>
          <w:rFonts w:cs="Arial"/>
          <w:b/>
        </w:rPr>
        <w:t>, that the public/press be excluded during the discussion of the undernoted items of confidential business</w:t>
      </w:r>
      <w:r w:rsidR="00694D6B">
        <w:rPr>
          <w:rFonts w:cs="Arial"/>
          <w:b/>
        </w:rPr>
        <w:t xml:space="preserve"> at 19:32.</w:t>
      </w:r>
    </w:p>
    <w:p w14:paraId="068E28C7" w14:textId="77777777" w:rsidR="006E4142" w:rsidRDefault="006E4142" w:rsidP="0039767B">
      <w:pPr>
        <w:rPr>
          <w:rFonts w:cs="Arial"/>
          <w:b/>
        </w:rPr>
      </w:pPr>
    </w:p>
    <w:p w14:paraId="381EABA8" w14:textId="462058EB" w:rsidR="006E4142" w:rsidRPr="00694D6B" w:rsidRDefault="00694D6B" w:rsidP="0039767B">
      <w:pPr>
        <w:rPr>
          <w:rFonts w:cs="Arial"/>
          <w:bCs/>
        </w:rPr>
      </w:pPr>
      <w:r>
        <w:rPr>
          <w:rFonts w:cs="Arial"/>
          <w:bCs/>
        </w:rPr>
        <w:t>Camille McDermott left the Chamber at 19:32 due to her previously declared interest in the following item.</w:t>
      </w:r>
    </w:p>
    <w:p w14:paraId="1EC47E17" w14:textId="77777777" w:rsidR="008B69F8" w:rsidRDefault="008B69F8" w:rsidP="0039767B">
      <w:pPr>
        <w:rPr>
          <w:rFonts w:cs="Arial"/>
          <w:b/>
        </w:rPr>
      </w:pPr>
    </w:p>
    <w:p w14:paraId="10B29D9B" w14:textId="33BAC9CE" w:rsidR="008B69F8" w:rsidRDefault="008B69F8" w:rsidP="008B69F8">
      <w:pPr>
        <w:pStyle w:val="Heading1"/>
        <w:rPr>
          <w:u w:val="single"/>
        </w:rPr>
      </w:pPr>
      <w:r>
        <w:t>9.</w:t>
      </w:r>
      <w:r>
        <w:tab/>
      </w:r>
      <w:r>
        <w:rPr>
          <w:u w:val="single"/>
        </w:rPr>
        <w:t>REVIEW OF INTERNAL AUDIT CONTRACT</w:t>
      </w:r>
    </w:p>
    <w:p w14:paraId="738A9A53" w14:textId="77777777" w:rsidR="008B69F8" w:rsidRDefault="008B69F8" w:rsidP="008B69F8"/>
    <w:p w14:paraId="6CDF4DF0" w14:textId="77777777" w:rsidR="002B2659" w:rsidRPr="00A63913" w:rsidRDefault="002B2659" w:rsidP="002B2659">
      <w:pPr>
        <w:rPr>
          <w:b/>
          <w:bCs/>
        </w:rPr>
      </w:pPr>
      <w:r w:rsidRPr="00A63913">
        <w:rPr>
          <w:b/>
          <w:bCs/>
        </w:rPr>
        <w:t>***IN CONFIDENCE***</w:t>
      </w:r>
    </w:p>
    <w:p w14:paraId="3A13391A" w14:textId="77777777" w:rsidR="00DC19F2" w:rsidRDefault="00DC19F2" w:rsidP="009169FE">
      <w:pPr>
        <w:rPr>
          <w:caps/>
        </w:rPr>
      </w:pPr>
    </w:p>
    <w:p w14:paraId="3BB66B3F" w14:textId="77777777" w:rsidR="000327CA" w:rsidRDefault="000327CA" w:rsidP="000327CA">
      <w:pPr>
        <w:rPr>
          <w:b/>
          <w:bCs/>
        </w:rPr>
      </w:pPr>
      <w:r w:rsidRPr="00677F42">
        <w:rPr>
          <w:b/>
          <w:bCs/>
        </w:rPr>
        <w:t xml:space="preserve">NOT FOR PUBLICATION </w:t>
      </w:r>
    </w:p>
    <w:p w14:paraId="265C8BE6" w14:textId="77777777" w:rsidR="000327CA" w:rsidRDefault="000327CA" w:rsidP="000327CA">
      <w:pPr>
        <w:rPr>
          <w:b/>
          <w:bCs/>
        </w:rPr>
      </w:pPr>
    </w:p>
    <w:p w14:paraId="6E5AF734" w14:textId="476FB92A" w:rsidR="000327CA" w:rsidRDefault="000327CA" w:rsidP="009169FE">
      <w:pPr>
        <w:rPr>
          <w:b/>
          <w:bCs/>
        </w:rPr>
      </w:pPr>
      <w:r w:rsidRPr="00677F42">
        <w:rPr>
          <w:b/>
          <w:bCs/>
        </w:rPr>
        <w:t>SCHEDULE 6:3– INFORMATION RELATING TO THE FINANCIAL OR BUSINESS AFFAIRS OF ANY PARTICULAR PERSON (INCLUDING THE COUNCIL HOLDNG THAT INFORMATION)</w:t>
      </w:r>
    </w:p>
    <w:p w14:paraId="64908311" w14:textId="77777777" w:rsidR="000327CA" w:rsidRPr="000327CA" w:rsidRDefault="000327CA" w:rsidP="009169FE">
      <w:pPr>
        <w:rPr>
          <w:b/>
          <w:bCs/>
        </w:rPr>
      </w:pPr>
    </w:p>
    <w:p w14:paraId="051F0B90" w14:textId="7FE803D5" w:rsidR="005462FC" w:rsidRPr="00677F42" w:rsidRDefault="00DC19F2" w:rsidP="00694D6B">
      <w:r>
        <w:t>T</w:t>
      </w:r>
      <w:r w:rsidR="006E4142">
        <w:rPr>
          <w:rFonts w:cs="Arial"/>
        </w:rPr>
        <w:t xml:space="preserve">he </w:t>
      </w:r>
      <w:r w:rsidR="009169FE" w:rsidRPr="009169FE">
        <w:t xml:space="preserve">Council </w:t>
      </w:r>
      <w:r w:rsidR="006E4142">
        <w:t>was</w:t>
      </w:r>
      <w:r w:rsidR="009169FE" w:rsidRPr="009169FE">
        <w:t xml:space="preserve"> obliged to have an adequate and effective internal audit servicer</w:t>
      </w:r>
      <w:r w:rsidR="00677F42">
        <w:t xml:space="preserve"> </w:t>
      </w:r>
      <w:r>
        <w:t xml:space="preserve">as per </w:t>
      </w:r>
      <w:r w:rsidR="009169FE" w:rsidRPr="009169FE">
        <w:t>regulations</w:t>
      </w:r>
      <w:r w:rsidR="00677F42">
        <w:t xml:space="preserve"> Members were asked to consider a report that had been brought to the Committee.</w:t>
      </w:r>
    </w:p>
    <w:p w14:paraId="4D80A99B" w14:textId="77777777" w:rsidR="00C6305B" w:rsidRDefault="00C6305B" w:rsidP="00694D6B">
      <w:pPr>
        <w:rPr>
          <w:bCs/>
        </w:rPr>
      </w:pPr>
    </w:p>
    <w:p w14:paraId="3AAC368C" w14:textId="114A5E3C" w:rsidR="00694D6B" w:rsidRDefault="005462FC" w:rsidP="00694D6B">
      <w:pPr>
        <w:rPr>
          <w:b/>
        </w:rPr>
      </w:pPr>
      <w:r>
        <w:rPr>
          <w:bCs/>
        </w:rPr>
        <w:t>Camile McDermott returned to the Chamber at 19:33.</w:t>
      </w:r>
      <w:r w:rsidR="00694D6B">
        <w:rPr>
          <w:b/>
        </w:rPr>
        <w:t xml:space="preserve"> </w:t>
      </w:r>
    </w:p>
    <w:p w14:paraId="42CC8236" w14:textId="77777777" w:rsidR="00694D6B" w:rsidRPr="009169FE" w:rsidRDefault="00694D6B" w:rsidP="009169FE"/>
    <w:p w14:paraId="179DAC84" w14:textId="4274777A" w:rsidR="008B69F8" w:rsidRDefault="008B69F8" w:rsidP="008B69F8">
      <w:pPr>
        <w:pStyle w:val="Heading1"/>
        <w:rPr>
          <w:u w:val="single"/>
        </w:rPr>
      </w:pPr>
      <w:r>
        <w:t>10.</w:t>
      </w:r>
      <w:r>
        <w:tab/>
      </w:r>
      <w:r>
        <w:rPr>
          <w:u w:val="single"/>
        </w:rPr>
        <w:t>SINGLE TENDER ACTIONS UPDATE</w:t>
      </w:r>
    </w:p>
    <w:p w14:paraId="1E27C386" w14:textId="77777777" w:rsidR="00DC19F2" w:rsidRDefault="00DC19F2" w:rsidP="009169FE">
      <w:pPr>
        <w:rPr>
          <w:caps/>
        </w:rPr>
      </w:pPr>
    </w:p>
    <w:p w14:paraId="243B213C" w14:textId="2BC8D13C" w:rsidR="00A63913" w:rsidRPr="00A63913" w:rsidRDefault="00A63913" w:rsidP="00A63913">
      <w:pPr>
        <w:rPr>
          <w:b/>
          <w:bCs/>
        </w:rPr>
      </w:pPr>
      <w:r w:rsidRPr="00A63913">
        <w:rPr>
          <w:b/>
          <w:bCs/>
        </w:rPr>
        <w:t>***IN CONFIDENCE***</w:t>
      </w:r>
    </w:p>
    <w:p w14:paraId="0B76C966" w14:textId="77777777" w:rsidR="00A63913" w:rsidRDefault="00A63913" w:rsidP="00A63913"/>
    <w:p w14:paraId="3468C23A" w14:textId="3773FBC7" w:rsidR="000327CA" w:rsidRPr="000327CA" w:rsidRDefault="000327CA" w:rsidP="00A63913">
      <w:pPr>
        <w:rPr>
          <w:b/>
          <w:bCs/>
        </w:rPr>
      </w:pPr>
      <w:r w:rsidRPr="000327CA">
        <w:rPr>
          <w:b/>
          <w:bCs/>
        </w:rPr>
        <w:t xml:space="preserve">NOT FOR PUBLICATION </w:t>
      </w:r>
    </w:p>
    <w:p w14:paraId="3FDB091E" w14:textId="77777777" w:rsidR="000327CA" w:rsidRPr="00A63913" w:rsidRDefault="000327CA" w:rsidP="00A63913"/>
    <w:p w14:paraId="11DD7C14" w14:textId="77777777" w:rsidR="000327CA" w:rsidRDefault="000327CA" w:rsidP="000327CA">
      <w:pPr>
        <w:rPr>
          <w:b/>
          <w:bCs/>
        </w:rPr>
      </w:pPr>
      <w:r w:rsidRPr="00677F42">
        <w:rPr>
          <w:b/>
          <w:bCs/>
        </w:rPr>
        <w:t>SCHEDULE 6:3– INFORMATION RELATING TO THE FINANCIAL OR BUSINESS AFFAIRS OF ANY PARTICULAR PERSON (INCLUDING THE COUNCIL HOLDNG THAT INFORMATION)</w:t>
      </w:r>
    </w:p>
    <w:p w14:paraId="4878CC41" w14:textId="77777777" w:rsidR="00A63913" w:rsidRPr="00A63913" w:rsidRDefault="00A63913" w:rsidP="00A63913"/>
    <w:p w14:paraId="5D40BC5E" w14:textId="7841B635" w:rsidR="00A63913" w:rsidRPr="00A63913" w:rsidRDefault="00A63913" w:rsidP="00A63913">
      <w:r w:rsidRPr="00A63913">
        <w:t xml:space="preserve">The Committee were asked to consider a report detailing an update on single tender actions since the last update was provided in </w:t>
      </w:r>
      <w:r>
        <w:t>September</w:t>
      </w:r>
      <w:r w:rsidRPr="00A63913">
        <w:t xml:space="preserve"> 2024.</w:t>
      </w:r>
    </w:p>
    <w:p w14:paraId="17874B6D" w14:textId="77777777" w:rsidR="00A63913" w:rsidRPr="00A63913" w:rsidRDefault="00A63913" w:rsidP="00A63913"/>
    <w:p w14:paraId="3C654FF1" w14:textId="77777777" w:rsidR="00A63913" w:rsidRPr="00A63913" w:rsidRDefault="00A63913" w:rsidP="00A63913">
      <w:r w:rsidRPr="00A63913">
        <w:t>The recommendation was adopted.</w:t>
      </w:r>
    </w:p>
    <w:p w14:paraId="570562AB" w14:textId="77777777" w:rsidR="005462FC" w:rsidRDefault="005462FC" w:rsidP="008B69F8"/>
    <w:p w14:paraId="6D85D083" w14:textId="281D3E9B" w:rsidR="008B69F8" w:rsidRDefault="008B69F8" w:rsidP="008B69F8">
      <w:pPr>
        <w:pStyle w:val="Heading1"/>
        <w:ind w:left="720" w:hanging="720"/>
        <w:rPr>
          <w:u w:val="single"/>
        </w:rPr>
      </w:pPr>
      <w:r>
        <w:t>11.</w:t>
      </w:r>
      <w:r>
        <w:tab/>
      </w:r>
      <w:r w:rsidRPr="008B69F8">
        <w:rPr>
          <w:u w:val="single"/>
        </w:rPr>
        <w:t>FRAUD, WHISTLEBLOWING AND DATA PROTECTION MATTERS</w:t>
      </w:r>
    </w:p>
    <w:p w14:paraId="09A8FFA9" w14:textId="77777777" w:rsidR="00DC19F2" w:rsidRDefault="00DC19F2" w:rsidP="00DC19F2"/>
    <w:p w14:paraId="5FBB77E2" w14:textId="500636AF" w:rsidR="00677F42" w:rsidRPr="00677F42" w:rsidRDefault="00677F42" w:rsidP="00677F42">
      <w:pPr>
        <w:rPr>
          <w:b/>
          <w:bCs/>
        </w:rPr>
      </w:pPr>
      <w:r w:rsidRPr="00677F42">
        <w:rPr>
          <w:b/>
          <w:bCs/>
        </w:rPr>
        <w:lastRenderedPageBreak/>
        <w:t>***IN CO</w:t>
      </w:r>
      <w:r w:rsidR="000327CA">
        <w:rPr>
          <w:b/>
          <w:bCs/>
        </w:rPr>
        <w:t>NFIDENCE</w:t>
      </w:r>
      <w:r w:rsidRPr="00677F42">
        <w:rPr>
          <w:b/>
          <w:bCs/>
        </w:rPr>
        <w:t xml:space="preserve">*** </w:t>
      </w:r>
    </w:p>
    <w:p w14:paraId="35F30E4A" w14:textId="77777777" w:rsidR="00677F42" w:rsidRPr="00677F42" w:rsidRDefault="00677F42" w:rsidP="00677F42">
      <w:pPr>
        <w:rPr>
          <w:b/>
          <w:bCs/>
        </w:rPr>
      </w:pPr>
    </w:p>
    <w:p w14:paraId="2A902F4F" w14:textId="77777777" w:rsidR="000327CA" w:rsidRDefault="00677F42" w:rsidP="00677F42">
      <w:pPr>
        <w:rPr>
          <w:b/>
          <w:bCs/>
        </w:rPr>
      </w:pPr>
      <w:r w:rsidRPr="00677F42">
        <w:rPr>
          <w:b/>
          <w:bCs/>
        </w:rPr>
        <w:t>NOT FOR PUBLICATION</w:t>
      </w:r>
    </w:p>
    <w:p w14:paraId="0C2436AE" w14:textId="77777777" w:rsidR="000327CA" w:rsidRDefault="000327CA" w:rsidP="00677F42">
      <w:pPr>
        <w:rPr>
          <w:b/>
          <w:bCs/>
        </w:rPr>
      </w:pPr>
    </w:p>
    <w:p w14:paraId="48780A05" w14:textId="219FE6E0" w:rsidR="00677F42" w:rsidRPr="00677F42" w:rsidRDefault="00677F42" w:rsidP="00677F42">
      <w:pPr>
        <w:rPr>
          <w:b/>
          <w:bCs/>
        </w:rPr>
      </w:pPr>
      <w:r w:rsidRPr="00677F42">
        <w:rPr>
          <w:b/>
          <w:bCs/>
        </w:rPr>
        <w:t>SCHEDULE 6:3</w:t>
      </w:r>
      <w:r w:rsidR="000327CA">
        <w:rPr>
          <w:b/>
          <w:bCs/>
        </w:rPr>
        <w:t xml:space="preserve"> </w:t>
      </w:r>
      <w:r w:rsidRPr="00677F42">
        <w:rPr>
          <w:b/>
          <w:bCs/>
        </w:rPr>
        <w:t>– INFORMATION RELATING TO THE FINANCIAL OR BUSINESS AFFAIRS OF ANY PARTICULAR PERSON (INCLUDING THE COUNCIL HOLDNG THAT INFORMATION)</w:t>
      </w:r>
    </w:p>
    <w:p w14:paraId="113CB284" w14:textId="77777777" w:rsidR="008B69F8" w:rsidRDefault="008B69F8" w:rsidP="0039767B">
      <w:pPr>
        <w:rPr>
          <w:rFonts w:cs="Arial"/>
          <w:b/>
        </w:rPr>
      </w:pPr>
    </w:p>
    <w:p w14:paraId="72183874" w14:textId="4A320445" w:rsidR="000327CA" w:rsidRPr="000327CA" w:rsidRDefault="000327CA" w:rsidP="0039767B">
      <w:pPr>
        <w:rPr>
          <w:rFonts w:cs="Arial"/>
          <w:bCs/>
        </w:rPr>
      </w:pPr>
      <w:r>
        <w:rPr>
          <w:rFonts w:cs="Arial"/>
          <w:bCs/>
        </w:rPr>
        <w:t xml:space="preserve">The Chief Executive raised any new incidences of fraud, whistleblowing and data protection.  </w:t>
      </w:r>
    </w:p>
    <w:p w14:paraId="673CBD8E" w14:textId="77777777" w:rsidR="000327CA" w:rsidRDefault="000327CA" w:rsidP="0039767B">
      <w:pPr>
        <w:rPr>
          <w:rFonts w:cs="Arial"/>
          <w:b/>
        </w:rPr>
      </w:pPr>
    </w:p>
    <w:p w14:paraId="259D269F" w14:textId="153172BA" w:rsidR="008B69F8" w:rsidRDefault="008B69F8" w:rsidP="004729FF">
      <w:pPr>
        <w:pStyle w:val="Heading1"/>
        <w:ind w:left="720" w:hanging="720"/>
        <w:rPr>
          <w:u w:val="single"/>
        </w:rPr>
      </w:pPr>
      <w:r>
        <w:t>12.</w:t>
      </w:r>
      <w:r>
        <w:tab/>
      </w:r>
      <w:r>
        <w:rPr>
          <w:u w:val="single"/>
        </w:rPr>
        <w:t>MEETING WITH NI AUDIT OFFICE &amp; INTERNAL AUDIT</w:t>
      </w:r>
      <w:r w:rsidR="004729FF">
        <w:rPr>
          <w:u w:val="single"/>
        </w:rPr>
        <w:t xml:space="preserve"> SERVICE IN ABSENCE OF MANAGEMENT</w:t>
      </w:r>
    </w:p>
    <w:p w14:paraId="334F7360" w14:textId="77777777" w:rsidR="004729FF" w:rsidRDefault="004729FF" w:rsidP="004729FF"/>
    <w:p w14:paraId="798B9B38" w14:textId="77777777" w:rsidR="00677F42" w:rsidRPr="00677F42" w:rsidRDefault="00677F42" w:rsidP="00677F42">
      <w:pPr>
        <w:rPr>
          <w:b/>
          <w:bCs/>
        </w:rPr>
      </w:pPr>
      <w:r w:rsidRPr="00677F42">
        <w:rPr>
          <w:b/>
          <w:bCs/>
        </w:rPr>
        <w:t>***IN CONFIDENCE***</w:t>
      </w:r>
    </w:p>
    <w:p w14:paraId="7BCEBC29" w14:textId="77777777" w:rsidR="00677F42" w:rsidRPr="00677F42" w:rsidRDefault="00677F42" w:rsidP="00677F42">
      <w:pPr>
        <w:rPr>
          <w:b/>
          <w:bCs/>
        </w:rPr>
      </w:pPr>
    </w:p>
    <w:p w14:paraId="7AB98E5A" w14:textId="77777777" w:rsidR="000327CA" w:rsidRDefault="00677F42" w:rsidP="00677F42">
      <w:pPr>
        <w:rPr>
          <w:b/>
          <w:bCs/>
        </w:rPr>
      </w:pPr>
      <w:r w:rsidRPr="00677F42">
        <w:rPr>
          <w:b/>
          <w:bCs/>
        </w:rPr>
        <w:t xml:space="preserve">NOT FOR PUBLICATION </w:t>
      </w:r>
    </w:p>
    <w:p w14:paraId="2B5E4E84" w14:textId="77777777" w:rsidR="000327CA" w:rsidRDefault="000327CA" w:rsidP="00677F42">
      <w:pPr>
        <w:rPr>
          <w:b/>
          <w:bCs/>
        </w:rPr>
      </w:pPr>
    </w:p>
    <w:p w14:paraId="451564CF" w14:textId="25AAB9A0" w:rsidR="00677F42" w:rsidRPr="00677F42" w:rsidRDefault="00677F42" w:rsidP="00677F42">
      <w:pPr>
        <w:rPr>
          <w:b/>
          <w:bCs/>
        </w:rPr>
      </w:pPr>
      <w:r w:rsidRPr="00677F42">
        <w:rPr>
          <w:b/>
          <w:bCs/>
        </w:rPr>
        <w:t>SCHEDULE 6</w:t>
      </w:r>
      <w:r w:rsidR="000327CA">
        <w:rPr>
          <w:b/>
          <w:bCs/>
        </w:rPr>
        <w:t>:3</w:t>
      </w:r>
      <w:r w:rsidRPr="00677F42">
        <w:rPr>
          <w:b/>
          <w:bCs/>
        </w:rPr>
        <w:t xml:space="preserve"> – INFORMATION RELATING TO THE FINANCIAL OR BUSINESS AFFAIRS OF ANY PARTICULAR PERSON (INCLUDING THE COUNCIL HOLDNG THAT INFORMATION)</w:t>
      </w:r>
    </w:p>
    <w:p w14:paraId="3F32A89E" w14:textId="77777777" w:rsidR="004729FF" w:rsidRDefault="004729FF" w:rsidP="004729FF"/>
    <w:p w14:paraId="362907AD" w14:textId="0339FF31" w:rsidR="0049604A" w:rsidRDefault="0049604A" w:rsidP="004729FF">
      <w:r>
        <w:t xml:space="preserve">A meeting was held in the absence of management.   </w:t>
      </w:r>
    </w:p>
    <w:p w14:paraId="3F84A6D4" w14:textId="77777777" w:rsidR="0049604A" w:rsidRPr="004729FF" w:rsidRDefault="0049604A" w:rsidP="004729FF"/>
    <w:p w14:paraId="3ECF1C9E" w14:textId="77777777" w:rsidR="008B69F8" w:rsidRDefault="008B69F8" w:rsidP="0039767B">
      <w:pPr>
        <w:rPr>
          <w:rFonts w:cs="Arial"/>
          <w:b/>
        </w:rPr>
      </w:pPr>
      <w:r w:rsidRPr="008B69F8">
        <w:rPr>
          <w:rFonts w:cs="Arial"/>
          <w:b/>
          <w:sz w:val="28"/>
          <w:szCs w:val="28"/>
          <w:u w:val="single"/>
        </w:rPr>
        <w:t>RE-ADMITTANCE OF PUBLIC AND PRESS</w:t>
      </w:r>
      <w:r w:rsidRPr="008B69F8">
        <w:rPr>
          <w:rFonts w:cs="Arial"/>
          <w:b/>
        </w:rPr>
        <w:t xml:space="preserve"> </w:t>
      </w:r>
    </w:p>
    <w:p w14:paraId="00ADD154" w14:textId="77777777" w:rsidR="008B69F8" w:rsidRDefault="008B69F8" w:rsidP="0039767B">
      <w:pPr>
        <w:rPr>
          <w:rFonts w:cs="Arial"/>
          <w:b/>
        </w:rPr>
      </w:pPr>
    </w:p>
    <w:p w14:paraId="6FD5EC44" w14:textId="3CFD3F3B" w:rsidR="008B69F8" w:rsidRDefault="008B69F8" w:rsidP="0039767B">
      <w:pPr>
        <w:rPr>
          <w:rFonts w:cs="Arial"/>
          <w:b/>
        </w:rPr>
      </w:pPr>
      <w:r w:rsidRPr="008B69F8">
        <w:rPr>
          <w:rFonts w:cs="Arial"/>
          <w:b/>
        </w:rPr>
        <w:t>AGREED TO RECOMMEND</w:t>
      </w:r>
      <w:r w:rsidR="00C6305B">
        <w:rPr>
          <w:rFonts w:cs="Arial"/>
          <w:b/>
        </w:rPr>
        <w:t xml:space="preserve"> that </w:t>
      </w:r>
      <w:r w:rsidRPr="008B69F8">
        <w:rPr>
          <w:rFonts w:cs="Arial"/>
          <w:b/>
        </w:rPr>
        <w:t>the public/press be re-admitted to the meeting.</w:t>
      </w:r>
    </w:p>
    <w:p w14:paraId="5F27BD81" w14:textId="77777777" w:rsidR="00731237" w:rsidRPr="00027338" w:rsidRDefault="00731237" w:rsidP="0039767B">
      <w:pPr>
        <w:rPr>
          <w:rFonts w:cs="Arial"/>
          <w:b/>
        </w:rPr>
      </w:pPr>
    </w:p>
    <w:p w14:paraId="1C641341" w14:textId="77777777" w:rsidR="0039767B" w:rsidRPr="00681993" w:rsidRDefault="0039767B" w:rsidP="0039767B">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464376E3" w14:textId="77777777" w:rsidR="0039767B" w:rsidRDefault="0039767B" w:rsidP="0039767B">
      <w:pPr>
        <w:rPr>
          <w:b/>
        </w:rPr>
      </w:pPr>
    </w:p>
    <w:p w14:paraId="2534BDE1" w14:textId="210DEADC" w:rsidR="0039767B" w:rsidRPr="00681993" w:rsidRDefault="0039767B" w:rsidP="0039767B">
      <w:r w:rsidRPr="00681993">
        <w:t>The meeting terminated at</w:t>
      </w:r>
      <w:r>
        <w:t xml:space="preserve"> </w:t>
      </w:r>
      <w:r w:rsidR="001F0C24">
        <w:t>19:41.</w:t>
      </w:r>
    </w:p>
    <w:p w14:paraId="73652B4A" w14:textId="77777777" w:rsidR="0039767B" w:rsidRDefault="0039767B" w:rsidP="0039767B"/>
    <w:bookmarkEnd w:id="0"/>
    <w:p w14:paraId="0B3AABD3" w14:textId="77777777" w:rsidR="0039767B" w:rsidRDefault="0039767B" w:rsidP="0039767B"/>
    <w:p w14:paraId="446FC0BB" w14:textId="77777777" w:rsidR="006050D0" w:rsidRDefault="006050D0"/>
    <w:sectPr w:rsidR="006050D0" w:rsidSect="0039767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EC73" w14:textId="77777777" w:rsidR="0039767B" w:rsidRDefault="0039767B" w:rsidP="0039767B">
      <w:r>
        <w:separator/>
      </w:r>
    </w:p>
  </w:endnote>
  <w:endnote w:type="continuationSeparator" w:id="0">
    <w:p w14:paraId="317DA352" w14:textId="77777777" w:rsidR="0039767B" w:rsidRDefault="0039767B" w:rsidP="0039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vice Font 10cpi">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0D48" w14:textId="77777777" w:rsidR="002B42B7" w:rsidRDefault="002B4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07EA8FEE" w14:textId="77777777" w:rsidR="00EB2020" w:rsidRDefault="00EB202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CA0610C" w14:textId="77777777" w:rsidR="00EB2020" w:rsidRDefault="00EB2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D2F8" w14:textId="77777777" w:rsidR="00EB2020" w:rsidRDefault="00EB2020">
    <w:pPr>
      <w:pStyle w:val="Footer"/>
      <w:jc w:val="center"/>
    </w:pPr>
  </w:p>
  <w:p w14:paraId="4A395414" w14:textId="77777777" w:rsidR="00EB2020" w:rsidRDefault="00EB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08C7" w14:textId="77777777" w:rsidR="0039767B" w:rsidRDefault="0039767B" w:rsidP="0039767B">
      <w:r>
        <w:separator/>
      </w:r>
    </w:p>
  </w:footnote>
  <w:footnote w:type="continuationSeparator" w:id="0">
    <w:p w14:paraId="211A9B37" w14:textId="77777777" w:rsidR="0039767B" w:rsidRDefault="0039767B" w:rsidP="0039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55D1" w14:textId="77777777" w:rsidR="002B42B7" w:rsidRDefault="002B4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E209" w14:textId="71AEFA32" w:rsidR="00EB2020" w:rsidRDefault="00EB2020">
    <w:pPr>
      <w:pStyle w:val="Header"/>
    </w:pPr>
    <w:r>
      <w:tab/>
    </w:r>
    <w:r>
      <w:tab/>
      <w:t>AC</w:t>
    </w:r>
    <w:r w:rsidR="0033523C">
      <w:t xml:space="preserve"> 16.12</w:t>
    </w:r>
    <w:r>
      <w:t>.2024</w:t>
    </w:r>
    <w:r w:rsidR="00DB3D03">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37CF" w14:textId="6B6F8DA4" w:rsidR="00EB2020" w:rsidRPr="00621DD5" w:rsidRDefault="00EB2020" w:rsidP="00A05BBB">
    <w:pPr>
      <w:pStyle w:val="Header"/>
      <w:ind w:left="2880" w:firstLine="4513"/>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B3"/>
    <w:multiLevelType w:val="multilevel"/>
    <w:tmpl w:val="BCF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360692"/>
    <w:multiLevelType w:val="hybridMultilevel"/>
    <w:tmpl w:val="99B8D066"/>
    <w:lvl w:ilvl="0" w:tplc="90CC7914">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94337"/>
    <w:multiLevelType w:val="hybridMultilevel"/>
    <w:tmpl w:val="ED128FF2"/>
    <w:lvl w:ilvl="0" w:tplc="CBF2A784">
      <w:start w:val="2"/>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15315"/>
    <w:multiLevelType w:val="multilevel"/>
    <w:tmpl w:val="89F8901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B3C15"/>
    <w:multiLevelType w:val="hybridMultilevel"/>
    <w:tmpl w:val="81725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D320B"/>
    <w:multiLevelType w:val="hybridMultilevel"/>
    <w:tmpl w:val="2ACA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40312"/>
    <w:multiLevelType w:val="hybridMultilevel"/>
    <w:tmpl w:val="EDEC261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B2CB1"/>
    <w:multiLevelType w:val="hybridMultilevel"/>
    <w:tmpl w:val="941A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25202"/>
    <w:multiLevelType w:val="hybridMultilevel"/>
    <w:tmpl w:val="CFEC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366893"/>
    <w:multiLevelType w:val="multilevel"/>
    <w:tmpl w:val="E06E7C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start w:val="3"/>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2252ED"/>
    <w:multiLevelType w:val="hybridMultilevel"/>
    <w:tmpl w:val="2BF6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25C9D"/>
    <w:multiLevelType w:val="hybridMultilevel"/>
    <w:tmpl w:val="5610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C54EC"/>
    <w:multiLevelType w:val="multilevel"/>
    <w:tmpl w:val="328C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9B5B10"/>
    <w:multiLevelType w:val="hybridMultilevel"/>
    <w:tmpl w:val="7884E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807C5F"/>
    <w:multiLevelType w:val="hybridMultilevel"/>
    <w:tmpl w:val="285E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914ED"/>
    <w:multiLevelType w:val="hybridMultilevel"/>
    <w:tmpl w:val="FFDE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7852AB"/>
    <w:multiLevelType w:val="hybridMultilevel"/>
    <w:tmpl w:val="888CED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80753690">
    <w:abstractNumId w:val="9"/>
  </w:num>
  <w:num w:numId="2" w16cid:durableId="1524051165">
    <w:abstractNumId w:val="1"/>
  </w:num>
  <w:num w:numId="3" w16cid:durableId="79303703">
    <w:abstractNumId w:val="2"/>
  </w:num>
  <w:num w:numId="4" w16cid:durableId="1827934849">
    <w:abstractNumId w:val="5"/>
  </w:num>
  <w:num w:numId="5" w16cid:durableId="697972535">
    <w:abstractNumId w:val="8"/>
  </w:num>
  <w:num w:numId="6" w16cid:durableId="1272320310">
    <w:abstractNumId w:val="16"/>
  </w:num>
  <w:num w:numId="7" w16cid:durableId="299922914">
    <w:abstractNumId w:val="0"/>
  </w:num>
  <w:num w:numId="8" w16cid:durableId="42681850">
    <w:abstractNumId w:val="10"/>
  </w:num>
  <w:num w:numId="9" w16cid:durableId="269777203">
    <w:abstractNumId w:val="13"/>
  </w:num>
  <w:num w:numId="10" w16cid:durableId="1970277819">
    <w:abstractNumId w:val="17"/>
  </w:num>
  <w:num w:numId="11" w16cid:durableId="2104496301">
    <w:abstractNumId w:val="15"/>
  </w:num>
  <w:num w:numId="12" w16cid:durableId="1303847826">
    <w:abstractNumId w:val="12"/>
  </w:num>
  <w:num w:numId="13" w16cid:durableId="1219822049">
    <w:abstractNumId w:val="7"/>
  </w:num>
  <w:num w:numId="14" w16cid:durableId="1892695108">
    <w:abstractNumId w:val="4"/>
  </w:num>
  <w:num w:numId="15" w16cid:durableId="1098058247">
    <w:abstractNumId w:val="11"/>
  </w:num>
  <w:num w:numId="16" w16cid:durableId="796486286">
    <w:abstractNumId w:val="3"/>
  </w:num>
  <w:num w:numId="17" w16cid:durableId="1179928593">
    <w:abstractNumId w:val="6"/>
  </w:num>
  <w:num w:numId="18" w16cid:durableId="1832402350">
    <w:abstractNumId w:val="14"/>
  </w:num>
  <w:num w:numId="19" w16cid:durableId="180630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SgUgjD1Xx1MiGnMLcNzyL1kyz1koR+ry7y6O9HY3IoF3ojebeEFqmrhTnmc/MK2jmLkvXiYUqz8jIdyw3izHw==" w:salt="Nyuy2gm+eMm6HLj2+7zkNQ=="/>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216 AC 16 December 2024"/>
    <w:docVar w:name="Trove_G_1_Withdraw" w:val="-1"/>
    <w:docVar w:name="Trove_H_Title_1" w:val="241023 AC 23 October 2024"/>
    <w:docVar w:name="Trove_H_Title_2" w:val="241216 AC 16 December 2024"/>
    <w:docVar w:name="Trove_H_Version_1" w:val=" "/>
    <w:docVar w:name="Trove_H_Version_2" w:val=" "/>
  </w:docVars>
  <w:rsids>
    <w:rsidRoot w:val="0039767B"/>
    <w:rsid w:val="000009B9"/>
    <w:rsid w:val="0000228A"/>
    <w:rsid w:val="00016DDE"/>
    <w:rsid w:val="00027338"/>
    <w:rsid w:val="000327CA"/>
    <w:rsid w:val="000420DE"/>
    <w:rsid w:val="00053102"/>
    <w:rsid w:val="0007456D"/>
    <w:rsid w:val="00094796"/>
    <w:rsid w:val="000B4826"/>
    <w:rsid w:val="000B7BEA"/>
    <w:rsid w:val="000C0C9D"/>
    <w:rsid w:val="000D28D6"/>
    <w:rsid w:val="000E0B8E"/>
    <w:rsid w:val="000F3E6D"/>
    <w:rsid w:val="001034C6"/>
    <w:rsid w:val="00127C13"/>
    <w:rsid w:val="00131B59"/>
    <w:rsid w:val="00136A71"/>
    <w:rsid w:val="00137EFF"/>
    <w:rsid w:val="001409C1"/>
    <w:rsid w:val="00154614"/>
    <w:rsid w:val="001661C9"/>
    <w:rsid w:val="00196266"/>
    <w:rsid w:val="001B07D0"/>
    <w:rsid w:val="001B5FA2"/>
    <w:rsid w:val="001C5814"/>
    <w:rsid w:val="001D2532"/>
    <w:rsid w:val="001F068D"/>
    <w:rsid w:val="001F0C24"/>
    <w:rsid w:val="001F59EE"/>
    <w:rsid w:val="002229F6"/>
    <w:rsid w:val="00227C7A"/>
    <w:rsid w:val="00233069"/>
    <w:rsid w:val="00240C28"/>
    <w:rsid w:val="00260980"/>
    <w:rsid w:val="00266CCF"/>
    <w:rsid w:val="00283EBD"/>
    <w:rsid w:val="00291AF1"/>
    <w:rsid w:val="002A1E3F"/>
    <w:rsid w:val="002A3E6C"/>
    <w:rsid w:val="002B2659"/>
    <w:rsid w:val="002B3BED"/>
    <w:rsid w:val="002B42B7"/>
    <w:rsid w:val="002D2ED7"/>
    <w:rsid w:val="002D6DB9"/>
    <w:rsid w:val="002E4785"/>
    <w:rsid w:val="002F41C6"/>
    <w:rsid w:val="003035FD"/>
    <w:rsid w:val="00323E8E"/>
    <w:rsid w:val="00330BED"/>
    <w:rsid w:val="0033523C"/>
    <w:rsid w:val="00342169"/>
    <w:rsid w:val="00342D90"/>
    <w:rsid w:val="0035093B"/>
    <w:rsid w:val="0035439F"/>
    <w:rsid w:val="003722F2"/>
    <w:rsid w:val="003918B8"/>
    <w:rsid w:val="00392C25"/>
    <w:rsid w:val="0039767B"/>
    <w:rsid w:val="003A4FC6"/>
    <w:rsid w:val="003A75C7"/>
    <w:rsid w:val="003C5C10"/>
    <w:rsid w:val="003D6031"/>
    <w:rsid w:val="0040110E"/>
    <w:rsid w:val="00406446"/>
    <w:rsid w:val="00411B87"/>
    <w:rsid w:val="004249E2"/>
    <w:rsid w:val="00424B35"/>
    <w:rsid w:val="004729FF"/>
    <w:rsid w:val="0049604A"/>
    <w:rsid w:val="004B1119"/>
    <w:rsid w:val="004B30A2"/>
    <w:rsid w:val="004D7105"/>
    <w:rsid w:val="00505FEA"/>
    <w:rsid w:val="00510184"/>
    <w:rsid w:val="005261F0"/>
    <w:rsid w:val="0054112D"/>
    <w:rsid w:val="0054214D"/>
    <w:rsid w:val="00542DEC"/>
    <w:rsid w:val="005462FC"/>
    <w:rsid w:val="00556282"/>
    <w:rsid w:val="005618D9"/>
    <w:rsid w:val="00571552"/>
    <w:rsid w:val="00581B9D"/>
    <w:rsid w:val="00585914"/>
    <w:rsid w:val="005918FC"/>
    <w:rsid w:val="005945CF"/>
    <w:rsid w:val="005B21B0"/>
    <w:rsid w:val="005E18D0"/>
    <w:rsid w:val="006050D0"/>
    <w:rsid w:val="006130A3"/>
    <w:rsid w:val="00621714"/>
    <w:rsid w:val="00624CC4"/>
    <w:rsid w:val="00630737"/>
    <w:rsid w:val="00632782"/>
    <w:rsid w:val="0067440F"/>
    <w:rsid w:val="00677F42"/>
    <w:rsid w:val="00690BB7"/>
    <w:rsid w:val="00694D6B"/>
    <w:rsid w:val="006B1331"/>
    <w:rsid w:val="006E4142"/>
    <w:rsid w:val="00701D92"/>
    <w:rsid w:val="00715A7C"/>
    <w:rsid w:val="00730831"/>
    <w:rsid w:val="00731237"/>
    <w:rsid w:val="0074306E"/>
    <w:rsid w:val="00744180"/>
    <w:rsid w:val="00756EC2"/>
    <w:rsid w:val="007862CA"/>
    <w:rsid w:val="007944F1"/>
    <w:rsid w:val="007C09D6"/>
    <w:rsid w:val="007C2296"/>
    <w:rsid w:val="007C69B3"/>
    <w:rsid w:val="007F2CAE"/>
    <w:rsid w:val="008038BD"/>
    <w:rsid w:val="008150AC"/>
    <w:rsid w:val="0081682C"/>
    <w:rsid w:val="00831AE8"/>
    <w:rsid w:val="00837DBA"/>
    <w:rsid w:val="0084379A"/>
    <w:rsid w:val="008547EC"/>
    <w:rsid w:val="00864732"/>
    <w:rsid w:val="00871470"/>
    <w:rsid w:val="008A014E"/>
    <w:rsid w:val="008B69F8"/>
    <w:rsid w:val="008B7703"/>
    <w:rsid w:val="008C6786"/>
    <w:rsid w:val="008F0141"/>
    <w:rsid w:val="00904871"/>
    <w:rsid w:val="009169FE"/>
    <w:rsid w:val="00922A9B"/>
    <w:rsid w:val="00927698"/>
    <w:rsid w:val="00943B2D"/>
    <w:rsid w:val="009443D6"/>
    <w:rsid w:val="00982FA4"/>
    <w:rsid w:val="009B1E7A"/>
    <w:rsid w:val="009D3D17"/>
    <w:rsid w:val="009D66AB"/>
    <w:rsid w:val="009E64E4"/>
    <w:rsid w:val="00A2561E"/>
    <w:rsid w:val="00A32CFD"/>
    <w:rsid w:val="00A40F3F"/>
    <w:rsid w:val="00A47699"/>
    <w:rsid w:val="00A50D41"/>
    <w:rsid w:val="00A577D6"/>
    <w:rsid w:val="00A63913"/>
    <w:rsid w:val="00A7547F"/>
    <w:rsid w:val="00A76DAA"/>
    <w:rsid w:val="00A860FC"/>
    <w:rsid w:val="00A90775"/>
    <w:rsid w:val="00A92FB6"/>
    <w:rsid w:val="00A9381C"/>
    <w:rsid w:val="00AC4C89"/>
    <w:rsid w:val="00AC7989"/>
    <w:rsid w:val="00AE13D3"/>
    <w:rsid w:val="00AF50D0"/>
    <w:rsid w:val="00B23725"/>
    <w:rsid w:val="00B424B4"/>
    <w:rsid w:val="00B536E4"/>
    <w:rsid w:val="00B67189"/>
    <w:rsid w:val="00B72B4F"/>
    <w:rsid w:val="00B7561B"/>
    <w:rsid w:val="00B94A4B"/>
    <w:rsid w:val="00BC43CD"/>
    <w:rsid w:val="00BD0A4B"/>
    <w:rsid w:val="00BD4582"/>
    <w:rsid w:val="00BE1925"/>
    <w:rsid w:val="00BF4166"/>
    <w:rsid w:val="00C4093C"/>
    <w:rsid w:val="00C6305B"/>
    <w:rsid w:val="00C867D1"/>
    <w:rsid w:val="00C9477F"/>
    <w:rsid w:val="00CA048D"/>
    <w:rsid w:val="00CB4DCD"/>
    <w:rsid w:val="00CC34E1"/>
    <w:rsid w:val="00CD3D3F"/>
    <w:rsid w:val="00D00CD1"/>
    <w:rsid w:val="00D06D42"/>
    <w:rsid w:val="00D1281B"/>
    <w:rsid w:val="00D212AE"/>
    <w:rsid w:val="00D25C92"/>
    <w:rsid w:val="00D333EF"/>
    <w:rsid w:val="00D3414E"/>
    <w:rsid w:val="00D34923"/>
    <w:rsid w:val="00D42CA9"/>
    <w:rsid w:val="00D524A9"/>
    <w:rsid w:val="00D7283A"/>
    <w:rsid w:val="00DB3D03"/>
    <w:rsid w:val="00DC19F2"/>
    <w:rsid w:val="00DD2D17"/>
    <w:rsid w:val="00DE1A94"/>
    <w:rsid w:val="00DE427A"/>
    <w:rsid w:val="00DE44DA"/>
    <w:rsid w:val="00DF47C0"/>
    <w:rsid w:val="00E24FB8"/>
    <w:rsid w:val="00E31D5E"/>
    <w:rsid w:val="00E36D56"/>
    <w:rsid w:val="00E371B2"/>
    <w:rsid w:val="00E430F4"/>
    <w:rsid w:val="00E51CAF"/>
    <w:rsid w:val="00E6504A"/>
    <w:rsid w:val="00E65071"/>
    <w:rsid w:val="00EB2020"/>
    <w:rsid w:val="00EB679D"/>
    <w:rsid w:val="00EE7B6B"/>
    <w:rsid w:val="00EF1984"/>
    <w:rsid w:val="00F06FEF"/>
    <w:rsid w:val="00F115D5"/>
    <w:rsid w:val="00F26499"/>
    <w:rsid w:val="00F3182E"/>
    <w:rsid w:val="00F549E0"/>
    <w:rsid w:val="00F73D4D"/>
    <w:rsid w:val="00F96332"/>
    <w:rsid w:val="00FA0706"/>
    <w:rsid w:val="00FA47AC"/>
    <w:rsid w:val="00FA67F0"/>
    <w:rsid w:val="00FA786C"/>
    <w:rsid w:val="00FB2C77"/>
    <w:rsid w:val="00FB47AB"/>
    <w:rsid w:val="00FC3DD0"/>
    <w:rsid w:val="00FC72C7"/>
    <w:rsid w:val="00FD65E6"/>
    <w:rsid w:val="00FD6957"/>
    <w:rsid w:val="00FE1D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58AFEC6"/>
  <w15:chartTrackingRefBased/>
  <w15:docId w15:val="{F7DF503E-5A9B-414D-A0F6-14E5C7B9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67B"/>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AE13D3"/>
    <w:pPr>
      <w:keepNext/>
      <w:keepLines/>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731237"/>
    <w:pPr>
      <w:keepNext/>
      <w:keepLines/>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397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D3"/>
    <w:rPr>
      <w:rFonts w:ascii="Arial" w:eastAsiaTheme="majorEastAsia" w:hAnsi="Arial" w:cstheme="majorBidi"/>
      <w:b/>
      <w:color w:val="000000" w:themeColor="text1"/>
      <w:kern w:val="0"/>
      <w:sz w:val="28"/>
      <w:szCs w:val="40"/>
      <w14:ligatures w14:val="none"/>
    </w:rPr>
  </w:style>
  <w:style w:type="character" w:customStyle="1" w:styleId="Heading2Char">
    <w:name w:val="Heading 2 Char"/>
    <w:basedOn w:val="DefaultParagraphFont"/>
    <w:link w:val="Heading2"/>
    <w:uiPriority w:val="9"/>
    <w:rsid w:val="00731237"/>
    <w:rPr>
      <w:rFonts w:ascii="Arial" w:eastAsiaTheme="majorEastAsia" w:hAnsi="Arial" w:cstheme="majorBidi"/>
      <w:kern w:val="0"/>
      <w:sz w:val="24"/>
      <w:szCs w:val="32"/>
      <w14:ligatures w14:val="none"/>
    </w:rPr>
  </w:style>
  <w:style w:type="character" w:customStyle="1" w:styleId="Heading3Char">
    <w:name w:val="Heading 3 Char"/>
    <w:basedOn w:val="DefaultParagraphFont"/>
    <w:link w:val="Heading3"/>
    <w:uiPriority w:val="9"/>
    <w:rsid w:val="00397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67B"/>
    <w:rPr>
      <w:rFonts w:eastAsiaTheme="majorEastAsia" w:cstheme="majorBidi"/>
      <w:color w:val="272727" w:themeColor="text1" w:themeTint="D8"/>
    </w:rPr>
  </w:style>
  <w:style w:type="paragraph" w:styleId="Title">
    <w:name w:val="Title"/>
    <w:basedOn w:val="Normal"/>
    <w:next w:val="Normal"/>
    <w:link w:val="TitleChar"/>
    <w:uiPriority w:val="10"/>
    <w:qFormat/>
    <w:rsid w:val="00397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67B"/>
    <w:pPr>
      <w:spacing w:before="160"/>
      <w:jc w:val="center"/>
    </w:pPr>
    <w:rPr>
      <w:i/>
      <w:iCs/>
      <w:color w:val="404040" w:themeColor="text1" w:themeTint="BF"/>
    </w:rPr>
  </w:style>
  <w:style w:type="character" w:customStyle="1" w:styleId="QuoteChar">
    <w:name w:val="Quote Char"/>
    <w:basedOn w:val="DefaultParagraphFont"/>
    <w:link w:val="Quote"/>
    <w:uiPriority w:val="29"/>
    <w:rsid w:val="0039767B"/>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39767B"/>
    <w:pPr>
      <w:ind w:left="720"/>
      <w:contextualSpacing/>
    </w:pPr>
  </w:style>
  <w:style w:type="character" w:styleId="IntenseEmphasis">
    <w:name w:val="Intense Emphasis"/>
    <w:basedOn w:val="DefaultParagraphFont"/>
    <w:uiPriority w:val="21"/>
    <w:qFormat/>
    <w:rsid w:val="0039767B"/>
    <w:rPr>
      <w:i/>
      <w:iCs/>
      <w:color w:val="0F4761" w:themeColor="accent1" w:themeShade="BF"/>
    </w:rPr>
  </w:style>
  <w:style w:type="paragraph" w:styleId="IntenseQuote">
    <w:name w:val="Intense Quote"/>
    <w:basedOn w:val="Normal"/>
    <w:next w:val="Normal"/>
    <w:link w:val="IntenseQuoteChar"/>
    <w:uiPriority w:val="30"/>
    <w:qFormat/>
    <w:rsid w:val="00397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67B"/>
    <w:rPr>
      <w:i/>
      <w:iCs/>
      <w:color w:val="0F4761" w:themeColor="accent1" w:themeShade="BF"/>
    </w:rPr>
  </w:style>
  <w:style w:type="character" w:styleId="IntenseReference">
    <w:name w:val="Intense Reference"/>
    <w:basedOn w:val="DefaultParagraphFont"/>
    <w:uiPriority w:val="32"/>
    <w:qFormat/>
    <w:rsid w:val="0039767B"/>
    <w:rPr>
      <w:b/>
      <w:bCs/>
      <w:smallCaps/>
      <w:color w:val="0F4761" w:themeColor="accent1" w:themeShade="BF"/>
      <w:spacing w:val="5"/>
    </w:rPr>
  </w:style>
  <w:style w:type="table" w:styleId="TableGrid">
    <w:name w:val="Table Grid"/>
    <w:basedOn w:val="TableNormal"/>
    <w:uiPriority w:val="59"/>
    <w:rsid w:val="003976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67B"/>
    <w:pPr>
      <w:tabs>
        <w:tab w:val="center" w:pos="4513"/>
        <w:tab w:val="right" w:pos="9026"/>
      </w:tabs>
    </w:pPr>
  </w:style>
  <w:style w:type="character" w:customStyle="1" w:styleId="HeaderChar">
    <w:name w:val="Header Char"/>
    <w:basedOn w:val="DefaultParagraphFont"/>
    <w:link w:val="Header"/>
    <w:uiPriority w:val="99"/>
    <w:rsid w:val="0039767B"/>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39767B"/>
    <w:pPr>
      <w:tabs>
        <w:tab w:val="center" w:pos="4513"/>
        <w:tab w:val="right" w:pos="9026"/>
      </w:tabs>
    </w:pPr>
  </w:style>
  <w:style w:type="character" w:customStyle="1" w:styleId="FooterChar">
    <w:name w:val="Footer Char"/>
    <w:basedOn w:val="DefaultParagraphFont"/>
    <w:link w:val="Footer"/>
    <w:uiPriority w:val="99"/>
    <w:rsid w:val="0039767B"/>
    <w:rPr>
      <w:rFonts w:ascii="Arial" w:eastAsia="Times New Roman" w:hAnsi="Arial" w:cs="Times New Roman"/>
      <w:kern w:val="0"/>
      <w:sz w:val="24"/>
      <w:szCs w:val="24"/>
      <w14:ligatures w14:val="none"/>
    </w:rPr>
  </w:style>
  <w:style w:type="paragraph" w:styleId="NoSpacing">
    <w:name w:val="No Spacing"/>
    <w:uiPriority w:val="1"/>
    <w:qFormat/>
    <w:rsid w:val="0039767B"/>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39767B"/>
  </w:style>
  <w:style w:type="paragraph" w:customStyle="1" w:styleId="Normal0">
    <w:name w:val="Normal_0"/>
    <w:qFormat/>
    <w:rsid w:val="0039767B"/>
    <w:pPr>
      <w:spacing w:after="0" w:line="240" w:lineRule="auto"/>
    </w:pPr>
    <w:rPr>
      <w:rFonts w:ascii="Arial" w:eastAsia="Times New Roman" w:hAnsi="Arial" w:cs="Times New Roman"/>
      <w:kern w:val="0"/>
      <w:sz w:val="20"/>
      <w:szCs w:val="20"/>
      <w:lang w:eastAsia="en-GB"/>
      <w14:ligatures w14:val="none"/>
    </w:rPr>
  </w:style>
  <w:style w:type="paragraph" w:customStyle="1" w:styleId="xxmsonormal">
    <w:name w:val="x_xmsonormal"/>
    <w:basedOn w:val="Normal"/>
    <w:rsid w:val="0039767B"/>
    <w:pPr>
      <w:suppressAutoHyphens w:val="0"/>
      <w:autoSpaceDN/>
      <w:textAlignment w:val="auto"/>
    </w:pPr>
    <w:rPr>
      <w:rFonts w:ascii="Calibri" w:eastAsiaTheme="minorHAnsi" w:hAnsi="Calibri" w:cs="Calibri"/>
      <w:sz w:val="22"/>
      <w:szCs w:val="22"/>
      <w:lang w:eastAsia="en-GB"/>
    </w:rPr>
  </w:style>
  <w:style w:type="table" w:customStyle="1" w:styleId="ListTable3-Accent42">
    <w:name w:val="List Table 3 - Accent 42"/>
    <w:basedOn w:val="TableNormal"/>
    <w:next w:val="ListTable3-Accent4"/>
    <w:uiPriority w:val="48"/>
    <w:rsid w:val="00CA048D"/>
    <w:pPr>
      <w:spacing w:after="0" w:line="240" w:lineRule="auto"/>
    </w:pPr>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styleId="GridTable6Colorful-Accent1">
    <w:name w:val="Grid Table 6 Colorful Accent 1"/>
    <w:basedOn w:val="TableNormal"/>
    <w:uiPriority w:val="51"/>
    <w:rsid w:val="00CA048D"/>
    <w:pPr>
      <w:spacing w:after="0" w:line="240" w:lineRule="auto"/>
    </w:pPr>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4">
    <w:name w:val="List Table 3 Accent 4"/>
    <w:basedOn w:val="TableNormal"/>
    <w:uiPriority w:val="48"/>
    <w:rsid w:val="00CA048D"/>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GridTable4-Accent5">
    <w:name w:val="Grid Table 4 Accent 5"/>
    <w:basedOn w:val="TableNormal"/>
    <w:uiPriority w:val="49"/>
    <w:rsid w:val="00756EC2"/>
    <w:pPr>
      <w:spacing w:after="0" w:line="240" w:lineRule="auto"/>
    </w:pPr>
    <w:rPr>
      <w:rFonts w:ascii="Arial" w:hAnsi="Arial" w:cs="Times New Roman"/>
      <w:kern w:val="0"/>
      <w:sz w:val="24"/>
      <w:szCs w:val="24"/>
      <w14:ligatures w14:val="none"/>
    </w:rPr>
    <w:tblPr>
      <w:tblStyleRowBandSize w:val="1"/>
      <w:tblStyleColBandSize w:val="1"/>
      <w:tblInd w:w="0" w:type="nil"/>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CommentReference">
    <w:name w:val="annotation reference"/>
    <w:basedOn w:val="DefaultParagraphFont"/>
    <w:uiPriority w:val="99"/>
    <w:semiHidden/>
    <w:unhideWhenUsed/>
    <w:rsid w:val="001F0C24"/>
    <w:rPr>
      <w:sz w:val="16"/>
      <w:szCs w:val="16"/>
    </w:rPr>
  </w:style>
  <w:style w:type="paragraph" w:styleId="CommentText">
    <w:name w:val="annotation text"/>
    <w:basedOn w:val="Normal"/>
    <w:link w:val="CommentTextChar"/>
    <w:uiPriority w:val="99"/>
    <w:unhideWhenUsed/>
    <w:rsid w:val="001F0C24"/>
    <w:rPr>
      <w:sz w:val="20"/>
      <w:szCs w:val="20"/>
    </w:rPr>
  </w:style>
  <w:style w:type="character" w:customStyle="1" w:styleId="CommentTextChar">
    <w:name w:val="Comment Text Char"/>
    <w:basedOn w:val="DefaultParagraphFont"/>
    <w:link w:val="CommentText"/>
    <w:uiPriority w:val="99"/>
    <w:rsid w:val="001F0C2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0C24"/>
    <w:rPr>
      <w:b/>
      <w:bCs/>
    </w:rPr>
  </w:style>
  <w:style w:type="character" w:customStyle="1" w:styleId="CommentSubjectChar">
    <w:name w:val="Comment Subject Char"/>
    <w:basedOn w:val="CommentTextChar"/>
    <w:link w:val="CommentSubject"/>
    <w:uiPriority w:val="99"/>
    <w:semiHidden/>
    <w:rsid w:val="001F0C24"/>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411">
      <w:bodyDiv w:val="1"/>
      <w:marLeft w:val="0"/>
      <w:marRight w:val="0"/>
      <w:marTop w:val="0"/>
      <w:marBottom w:val="0"/>
      <w:divBdr>
        <w:top w:val="none" w:sz="0" w:space="0" w:color="auto"/>
        <w:left w:val="none" w:sz="0" w:space="0" w:color="auto"/>
        <w:bottom w:val="none" w:sz="0" w:space="0" w:color="auto"/>
        <w:right w:val="none" w:sz="0" w:space="0" w:color="auto"/>
      </w:divBdr>
    </w:div>
    <w:div w:id="119346688">
      <w:bodyDiv w:val="1"/>
      <w:marLeft w:val="0"/>
      <w:marRight w:val="0"/>
      <w:marTop w:val="0"/>
      <w:marBottom w:val="0"/>
      <w:divBdr>
        <w:top w:val="none" w:sz="0" w:space="0" w:color="auto"/>
        <w:left w:val="none" w:sz="0" w:space="0" w:color="auto"/>
        <w:bottom w:val="none" w:sz="0" w:space="0" w:color="auto"/>
        <w:right w:val="none" w:sz="0" w:space="0" w:color="auto"/>
      </w:divBdr>
    </w:div>
    <w:div w:id="174462865">
      <w:bodyDiv w:val="1"/>
      <w:marLeft w:val="0"/>
      <w:marRight w:val="0"/>
      <w:marTop w:val="0"/>
      <w:marBottom w:val="0"/>
      <w:divBdr>
        <w:top w:val="none" w:sz="0" w:space="0" w:color="auto"/>
        <w:left w:val="none" w:sz="0" w:space="0" w:color="auto"/>
        <w:bottom w:val="none" w:sz="0" w:space="0" w:color="auto"/>
        <w:right w:val="none" w:sz="0" w:space="0" w:color="auto"/>
      </w:divBdr>
    </w:div>
    <w:div w:id="305013352">
      <w:bodyDiv w:val="1"/>
      <w:marLeft w:val="0"/>
      <w:marRight w:val="0"/>
      <w:marTop w:val="0"/>
      <w:marBottom w:val="0"/>
      <w:divBdr>
        <w:top w:val="none" w:sz="0" w:space="0" w:color="auto"/>
        <w:left w:val="none" w:sz="0" w:space="0" w:color="auto"/>
        <w:bottom w:val="none" w:sz="0" w:space="0" w:color="auto"/>
        <w:right w:val="none" w:sz="0" w:space="0" w:color="auto"/>
      </w:divBdr>
    </w:div>
    <w:div w:id="317728693">
      <w:bodyDiv w:val="1"/>
      <w:marLeft w:val="0"/>
      <w:marRight w:val="0"/>
      <w:marTop w:val="0"/>
      <w:marBottom w:val="0"/>
      <w:divBdr>
        <w:top w:val="none" w:sz="0" w:space="0" w:color="auto"/>
        <w:left w:val="none" w:sz="0" w:space="0" w:color="auto"/>
        <w:bottom w:val="none" w:sz="0" w:space="0" w:color="auto"/>
        <w:right w:val="none" w:sz="0" w:space="0" w:color="auto"/>
      </w:divBdr>
    </w:div>
    <w:div w:id="424964447">
      <w:bodyDiv w:val="1"/>
      <w:marLeft w:val="0"/>
      <w:marRight w:val="0"/>
      <w:marTop w:val="0"/>
      <w:marBottom w:val="0"/>
      <w:divBdr>
        <w:top w:val="none" w:sz="0" w:space="0" w:color="auto"/>
        <w:left w:val="none" w:sz="0" w:space="0" w:color="auto"/>
        <w:bottom w:val="none" w:sz="0" w:space="0" w:color="auto"/>
        <w:right w:val="none" w:sz="0" w:space="0" w:color="auto"/>
      </w:divBdr>
    </w:div>
    <w:div w:id="558905293">
      <w:bodyDiv w:val="1"/>
      <w:marLeft w:val="0"/>
      <w:marRight w:val="0"/>
      <w:marTop w:val="0"/>
      <w:marBottom w:val="0"/>
      <w:divBdr>
        <w:top w:val="none" w:sz="0" w:space="0" w:color="auto"/>
        <w:left w:val="none" w:sz="0" w:space="0" w:color="auto"/>
        <w:bottom w:val="none" w:sz="0" w:space="0" w:color="auto"/>
        <w:right w:val="none" w:sz="0" w:space="0" w:color="auto"/>
      </w:divBdr>
    </w:div>
    <w:div w:id="604925864">
      <w:bodyDiv w:val="1"/>
      <w:marLeft w:val="0"/>
      <w:marRight w:val="0"/>
      <w:marTop w:val="0"/>
      <w:marBottom w:val="0"/>
      <w:divBdr>
        <w:top w:val="none" w:sz="0" w:space="0" w:color="auto"/>
        <w:left w:val="none" w:sz="0" w:space="0" w:color="auto"/>
        <w:bottom w:val="none" w:sz="0" w:space="0" w:color="auto"/>
        <w:right w:val="none" w:sz="0" w:space="0" w:color="auto"/>
      </w:divBdr>
    </w:div>
    <w:div w:id="645167290">
      <w:bodyDiv w:val="1"/>
      <w:marLeft w:val="0"/>
      <w:marRight w:val="0"/>
      <w:marTop w:val="0"/>
      <w:marBottom w:val="0"/>
      <w:divBdr>
        <w:top w:val="none" w:sz="0" w:space="0" w:color="auto"/>
        <w:left w:val="none" w:sz="0" w:space="0" w:color="auto"/>
        <w:bottom w:val="none" w:sz="0" w:space="0" w:color="auto"/>
        <w:right w:val="none" w:sz="0" w:space="0" w:color="auto"/>
      </w:divBdr>
    </w:div>
    <w:div w:id="747188446">
      <w:bodyDiv w:val="1"/>
      <w:marLeft w:val="0"/>
      <w:marRight w:val="0"/>
      <w:marTop w:val="0"/>
      <w:marBottom w:val="0"/>
      <w:divBdr>
        <w:top w:val="none" w:sz="0" w:space="0" w:color="auto"/>
        <w:left w:val="none" w:sz="0" w:space="0" w:color="auto"/>
        <w:bottom w:val="none" w:sz="0" w:space="0" w:color="auto"/>
        <w:right w:val="none" w:sz="0" w:space="0" w:color="auto"/>
      </w:divBdr>
    </w:div>
    <w:div w:id="1144398099">
      <w:bodyDiv w:val="1"/>
      <w:marLeft w:val="0"/>
      <w:marRight w:val="0"/>
      <w:marTop w:val="0"/>
      <w:marBottom w:val="0"/>
      <w:divBdr>
        <w:top w:val="none" w:sz="0" w:space="0" w:color="auto"/>
        <w:left w:val="none" w:sz="0" w:space="0" w:color="auto"/>
        <w:bottom w:val="none" w:sz="0" w:space="0" w:color="auto"/>
        <w:right w:val="none" w:sz="0" w:space="0" w:color="auto"/>
      </w:divBdr>
    </w:div>
    <w:div w:id="1158767811">
      <w:bodyDiv w:val="1"/>
      <w:marLeft w:val="0"/>
      <w:marRight w:val="0"/>
      <w:marTop w:val="0"/>
      <w:marBottom w:val="0"/>
      <w:divBdr>
        <w:top w:val="none" w:sz="0" w:space="0" w:color="auto"/>
        <w:left w:val="none" w:sz="0" w:space="0" w:color="auto"/>
        <w:bottom w:val="none" w:sz="0" w:space="0" w:color="auto"/>
        <w:right w:val="none" w:sz="0" w:space="0" w:color="auto"/>
      </w:divBdr>
    </w:div>
    <w:div w:id="1229925013">
      <w:bodyDiv w:val="1"/>
      <w:marLeft w:val="0"/>
      <w:marRight w:val="0"/>
      <w:marTop w:val="0"/>
      <w:marBottom w:val="0"/>
      <w:divBdr>
        <w:top w:val="none" w:sz="0" w:space="0" w:color="auto"/>
        <w:left w:val="none" w:sz="0" w:space="0" w:color="auto"/>
        <w:bottom w:val="none" w:sz="0" w:space="0" w:color="auto"/>
        <w:right w:val="none" w:sz="0" w:space="0" w:color="auto"/>
      </w:divBdr>
    </w:div>
    <w:div w:id="1250698486">
      <w:bodyDiv w:val="1"/>
      <w:marLeft w:val="0"/>
      <w:marRight w:val="0"/>
      <w:marTop w:val="0"/>
      <w:marBottom w:val="0"/>
      <w:divBdr>
        <w:top w:val="none" w:sz="0" w:space="0" w:color="auto"/>
        <w:left w:val="none" w:sz="0" w:space="0" w:color="auto"/>
        <w:bottom w:val="none" w:sz="0" w:space="0" w:color="auto"/>
        <w:right w:val="none" w:sz="0" w:space="0" w:color="auto"/>
      </w:divBdr>
    </w:div>
    <w:div w:id="1424837607">
      <w:bodyDiv w:val="1"/>
      <w:marLeft w:val="0"/>
      <w:marRight w:val="0"/>
      <w:marTop w:val="0"/>
      <w:marBottom w:val="0"/>
      <w:divBdr>
        <w:top w:val="none" w:sz="0" w:space="0" w:color="auto"/>
        <w:left w:val="none" w:sz="0" w:space="0" w:color="auto"/>
        <w:bottom w:val="none" w:sz="0" w:space="0" w:color="auto"/>
        <w:right w:val="none" w:sz="0" w:space="0" w:color="auto"/>
      </w:divBdr>
    </w:div>
    <w:div w:id="1560478543">
      <w:bodyDiv w:val="1"/>
      <w:marLeft w:val="0"/>
      <w:marRight w:val="0"/>
      <w:marTop w:val="0"/>
      <w:marBottom w:val="0"/>
      <w:divBdr>
        <w:top w:val="none" w:sz="0" w:space="0" w:color="auto"/>
        <w:left w:val="none" w:sz="0" w:space="0" w:color="auto"/>
        <w:bottom w:val="none" w:sz="0" w:space="0" w:color="auto"/>
        <w:right w:val="none" w:sz="0" w:space="0" w:color="auto"/>
      </w:divBdr>
    </w:div>
    <w:div w:id="1696810154">
      <w:bodyDiv w:val="1"/>
      <w:marLeft w:val="0"/>
      <w:marRight w:val="0"/>
      <w:marTop w:val="0"/>
      <w:marBottom w:val="0"/>
      <w:divBdr>
        <w:top w:val="none" w:sz="0" w:space="0" w:color="auto"/>
        <w:left w:val="none" w:sz="0" w:space="0" w:color="auto"/>
        <w:bottom w:val="none" w:sz="0" w:space="0" w:color="auto"/>
        <w:right w:val="none" w:sz="0" w:space="0" w:color="auto"/>
      </w:divBdr>
    </w:div>
    <w:div w:id="1811705834">
      <w:bodyDiv w:val="1"/>
      <w:marLeft w:val="0"/>
      <w:marRight w:val="0"/>
      <w:marTop w:val="0"/>
      <w:marBottom w:val="0"/>
      <w:divBdr>
        <w:top w:val="none" w:sz="0" w:space="0" w:color="auto"/>
        <w:left w:val="none" w:sz="0" w:space="0" w:color="auto"/>
        <w:bottom w:val="none" w:sz="0" w:space="0" w:color="auto"/>
        <w:right w:val="none" w:sz="0" w:space="0" w:color="auto"/>
      </w:divBdr>
    </w:div>
    <w:div w:id="2052268213">
      <w:bodyDiv w:val="1"/>
      <w:marLeft w:val="0"/>
      <w:marRight w:val="0"/>
      <w:marTop w:val="0"/>
      <w:marBottom w:val="0"/>
      <w:divBdr>
        <w:top w:val="none" w:sz="0" w:space="0" w:color="auto"/>
        <w:left w:val="none" w:sz="0" w:space="0" w:color="auto"/>
        <w:bottom w:val="none" w:sz="0" w:space="0" w:color="auto"/>
        <w:right w:val="none" w:sz="0" w:space="0" w:color="auto"/>
      </w:divBdr>
    </w:div>
    <w:div w:id="2101172646">
      <w:bodyDiv w:val="1"/>
      <w:marLeft w:val="0"/>
      <w:marRight w:val="0"/>
      <w:marTop w:val="0"/>
      <w:marBottom w:val="0"/>
      <w:divBdr>
        <w:top w:val="none" w:sz="0" w:space="0" w:color="auto"/>
        <w:left w:val="none" w:sz="0" w:space="0" w:color="auto"/>
        <w:bottom w:val="none" w:sz="0" w:space="0" w:color="auto"/>
        <w:right w:val="none" w:sz="0" w:space="0" w:color="auto"/>
      </w:divBdr>
    </w:div>
    <w:div w:id="21132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460CE-CF45-45F6-A296-EB5F6508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5C011-D242-4F75-BF8A-28C2921F4F45}">
  <ds:schemaRefs>
    <ds:schemaRef ds:uri="http://schemas.openxmlformats.org/officeDocument/2006/bibliography"/>
  </ds:schemaRefs>
</ds:datastoreItem>
</file>

<file path=customXml/itemProps3.xml><?xml version="1.0" encoding="utf-8"?>
<ds:datastoreItem xmlns:ds="http://schemas.openxmlformats.org/officeDocument/2006/customXml" ds:itemID="{B192BDFD-0FCF-476F-B8BE-5B348B7190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A0873F-714E-4977-8A72-3BABE7492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4397</Words>
  <Characters>25065</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241216 AC 16 December 2024</vt:lpstr>
    </vt:vector>
  </TitlesOfParts>
  <Company>Ards and North Down Borough Council</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241216 AC 16 December 2024</dc:title>
  <dc:subject/>
  <dc:creator>Foster, Paulene</dc:creator>
  <cp:keywords/>
  <dc:description/>
  <cp:lastModifiedBy>Cull, Joshua</cp:lastModifiedBy>
  <cp:revision>14</cp:revision>
  <cp:lastPrinted>2025-01-28T14:22:00Z</cp:lastPrinted>
  <dcterms:created xsi:type="dcterms:W3CDTF">2025-01-27T17:16:00Z</dcterms:created>
  <dcterms:modified xsi:type="dcterms:W3CDTF">2026-01-12T10:12:00Z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