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CEA08" w14:textId="77777777" w:rsidR="0039767B" w:rsidRPr="000A416A" w:rsidRDefault="0039767B" w:rsidP="0039767B">
      <w:pPr>
        <w:jc w:val="center"/>
        <w:rPr>
          <w:rFonts w:cs="Arial"/>
          <w:b/>
          <w:sz w:val="28"/>
          <w:szCs w:val="28"/>
          <w:u w:val="single"/>
        </w:rPr>
      </w:pPr>
      <w:r w:rsidRPr="000A416A">
        <w:rPr>
          <w:rFonts w:cs="Arial"/>
          <w:b/>
          <w:sz w:val="28"/>
          <w:szCs w:val="28"/>
          <w:u w:val="single"/>
        </w:rPr>
        <w:t>ARDS AND NORTH DOWN BOROUGH COUNCIL</w:t>
      </w:r>
    </w:p>
    <w:p w14:paraId="7FBB2BD0" w14:textId="77777777" w:rsidR="0039767B" w:rsidRPr="000A416A" w:rsidRDefault="0039767B" w:rsidP="0039767B">
      <w:pPr>
        <w:rPr>
          <w:rFonts w:cs="Arial"/>
        </w:rPr>
      </w:pPr>
    </w:p>
    <w:p w14:paraId="4A8CD4F4" w14:textId="77E75DCF" w:rsidR="0039767B" w:rsidRPr="000A416A" w:rsidRDefault="0039767B" w:rsidP="0039767B">
      <w:pPr>
        <w:rPr>
          <w:rFonts w:cs="Arial"/>
        </w:rPr>
      </w:pPr>
      <w:r w:rsidRPr="00600EA9">
        <w:t xml:space="preserve">A </w:t>
      </w:r>
      <w:r>
        <w:t>hybrid</w:t>
      </w:r>
      <w:r w:rsidR="00FE1DE1">
        <w:t xml:space="preserve"> </w:t>
      </w:r>
      <w:r>
        <w:rPr>
          <w:rFonts w:cs="Arial"/>
        </w:rPr>
        <w:t xml:space="preserve">(in person and via Zoom) </w:t>
      </w:r>
      <w:r w:rsidR="00F115D5">
        <w:rPr>
          <w:rFonts w:cs="Arial"/>
        </w:rPr>
        <w:t xml:space="preserve">Special </w:t>
      </w:r>
      <w:r w:rsidRPr="00600EA9">
        <w:t>meeting</w:t>
      </w:r>
      <w:r>
        <w:rPr>
          <w:rFonts w:cs="Arial"/>
        </w:rPr>
        <w:t xml:space="preserve"> </w:t>
      </w:r>
      <w:r w:rsidRPr="00600EA9">
        <w:t xml:space="preserve">of the </w:t>
      </w:r>
      <w:r>
        <w:t>Audit Committee</w:t>
      </w:r>
      <w:r w:rsidRPr="00600EA9">
        <w:t xml:space="preserve"> was held </w:t>
      </w:r>
      <w:r>
        <w:t xml:space="preserve">at the Council Chamber, Church Street, Newtownards, on </w:t>
      </w:r>
      <w:r>
        <w:rPr>
          <w:rFonts w:cs="Arial"/>
        </w:rPr>
        <w:t>Wednesday 23 October 2024 at 7.00</w:t>
      </w:r>
      <w:r w:rsidRPr="000A416A">
        <w:rPr>
          <w:rFonts w:cs="Arial"/>
        </w:rPr>
        <w:t xml:space="preserve">pm. </w:t>
      </w:r>
    </w:p>
    <w:p w14:paraId="17D2815D" w14:textId="77777777" w:rsidR="0039767B" w:rsidRPr="000A416A" w:rsidRDefault="0039767B" w:rsidP="0039767B">
      <w:pPr>
        <w:ind w:left="1440"/>
        <w:rPr>
          <w:rFonts w:cs="Arial"/>
        </w:rPr>
      </w:pPr>
      <w:r w:rsidRPr="000A416A">
        <w:rPr>
          <w:rFonts w:cs="Arial"/>
        </w:rPr>
        <w:t xml:space="preserve"> </w:t>
      </w:r>
    </w:p>
    <w:p w14:paraId="01B995C5" w14:textId="77777777" w:rsidR="0039767B" w:rsidRPr="000A416A" w:rsidRDefault="0039767B" w:rsidP="0039767B">
      <w:pPr>
        <w:rPr>
          <w:rFonts w:cs="Arial"/>
          <w:b/>
          <w:u w:val="single"/>
        </w:rPr>
      </w:pPr>
      <w:r w:rsidRPr="000A416A">
        <w:rPr>
          <w:rFonts w:cs="Arial"/>
          <w:b/>
          <w:u w:val="single"/>
        </w:rPr>
        <w:t>PRESENT: -</w:t>
      </w:r>
    </w:p>
    <w:p w14:paraId="47B356E5" w14:textId="77777777" w:rsidR="0039767B" w:rsidRPr="000A416A" w:rsidRDefault="0039767B" w:rsidP="0039767B">
      <w:pPr>
        <w:rPr>
          <w:rFonts w:cs="Arial"/>
        </w:rPr>
      </w:pPr>
      <w:r w:rsidRPr="000A416A">
        <w:rPr>
          <w:rFonts w:cs="Arial"/>
        </w:rPr>
        <w:t xml:space="preserve"> </w:t>
      </w:r>
    </w:p>
    <w:p w14:paraId="46196F1A" w14:textId="473736E0" w:rsidR="0039767B" w:rsidRDefault="0039767B" w:rsidP="0039767B">
      <w:pPr>
        <w:rPr>
          <w:rFonts w:cs="Arial"/>
        </w:rPr>
      </w:pPr>
      <w:r w:rsidRPr="000A416A">
        <w:rPr>
          <w:rFonts w:cs="Arial"/>
          <w:b/>
        </w:rPr>
        <w:t xml:space="preserve">In the Chair: </w:t>
      </w:r>
      <w:r>
        <w:rPr>
          <w:rFonts w:cs="Arial"/>
          <w:b/>
        </w:rPr>
        <w:tab/>
      </w:r>
      <w:r>
        <w:rPr>
          <w:rFonts w:cs="Arial"/>
        </w:rPr>
        <w:t xml:space="preserve"> </w:t>
      </w:r>
      <w:r w:rsidR="005918FC">
        <w:rPr>
          <w:rFonts w:cs="Arial"/>
        </w:rPr>
        <w:t>Councillor Hollywood</w:t>
      </w:r>
    </w:p>
    <w:p w14:paraId="58C8161B" w14:textId="77777777" w:rsidR="0039767B" w:rsidRDefault="0039767B" w:rsidP="0039767B">
      <w:pPr>
        <w:rPr>
          <w:rFonts w:cs="Arial"/>
        </w:rPr>
      </w:pPr>
    </w:p>
    <w:p w14:paraId="0F04E599" w14:textId="71D2A166" w:rsidR="0039767B" w:rsidRDefault="0039767B" w:rsidP="0039767B">
      <w:pPr>
        <w:rPr>
          <w:rFonts w:cs="Arial"/>
        </w:rPr>
      </w:pPr>
      <w:r w:rsidRPr="00837CE9">
        <w:rPr>
          <w:rFonts w:cs="Arial"/>
          <w:b/>
          <w:bCs/>
        </w:rPr>
        <w:t>Alderm</w:t>
      </w:r>
      <w:r>
        <w:rPr>
          <w:rFonts w:cs="Arial"/>
          <w:b/>
          <w:bCs/>
        </w:rPr>
        <w:t>e</w:t>
      </w:r>
      <w:r w:rsidRPr="00837CE9">
        <w:rPr>
          <w:rFonts w:cs="Arial"/>
          <w:b/>
          <w:bCs/>
        </w:rPr>
        <w:t>n:</w:t>
      </w:r>
      <w:r>
        <w:rPr>
          <w:rFonts w:cs="Arial"/>
        </w:rPr>
        <w:tab/>
      </w:r>
      <w:r>
        <w:rPr>
          <w:rFonts w:cs="Arial"/>
        </w:rPr>
        <w:tab/>
        <w:t xml:space="preserve"> </w:t>
      </w:r>
      <w:r w:rsidR="005918FC">
        <w:rPr>
          <w:rFonts w:cs="Arial"/>
        </w:rPr>
        <w:t>Armstrong-Cotter</w:t>
      </w:r>
    </w:p>
    <w:p w14:paraId="49E8E59D" w14:textId="77777777" w:rsidR="0039767B" w:rsidRPr="000E2E0D" w:rsidRDefault="0039767B" w:rsidP="0039767B">
      <w:pPr>
        <w:rPr>
          <w:rFonts w:cs="Arial"/>
        </w:rPr>
      </w:pPr>
      <w:r>
        <w:rPr>
          <w:rFonts w:cs="Arial"/>
        </w:rPr>
        <w:tab/>
      </w:r>
      <w:r>
        <w:rPr>
          <w:rFonts w:cs="Arial"/>
        </w:rPr>
        <w:tab/>
      </w:r>
      <w:r>
        <w:rPr>
          <w:rFonts w:cs="Arial"/>
        </w:rPr>
        <w:tab/>
      </w:r>
      <w:r>
        <w:rPr>
          <w:rFonts w:cs="Arial"/>
        </w:rPr>
        <w:tab/>
      </w:r>
      <w:r>
        <w:rPr>
          <w:rFonts w:cs="Arial"/>
        </w:rPr>
        <w:tab/>
      </w:r>
    </w:p>
    <w:p w14:paraId="06E6EA0A" w14:textId="69A8D735" w:rsidR="005918FC" w:rsidRDefault="0039767B" w:rsidP="005918FC">
      <w:pPr>
        <w:rPr>
          <w:rFonts w:cs="Arial"/>
        </w:rPr>
      </w:pPr>
      <w:r>
        <w:rPr>
          <w:rFonts w:cs="Arial"/>
          <w:b/>
          <w:bCs/>
        </w:rPr>
        <w:t>Councillors:</w:t>
      </w:r>
      <w:r>
        <w:rPr>
          <w:rFonts w:cs="Arial"/>
          <w:b/>
          <w:bCs/>
        </w:rPr>
        <w:tab/>
      </w:r>
      <w:r w:rsidR="005918FC">
        <w:rPr>
          <w:rFonts w:cs="Arial"/>
          <w:b/>
          <w:bCs/>
        </w:rPr>
        <w:tab/>
      </w:r>
      <w:r w:rsidR="005918FC">
        <w:rPr>
          <w:rFonts w:cs="Arial"/>
        </w:rPr>
        <w:t>Harbinson</w:t>
      </w:r>
      <w:r w:rsidR="005918FC">
        <w:rPr>
          <w:rFonts w:cs="Arial"/>
        </w:rPr>
        <w:tab/>
        <w:t>McKee (Zoom)</w:t>
      </w:r>
    </w:p>
    <w:p w14:paraId="5EFFD2D0" w14:textId="58E79A05" w:rsidR="0039767B" w:rsidRDefault="005918FC" w:rsidP="005918FC">
      <w:pPr>
        <w:rPr>
          <w:rFonts w:cs="Arial"/>
        </w:rPr>
      </w:pPr>
      <w:r>
        <w:rPr>
          <w:rFonts w:cs="Arial"/>
        </w:rPr>
        <w:tab/>
      </w:r>
      <w:r>
        <w:rPr>
          <w:rFonts w:cs="Arial"/>
        </w:rPr>
        <w:tab/>
      </w:r>
      <w:r>
        <w:rPr>
          <w:rFonts w:cs="Arial"/>
        </w:rPr>
        <w:tab/>
        <w:t>McCollum</w:t>
      </w:r>
      <w:r>
        <w:rPr>
          <w:rFonts w:cs="Arial"/>
        </w:rPr>
        <w:tab/>
        <w:t>Wray</w:t>
      </w:r>
    </w:p>
    <w:p w14:paraId="299DA779" w14:textId="254A3439" w:rsidR="0039767B" w:rsidRDefault="005918FC" w:rsidP="0039767B">
      <w:pPr>
        <w:rPr>
          <w:rFonts w:cs="Arial"/>
        </w:rPr>
      </w:pPr>
      <w:r>
        <w:rPr>
          <w:rFonts w:cs="Arial"/>
        </w:rPr>
        <w:tab/>
      </w:r>
      <w:r>
        <w:rPr>
          <w:rFonts w:cs="Arial"/>
        </w:rPr>
        <w:tab/>
      </w:r>
      <w:r w:rsidR="0039767B">
        <w:rPr>
          <w:rFonts w:cs="Arial"/>
        </w:rPr>
        <w:tab/>
      </w:r>
      <w:r w:rsidR="0039767B">
        <w:rPr>
          <w:rFonts w:cs="Arial"/>
        </w:rPr>
        <w:tab/>
      </w:r>
      <w:r w:rsidR="0039767B">
        <w:rPr>
          <w:rFonts w:cs="Arial"/>
        </w:rPr>
        <w:tab/>
        <w:t xml:space="preserve"> </w:t>
      </w:r>
    </w:p>
    <w:p w14:paraId="202EA407" w14:textId="77777777" w:rsidR="0039767B" w:rsidRDefault="0039767B" w:rsidP="0039767B">
      <w:pPr>
        <w:rPr>
          <w:rFonts w:cs="Arial"/>
        </w:rPr>
      </w:pPr>
      <w:r w:rsidRPr="00CE4FA2">
        <w:rPr>
          <w:rFonts w:cs="Arial"/>
          <w:b/>
          <w:bCs/>
        </w:rPr>
        <w:t>Independent Member:</w:t>
      </w:r>
      <w:r>
        <w:rPr>
          <w:rFonts w:cs="Arial"/>
        </w:rPr>
        <w:t xml:space="preserve"> Mr P Cummings</w:t>
      </w:r>
    </w:p>
    <w:p w14:paraId="38575691" w14:textId="77777777" w:rsidR="0039767B" w:rsidRPr="000A416A" w:rsidRDefault="0039767B" w:rsidP="0039767B">
      <w:pPr>
        <w:rPr>
          <w:rFonts w:cs="Arial"/>
        </w:rPr>
      </w:pPr>
      <w:r>
        <w:rPr>
          <w:rFonts w:cs="Arial"/>
        </w:rPr>
        <w:tab/>
      </w:r>
    </w:p>
    <w:p w14:paraId="5F1F272C" w14:textId="2B02D3E9" w:rsidR="0039767B" w:rsidRPr="00CE4FA2" w:rsidRDefault="0039767B" w:rsidP="0039767B">
      <w:pPr>
        <w:tabs>
          <w:tab w:val="left" w:pos="2184"/>
          <w:tab w:val="left" w:pos="5387"/>
        </w:tabs>
        <w:rPr>
          <w:rFonts w:cs="Arial"/>
        </w:rPr>
      </w:pPr>
      <w:r w:rsidRPr="000A416A">
        <w:rPr>
          <w:rFonts w:cs="Arial"/>
          <w:b/>
        </w:rPr>
        <w:t>In Attendance</w:t>
      </w:r>
      <w:r>
        <w:rPr>
          <w:rFonts w:cs="Arial"/>
          <w:b/>
        </w:rPr>
        <w:t>:</w:t>
      </w:r>
      <w:r>
        <w:rPr>
          <w:rFonts w:cs="Arial"/>
          <w:b/>
        </w:rPr>
        <w:tab/>
      </w:r>
      <w:r>
        <w:rPr>
          <w:rFonts w:cs="Arial"/>
        </w:rPr>
        <w:t>NIAO -</w:t>
      </w:r>
      <w:r w:rsidR="00701D92">
        <w:rPr>
          <w:rFonts w:cs="Arial"/>
        </w:rPr>
        <w:t xml:space="preserve"> </w:t>
      </w:r>
      <w:r w:rsidR="005918FC">
        <w:rPr>
          <w:rFonts w:cs="Arial"/>
        </w:rPr>
        <w:t>Brian O’Neill</w:t>
      </w:r>
    </w:p>
    <w:p w14:paraId="1EEA847A" w14:textId="77777777" w:rsidR="0039767B" w:rsidRDefault="0039767B" w:rsidP="0039767B">
      <w:pPr>
        <w:tabs>
          <w:tab w:val="left" w:pos="2184"/>
          <w:tab w:val="left" w:pos="5387"/>
        </w:tabs>
        <w:rPr>
          <w:rFonts w:cs="Arial"/>
        </w:rPr>
      </w:pPr>
    </w:p>
    <w:p w14:paraId="25E90C32" w14:textId="64052C50" w:rsidR="0039767B" w:rsidRDefault="0039767B" w:rsidP="0039767B">
      <w:pPr>
        <w:ind w:left="2160" w:hanging="2160"/>
        <w:rPr>
          <w:rFonts w:cs="Arial"/>
        </w:rPr>
      </w:pPr>
      <w:r w:rsidRPr="000A416A">
        <w:rPr>
          <w:rFonts w:cs="Arial"/>
          <w:b/>
        </w:rPr>
        <w:t>Officers:</w:t>
      </w:r>
      <w:r w:rsidRPr="000A416A">
        <w:rPr>
          <w:rFonts w:cs="Arial"/>
          <w:b/>
        </w:rPr>
        <w:tab/>
      </w:r>
      <w:r>
        <w:rPr>
          <w:rFonts w:cs="Arial"/>
          <w:bCs/>
        </w:rPr>
        <w:t xml:space="preserve">Chief Executive (S McCullough), </w:t>
      </w:r>
      <w:r>
        <w:rPr>
          <w:rFonts w:cs="Arial"/>
        </w:rPr>
        <w:t xml:space="preserve">Director of Corporate Services (M Steele), </w:t>
      </w:r>
      <w:r w:rsidR="005918FC">
        <w:rPr>
          <w:rFonts w:cs="Arial"/>
        </w:rPr>
        <w:t xml:space="preserve">Director of Community &amp; Wellbeing (G Bannister), </w:t>
      </w:r>
      <w:r w:rsidRPr="00946759">
        <w:rPr>
          <w:rFonts w:cs="Arial"/>
        </w:rPr>
        <w:t>Head of Finance (S Grieve)</w:t>
      </w:r>
      <w:r>
        <w:rPr>
          <w:rFonts w:cs="Arial"/>
        </w:rPr>
        <w:t xml:space="preserve">, </w:t>
      </w:r>
      <w:r w:rsidRPr="00946759">
        <w:rPr>
          <w:rFonts w:cs="Arial"/>
        </w:rPr>
        <w:t>and Democratic Services Officer (</w:t>
      </w:r>
      <w:r>
        <w:rPr>
          <w:rFonts w:cs="Arial"/>
        </w:rPr>
        <w:t>P Foster</w:t>
      </w:r>
      <w:r w:rsidRPr="00946759">
        <w:rPr>
          <w:rFonts w:cs="Arial"/>
        </w:rPr>
        <w:t>)</w:t>
      </w:r>
    </w:p>
    <w:p w14:paraId="7AB784AE" w14:textId="77777777" w:rsidR="003D2CB6" w:rsidRPr="000A416A" w:rsidRDefault="003D2CB6" w:rsidP="0039767B">
      <w:pPr>
        <w:ind w:left="2160" w:hanging="2160"/>
      </w:pPr>
    </w:p>
    <w:p w14:paraId="3A35349C" w14:textId="77777777" w:rsidR="0039767B" w:rsidRPr="0039767B" w:rsidRDefault="0039767B" w:rsidP="0039767B">
      <w:pPr>
        <w:pStyle w:val="Heading1"/>
        <w:rPr>
          <w:rFonts w:cs="Arial"/>
          <w:b w:val="0"/>
          <w:bCs/>
          <w:color w:val="auto"/>
          <w:szCs w:val="28"/>
        </w:rPr>
      </w:pPr>
      <w:r w:rsidRPr="0039767B">
        <w:rPr>
          <w:rFonts w:cs="Arial"/>
          <w:bCs/>
          <w:color w:val="auto"/>
          <w:szCs w:val="28"/>
        </w:rPr>
        <w:t>1.</w:t>
      </w:r>
      <w:r w:rsidRPr="0039767B">
        <w:rPr>
          <w:rFonts w:cs="Arial"/>
          <w:bCs/>
          <w:color w:val="auto"/>
          <w:szCs w:val="28"/>
        </w:rPr>
        <w:tab/>
      </w:r>
      <w:r w:rsidRPr="0039767B">
        <w:rPr>
          <w:rFonts w:ascii="Arial Bold" w:hAnsi="Arial Bold" w:cs="Arial"/>
          <w:bCs/>
          <w:caps/>
          <w:color w:val="auto"/>
          <w:szCs w:val="28"/>
          <w:u w:val="single"/>
        </w:rPr>
        <w:t>Apologies</w:t>
      </w:r>
    </w:p>
    <w:p w14:paraId="2630076F" w14:textId="77777777" w:rsidR="0039767B" w:rsidRDefault="0039767B" w:rsidP="0039767B">
      <w:pPr>
        <w:tabs>
          <w:tab w:val="left" w:pos="567"/>
        </w:tabs>
        <w:rPr>
          <w:rFonts w:cs="Arial"/>
          <w:b/>
          <w:caps/>
          <w:sz w:val="28"/>
          <w:szCs w:val="28"/>
        </w:rPr>
      </w:pPr>
    </w:p>
    <w:p w14:paraId="1B9A0119" w14:textId="3A572FE9" w:rsidR="0039767B" w:rsidRPr="00477119" w:rsidRDefault="0039767B" w:rsidP="0039767B">
      <w:pPr>
        <w:tabs>
          <w:tab w:val="left" w:pos="567"/>
        </w:tabs>
        <w:rPr>
          <w:rFonts w:cs="Arial"/>
          <w:bCs/>
        </w:rPr>
      </w:pPr>
      <w:r>
        <w:rPr>
          <w:rFonts w:cs="Arial"/>
          <w:bCs/>
          <w:caps/>
        </w:rPr>
        <w:t>T</w:t>
      </w:r>
      <w:r>
        <w:rPr>
          <w:rFonts w:cs="Arial"/>
          <w:bCs/>
        </w:rPr>
        <w:t>he Chairman (Councillor Hollywood) sought apologies at this stage.</w:t>
      </w:r>
    </w:p>
    <w:p w14:paraId="7E28D267" w14:textId="77777777" w:rsidR="0039767B" w:rsidRPr="000A416A" w:rsidRDefault="0039767B" w:rsidP="0039767B">
      <w:pPr>
        <w:tabs>
          <w:tab w:val="left" w:pos="567"/>
        </w:tabs>
        <w:rPr>
          <w:rFonts w:cs="Arial"/>
          <w:b/>
          <w:caps/>
          <w:sz w:val="28"/>
          <w:szCs w:val="28"/>
        </w:rPr>
      </w:pPr>
    </w:p>
    <w:p w14:paraId="7F1CADB4" w14:textId="292D537F" w:rsidR="0039767B" w:rsidRDefault="0039767B" w:rsidP="0039767B">
      <w:pPr>
        <w:tabs>
          <w:tab w:val="left" w:pos="567"/>
        </w:tabs>
        <w:rPr>
          <w:rFonts w:cs="Arial"/>
        </w:rPr>
      </w:pPr>
      <w:r>
        <w:rPr>
          <w:rFonts w:cs="Arial"/>
        </w:rPr>
        <w:t>Apologies were received from</w:t>
      </w:r>
      <w:r w:rsidR="009D3D17">
        <w:rPr>
          <w:rFonts w:cs="Arial"/>
        </w:rPr>
        <w:t xml:space="preserve"> </w:t>
      </w:r>
      <w:r w:rsidR="00B23725">
        <w:rPr>
          <w:rFonts w:cs="Arial"/>
        </w:rPr>
        <w:t>Councillor</w:t>
      </w:r>
      <w:r w:rsidR="005918FC">
        <w:rPr>
          <w:rFonts w:cs="Arial"/>
        </w:rPr>
        <w:t>s</w:t>
      </w:r>
      <w:r w:rsidR="00B23725">
        <w:rPr>
          <w:rFonts w:cs="Arial"/>
        </w:rPr>
        <w:t xml:space="preserve"> </w:t>
      </w:r>
      <w:r w:rsidR="005918FC">
        <w:rPr>
          <w:rFonts w:cs="Arial"/>
        </w:rPr>
        <w:t xml:space="preserve">Ashe, Cochrane, </w:t>
      </w:r>
      <w:r w:rsidR="00B23725">
        <w:rPr>
          <w:rFonts w:cs="Arial"/>
        </w:rPr>
        <w:t>McLaren</w:t>
      </w:r>
      <w:r w:rsidR="008C6786">
        <w:rPr>
          <w:rFonts w:cs="Arial"/>
        </w:rPr>
        <w:t xml:space="preserve"> </w:t>
      </w:r>
      <w:r w:rsidR="005918FC">
        <w:rPr>
          <w:rFonts w:cs="Arial"/>
        </w:rPr>
        <w:t xml:space="preserve">and Thompson. Further apologies had also been received from </w:t>
      </w:r>
      <w:r w:rsidR="00240C28">
        <w:rPr>
          <w:rFonts w:cs="Arial"/>
        </w:rPr>
        <w:t xml:space="preserve">the </w:t>
      </w:r>
      <w:r w:rsidR="009D3D17">
        <w:rPr>
          <w:rFonts w:cs="Arial"/>
        </w:rPr>
        <w:t>Deloitte representatives</w:t>
      </w:r>
      <w:r>
        <w:rPr>
          <w:rFonts w:cs="Arial"/>
        </w:rPr>
        <w:t>.</w:t>
      </w:r>
    </w:p>
    <w:p w14:paraId="286B2357" w14:textId="77777777" w:rsidR="0039767B" w:rsidRDefault="0039767B" w:rsidP="0039767B">
      <w:pPr>
        <w:tabs>
          <w:tab w:val="left" w:pos="567"/>
        </w:tabs>
        <w:rPr>
          <w:rFonts w:cs="Arial"/>
        </w:rPr>
      </w:pPr>
    </w:p>
    <w:p w14:paraId="313778E1" w14:textId="77777777" w:rsidR="0039767B" w:rsidRDefault="0039767B" w:rsidP="0039767B">
      <w:pPr>
        <w:tabs>
          <w:tab w:val="left" w:pos="567"/>
        </w:tabs>
        <w:rPr>
          <w:rFonts w:cs="Arial"/>
        </w:rPr>
      </w:pPr>
      <w:r w:rsidRPr="000A416A">
        <w:rPr>
          <w:rFonts w:cs="Arial"/>
          <w:b/>
        </w:rPr>
        <w:t>NOTED.</w:t>
      </w:r>
      <w:r w:rsidRPr="000A416A">
        <w:rPr>
          <w:rFonts w:cs="Arial"/>
        </w:rPr>
        <w:t xml:space="preserve"> </w:t>
      </w:r>
    </w:p>
    <w:p w14:paraId="23CD3B2D" w14:textId="77777777" w:rsidR="003D2CB6" w:rsidRPr="000A416A" w:rsidRDefault="003D2CB6" w:rsidP="0039767B">
      <w:pPr>
        <w:tabs>
          <w:tab w:val="left" w:pos="567"/>
        </w:tabs>
        <w:rPr>
          <w:rFonts w:cs="Arial"/>
        </w:rPr>
      </w:pPr>
    </w:p>
    <w:p w14:paraId="379743F3" w14:textId="65A1B922" w:rsidR="0039767B" w:rsidRPr="00D1281B" w:rsidRDefault="0039767B" w:rsidP="00D1281B">
      <w:pPr>
        <w:pStyle w:val="Heading1"/>
        <w:rPr>
          <w:rFonts w:cs="Arial"/>
          <w:b w:val="0"/>
          <w:bCs/>
          <w:color w:val="auto"/>
          <w:szCs w:val="28"/>
        </w:rPr>
      </w:pPr>
      <w:r w:rsidRPr="0039767B">
        <w:rPr>
          <w:rFonts w:cs="Arial"/>
          <w:bCs/>
          <w:color w:val="auto"/>
          <w:szCs w:val="28"/>
        </w:rPr>
        <w:t>2.</w:t>
      </w:r>
      <w:r w:rsidRPr="0039767B">
        <w:rPr>
          <w:rFonts w:cs="Arial"/>
          <w:bCs/>
          <w:color w:val="auto"/>
          <w:szCs w:val="28"/>
        </w:rPr>
        <w:tab/>
      </w:r>
      <w:r w:rsidRPr="00D1281B">
        <w:rPr>
          <w:rFonts w:ascii="Arial Bold" w:hAnsi="Arial Bold" w:cs="Arial"/>
          <w:bCs/>
          <w:caps/>
          <w:color w:val="auto"/>
          <w:szCs w:val="28"/>
          <w:u w:val="single"/>
        </w:rPr>
        <w:t>Declarations of Interest</w:t>
      </w:r>
    </w:p>
    <w:p w14:paraId="411684DD" w14:textId="77777777" w:rsidR="0039767B" w:rsidRPr="000A416A" w:rsidRDefault="0039767B" w:rsidP="0039767B"/>
    <w:p w14:paraId="17F3E5FC" w14:textId="77777777" w:rsidR="0039767B" w:rsidRDefault="0039767B" w:rsidP="0039767B">
      <w:r w:rsidRPr="000A416A">
        <w:t xml:space="preserve">The Chairman asked for any </w:t>
      </w:r>
      <w:r>
        <w:t>D</w:t>
      </w:r>
      <w:r w:rsidRPr="000A416A">
        <w:t xml:space="preserve">eclarations of </w:t>
      </w:r>
      <w:r>
        <w:t>I</w:t>
      </w:r>
      <w:r w:rsidRPr="000A416A">
        <w:t>nterest</w:t>
      </w:r>
      <w:r>
        <w:t xml:space="preserve"> and none were declared.</w:t>
      </w:r>
    </w:p>
    <w:p w14:paraId="02CAA3E8" w14:textId="77777777" w:rsidR="0039767B" w:rsidRDefault="0039767B" w:rsidP="0039767B"/>
    <w:p w14:paraId="32FEA6F7" w14:textId="77777777" w:rsidR="0039767B" w:rsidRDefault="0039767B" w:rsidP="0039767B">
      <w:r w:rsidRPr="000A416A">
        <w:rPr>
          <w:b/>
        </w:rPr>
        <w:t>NOTED.</w:t>
      </w:r>
      <w:r w:rsidRPr="000A416A">
        <w:t xml:space="preserve"> </w:t>
      </w:r>
    </w:p>
    <w:p w14:paraId="3A36D414" w14:textId="77777777" w:rsidR="003D2CB6" w:rsidRPr="00D51DAD" w:rsidRDefault="003D2CB6" w:rsidP="0039767B"/>
    <w:p w14:paraId="46F40F91" w14:textId="7B6DA801" w:rsidR="0039767B" w:rsidRPr="0039767B" w:rsidRDefault="00D1281B" w:rsidP="0039767B">
      <w:pPr>
        <w:pStyle w:val="Heading1"/>
        <w:ind w:left="720" w:hanging="720"/>
        <w:rPr>
          <w:rFonts w:ascii="Arial Bold" w:hAnsi="Arial Bold" w:cs="Arial" w:hint="eastAsia"/>
          <w:b w:val="0"/>
          <w:bCs/>
          <w:caps/>
          <w:color w:val="auto"/>
          <w:szCs w:val="28"/>
          <w:u w:val="single"/>
        </w:rPr>
      </w:pPr>
      <w:r>
        <w:rPr>
          <w:rFonts w:cs="Arial"/>
          <w:bCs/>
          <w:color w:val="auto"/>
          <w:szCs w:val="28"/>
        </w:rPr>
        <w:t>3</w:t>
      </w:r>
      <w:r w:rsidR="0039767B" w:rsidRPr="0039767B">
        <w:rPr>
          <w:rFonts w:cs="Arial"/>
          <w:bCs/>
          <w:color w:val="auto"/>
          <w:szCs w:val="28"/>
        </w:rPr>
        <w:t>.</w:t>
      </w:r>
      <w:r w:rsidR="0039767B" w:rsidRPr="0039767B">
        <w:rPr>
          <w:rFonts w:cs="Arial"/>
          <w:bCs/>
          <w:color w:val="auto"/>
          <w:szCs w:val="28"/>
        </w:rPr>
        <w:tab/>
      </w:r>
      <w:r>
        <w:rPr>
          <w:rFonts w:ascii="Arial Bold" w:hAnsi="Arial Bold" w:cs="Arial"/>
          <w:bCs/>
          <w:caps/>
          <w:color w:val="auto"/>
          <w:szCs w:val="28"/>
          <w:u w:val="single"/>
        </w:rPr>
        <w:t>MINUTES OF Audit committee dated 23 september 2024</w:t>
      </w:r>
      <w:r w:rsidR="0039767B" w:rsidRPr="0039767B">
        <w:rPr>
          <w:rFonts w:ascii="Arial Bold" w:hAnsi="Arial Bold" w:cs="Arial"/>
          <w:bCs/>
          <w:caps/>
          <w:color w:val="auto"/>
          <w:szCs w:val="28"/>
          <w:u w:val="single"/>
        </w:rPr>
        <w:t xml:space="preserve"> </w:t>
      </w:r>
    </w:p>
    <w:p w14:paraId="30729D32" w14:textId="77777777" w:rsidR="0039767B" w:rsidRDefault="0039767B" w:rsidP="0039767B"/>
    <w:p w14:paraId="69EDEF68" w14:textId="31133D63" w:rsidR="0039767B" w:rsidRDefault="0039767B" w:rsidP="0039767B">
      <w:r w:rsidRPr="00B32EF2">
        <w:rPr>
          <w:caps/>
        </w:rPr>
        <w:t>Previously circulated</w:t>
      </w:r>
      <w:r>
        <w:t xml:space="preserve">:- </w:t>
      </w:r>
      <w:r w:rsidR="00D1281B">
        <w:t>Copy of minutes of Audit Committee dated 23 September 2024</w:t>
      </w:r>
      <w:r>
        <w:t xml:space="preserve">. </w:t>
      </w:r>
    </w:p>
    <w:p w14:paraId="68065D98" w14:textId="77777777" w:rsidR="0039767B" w:rsidRDefault="0039767B" w:rsidP="0039767B"/>
    <w:p w14:paraId="574170E0" w14:textId="5E725917" w:rsidR="0039767B" w:rsidRDefault="0039767B" w:rsidP="0039767B">
      <w:pPr>
        <w:rPr>
          <w:b/>
        </w:rPr>
      </w:pPr>
      <w:r>
        <w:rPr>
          <w:b/>
        </w:rPr>
        <w:t xml:space="preserve">AGREED TO RECOMMEND, on the proposal of </w:t>
      </w:r>
      <w:r w:rsidR="005918FC">
        <w:rPr>
          <w:b/>
        </w:rPr>
        <w:t>Councillor McCollum</w:t>
      </w:r>
      <w:r>
        <w:rPr>
          <w:b/>
        </w:rPr>
        <w:t xml:space="preserve">, seconded by </w:t>
      </w:r>
      <w:r w:rsidR="005918FC">
        <w:rPr>
          <w:b/>
        </w:rPr>
        <w:t>Councillor Harbinson</w:t>
      </w:r>
      <w:r>
        <w:rPr>
          <w:b/>
        </w:rPr>
        <w:t xml:space="preserve">, that the minutes be noted. </w:t>
      </w:r>
    </w:p>
    <w:p w14:paraId="741A6B84" w14:textId="77777777" w:rsidR="0039767B" w:rsidRDefault="0039767B" w:rsidP="0039767B">
      <w:pPr>
        <w:rPr>
          <w:b/>
          <w:bCs/>
        </w:rPr>
      </w:pPr>
      <w:bookmarkStart w:id="0" w:name="_Hlk146011915"/>
    </w:p>
    <w:p w14:paraId="24693D80" w14:textId="77777777" w:rsidR="003D2CB6" w:rsidRDefault="003D2CB6" w:rsidP="0039767B">
      <w:pPr>
        <w:rPr>
          <w:rFonts w:ascii="Arial Bold" w:hAnsi="Arial Bold"/>
          <w:b/>
          <w:caps/>
          <w:sz w:val="28"/>
          <w:szCs w:val="28"/>
          <w:u w:val="single"/>
        </w:rPr>
      </w:pPr>
    </w:p>
    <w:p w14:paraId="7D722381" w14:textId="77777777" w:rsidR="003D2CB6" w:rsidRDefault="003D2CB6" w:rsidP="0039767B">
      <w:pPr>
        <w:rPr>
          <w:rFonts w:ascii="Arial Bold" w:hAnsi="Arial Bold"/>
          <w:b/>
          <w:caps/>
          <w:sz w:val="28"/>
          <w:szCs w:val="28"/>
          <w:u w:val="single"/>
        </w:rPr>
      </w:pPr>
    </w:p>
    <w:p w14:paraId="08A6B959" w14:textId="77777777" w:rsidR="003D2CB6" w:rsidRDefault="003D2CB6" w:rsidP="0039767B">
      <w:pPr>
        <w:rPr>
          <w:rFonts w:ascii="Arial Bold" w:hAnsi="Arial Bold"/>
          <w:b/>
          <w:caps/>
          <w:sz w:val="28"/>
          <w:szCs w:val="28"/>
          <w:u w:val="single"/>
        </w:rPr>
      </w:pPr>
    </w:p>
    <w:p w14:paraId="07FAEDBD" w14:textId="4D95D8B0" w:rsidR="00D1281B" w:rsidRPr="00D1281B" w:rsidRDefault="00D1281B" w:rsidP="0039767B">
      <w:pPr>
        <w:rPr>
          <w:rFonts w:ascii="Arial Bold" w:hAnsi="Arial Bold"/>
          <w:b/>
          <w:caps/>
          <w:sz w:val="28"/>
          <w:szCs w:val="28"/>
          <w:u w:val="single"/>
        </w:rPr>
      </w:pPr>
      <w:r w:rsidRPr="00D1281B">
        <w:rPr>
          <w:rFonts w:ascii="Arial Bold" w:hAnsi="Arial Bold"/>
          <w:b/>
          <w:caps/>
          <w:sz w:val="28"/>
          <w:szCs w:val="28"/>
          <w:u w:val="single"/>
        </w:rPr>
        <w:t>Report</w:t>
      </w:r>
      <w:r w:rsidR="00864732">
        <w:rPr>
          <w:rFonts w:ascii="Arial Bold" w:hAnsi="Arial Bold"/>
          <w:b/>
          <w:caps/>
          <w:sz w:val="28"/>
          <w:szCs w:val="28"/>
          <w:u w:val="single"/>
        </w:rPr>
        <w:t>s</w:t>
      </w:r>
      <w:r w:rsidRPr="00D1281B">
        <w:rPr>
          <w:rFonts w:ascii="Arial Bold" w:hAnsi="Arial Bold"/>
          <w:b/>
          <w:caps/>
          <w:sz w:val="28"/>
          <w:szCs w:val="28"/>
          <w:u w:val="single"/>
        </w:rPr>
        <w:t xml:space="preserve"> for Noting</w:t>
      </w:r>
    </w:p>
    <w:p w14:paraId="343207D8" w14:textId="77777777" w:rsidR="00D1281B" w:rsidRDefault="00D1281B" w:rsidP="0039767B">
      <w:pPr>
        <w:rPr>
          <w:b/>
          <w:u w:val="single"/>
        </w:rPr>
      </w:pPr>
    </w:p>
    <w:p w14:paraId="52C190F5" w14:textId="4C69A9C6" w:rsidR="00D1281B" w:rsidRDefault="00D1281B" w:rsidP="00AE13D3">
      <w:pPr>
        <w:pStyle w:val="Heading1"/>
        <w:ind w:left="720" w:hanging="720"/>
        <w:rPr>
          <w:b w:val="0"/>
        </w:rPr>
      </w:pPr>
      <w:r>
        <w:t>4.</w:t>
      </w:r>
      <w:r>
        <w:tab/>
      </w:r>
      <w:r w:rsidRPr="00AE13D3">
        <w:rPr>
          <w:u w:val="single"/>
        </w:rPr>
        <w:t>MATTERS ARISING FROM PREVIOUS AUDIT COMMITTEE: LEISURE SERVICES CONTRACTURAL ARRANGEMENTS</w:t>
      </w:r>
      <w:r w:rsidR="008C6786" w:rsidRPr="00AE13D3">
        <w:rPr>
          <w:u w:val="single"/>
        </w:rPr>
        <w:t xml:space="preserve"> (FILE FIN65)</w:t>
      </w:r>
      <w:r>
        <w:t xml:space="preserve"> </w:t>
      </w:r>
    </w:p>
    <w:p w14:paraId="5DAAE9B0" w14:textId="77777777" w:rsidR="00D1281B" w:rsidRDefault="00D1281B" w:rsidP="00D1281B">
      <w:pPr>
        <w:ind w:left="720" w:hanging="720"/>
        <w:rPr>
          <w:b/>
          <w:sz w:val="28"/>
          <w:szCs w:val="28"/>
          <w:u w:val="single"/>
        </w:rPr>
      </w:pPr>
    </w:p>
    <w:p w14:paraId="3B7A3A91" w14:textId="29410329" w:rsidR="00864732" w:rsidRDefault="00D1281B" w:rsidP="00864732">
      <w:pPr>
        <w:rPr>
          <w:rFonts w:cs="Arial"/>
        </w:rPr>
      </w:pPr>
      <w:r w:rsidRPr="00B32EF2">
        <w:rPr>
          <w:caps/>
        </w:rPr>
        <w:t>Previously circulated</w:t>
      </w:r>
      <w:r>
        <w:t xml:space="preserve">:- Report from the Director of Corporate Services </w:t>
      </w:r>
      <w:r w:rsidR="00864732">
        <w:rPr>
          <w:rFonts w:cs="Arial"/>
        </w:rPr>
        <w:t>detailing that its purpose was to</w:t>
      </w:r>
      <w:r w:rsidR="00864732" w:rsidRPr="00F00945">
        <w:rPr>
          <w:rFonts w:cs="Arial"/>
        </w:rPr>
        <w:t xml:space="preserve"> provide </w:t>
      </w:r>
      <w:r w:rsidR="00864732">
        <w:rPr>
          <w:rFonts w:cs="Arial"/>
        </w:rPr>
        <w:t>m</w:t>
      </w:r>
      <w:r w:rsidR="00864732" w:rsidRPr="00F00945">
        <w:rPr>
          <w:rFonts w:cs="Arial"/>
        </w:rPr>
        <w:t>embers of the Audit Committee with the following:</w:t>
      </w:r>
    </w:p>
    <w:p w14:paraId="216392D1" w14:textId="77777777" w:rsidR="00864732" w:rsidRPr="00F00945" w:rsidRDefault="00864732" w:rsidP="00864732">
      <w:pPr>
        <w:rPr>
          <w:rFonts w:cs="Arial"/>
        </w:rPr>
      </w:pPr>
    </w:p>
    <w:p w14:paraId="5B259C2C" w14:textId="3E22FD3C" w:rsidR="00864732" w:rsidRPr="00F00945" w:rsidRDefault="00864732" w:rsidP="00864732">
      <w:pPr>
        <w:pStyle w:val="ListParagraph"/>
        <w:numPr>
          <w:ilvl w:val="0"/>
          <w:numId w:val="10"/>
        </w:numPr>
        <w:suppressAutoHyphens w:val="0"/>
        <w:autoSpaceDN/>
        <w:textAlignment w:val="auto"/>
        <w:rPr>
          <w:rFonts w:cs="Arial"/>
        </w:rPr>
      </w:pPr>
      <w:r w:rsidRPr="00F00945">
        <w:rPr>
          <w:rFonts w:cs="Arial"/>
        </w:rPr>
        <w:t xml:space="preserve">Outline the background to the Council decision which resulted in the appointment of </w:t>
      </w:r>
      <w:r>
        <w:rPr>
          <w:rFonts w:cs="Arial"/>
        </w:rPr>
        <w:t>Northern Community Leisure Trust (</w:t>
      </w:r>
      <w:r w:rsidRPr="00F00945">
        <w:rPr>
          <w:rFonts w:cs="Arial"/>
        </w:rPr>
        <w:t>NCLT</w:t>
      </w:r>
      <w:r>
        <w:rPr>
          <w:rFonts w:cs="Arial"/>
        </w:rPr>
        <w:t>)</w:t>
      </w:r>
    </w:p>
    <w:p w14:paraId="4CE53979" w14:textId="77777777" w:rsidR="00864732" w:rsidRPr="00F00945" w:rsidRDefault="00864732" w:rsidP="00864732">
      <w:pPr>
        <w:pStyle w:val="ListParagraph"/>
        <w:numPr>
          <w:ilvl w:val="0"/>
          <w:numId w:val="10"/>
        </w:numPr>
        <w:suppressAutoHyphens w:val="0"/>
        <w:autoSpaceDN/>
        <w:textAlignment w:val="auto"/>
        <w:rPr>
          <w:rFonts w:cs="Arial"/>
        </w:rPr>
      </w:pPr>
      <w:r w:rsidRPr="00F00945">
        <w:rPr>
          <w:rFonts w:cs="Arial"/>
        </w:rPr>
        <w:t>Provide further details on the contractual arrangements</w:t>
      </w:r>
    </w:p>
    <w:p w14:paraId="10DAA99B" w14:textId="77777777" w:rsidR="00864732" w:rsidRPr="00F00945" w:rsidRDefault="00864732" w:rsidP="00864732">
      <w:pPr>
        <w:pStyle w:val="ListParagraph"/>
        <w:numPr>
          <w:ilvl w:val="0"/>
          <w:numId w:val="10"/>
        </w:numPr>
        <w:suppressAutoHyphens w:val="0"/>
        <w:autoSpaceDN/>
        <w:textAlignment w:val="auto"/>
        <w:rPr>
          <w:rFonts w:cs="Arial"/>
          <w:b/>
          <w:bCs/>
        </w:rPr>
      </w:pPr>
      <w:r w:rsidRPr="00F00945">
        <w:rPr>
          <w:rFonts w:cs="Arial"/>
        </w:rPr>
        <w:t>Provide a management response to the audit finding</w:t>
      </w:r>
    </w:p>
    <w:p w14:paraId="00CFEEE9" w14:textId="77777777" w:rsidR="002D2ED7" w:rsidRDefault="002D2ED7" w:rsidP="002229F6">
      <w:pPr>
        <w:pStyle w:val="Normal0"/>
      </w:pPr>
    </w:p>
    <w:p w14:paraId="032FF5D3" w14:textId="37CE4F96" w:rsidR="00864732" w:rsidRPr="00864732" w:rsidRDefault="00864732" w:rsidP="002229F6">
      <w:pPr>
        <w:pStyle w:val="Normal0"/>
        <w:rPr>
          <w:rFonts w:cs="Arial"/>
          <w:b/>
          <w:bCs/>
          <w:sz w:val="24"/>
          <w:szCs w:val="24"/>
        </w:rPr>
      </w:pPr>
      <w:r w:rsidRPr="00864732">
        <w:rPr>
          <w:rFonts w:cs="Arial"/>
          <w:b/>
          <w:bCs/>
          <w:sz w:val="24"/>
          <w:szCs w:val="24"/>
        </w:rPr>
        <w:t>Chronology</w:t>
      </w:r>
    </w:p>
    <w:p w14:paraId="61F65AD8" w14:textId="77777777" w:rsidR="00864732" w:rsidRPr="00F00945" w:rsidRDefault="00864732" w:rsidP="002229F6">
      <w:pPr>
        <w:pStyle w:val="Normal0"/>
      </w:pPr>
    </w:p>
    <w:p w14:paraId="4307FD58" w14:textId="3D558D88" w:rsidR="00864732" w:rsidRPr="00F00945" w:rsidRDefault="00864732" w:rsidP="00864732">
      <w:pPr>
        <w:rPr>
          <w:rFonts w:cs="Arial"/>
        </w:rPr>
      </w:pPr>
      <w:r w:rsidRPr="00F00945">
        <w:rPr>
          <w:rFonts w:cs="Arial"/>
        </w:rPr>
        <w:t xml:space="preserve">It </w:t>
      </w:r>
      <w:r>
        <w:rPr>
          <w:rFonts w:cs="Arial"/>
        </w:rPr>
        <w:t>wa</w:t>
      </w:r>
      <w:r w:rsidRPr="00F00945">
        <w:rPr>
          <w:rFonts w:cs="Arial"/>
        </w:rPr>
        <w:t>s important to state from the outset, that none of the existing Senior Management team either worked for the Council</w:t>
      </w:r>
      <w:r>
        <w:rPr>
          <w:rFonts w:cs="Arial"/>
        </w:rPr>
        <w:t xml:space="preserve"> </w:t>
      </w:r>
      <w:r w:rsidRPr="00F00945">
        <w:rPr>
          <w:rFonts w:cs="Arial"/>
        </w:rPr>
        <w:t xml:space="preserve">or were directly involved with the process undertaken which concluded in 2012.  Therefore, much of the historic information </w:t>
      </w:r>
      <w:r>
        <w:rPr>
          <w:rFonts w:cs="Arial"/>
        </w:rPr>
        <w:t>wa</w:t>
      </w:r>
      <w:r w:rsidRPr="00F00945">
        <w:rPr>
          <w:rFonts w:cs="Arial"/>
        </w:rPr>
        <w:t>s obtained from the review of Council papers and meeting minutes from that time rather than from first</w:t>
      </w:r>
      <w:r>
        <w:rPr>
          <w:rFonts w:cs="Arial"/>
        </w:rPr>
        <w:t>-</w:t>
      </w:r>
      <w:r w:rsidRPr="00F00945">
        <w:rPr>
          <w:rFonts w:cs="Arial"/>
        </w:rPr>
        <w:t>hand experience.  For background, the table below set out the chronology.</w:t>
      </w:r>
    </w:p>
    <w:p w14:paraId="248EE087" w14:textId="77777777" w:rsidR="00864732" w:rsidRPr="00F00945" w:rsidRDefault="00864732" w:rsidP="00864732">
      <w:pPr>
        <w:rPr>
          <w:rFonts w:cs="Arial"/>
        </w:rPr>
      </w:pPr>
    </w:p>
    <w:tbl>
      <w:tblPr>
        <w:tblStyle w:val="GridTable6Colorful-Accent1"/>
        <w:tblW w:w="9000" w:type="dxa"/>
        <w:tblLook w:val="0600" w:firstRow="0" w:lastRow="0" w:firstColumn="0" w:lastColumn="0" w:noHBand="1" w:noVBand="1"/>
      </w:tblPr>
      <w:tblGrid>
        <w:gridCol w:w="2250"/>
        <w:gridCol w:w="6750"/>
      </w:tblGrid>
      <w:tr w:rsidR="00864732" w:rsidRPr="00F00945" w14:paraId="54CC8CA8" w14:textId="77777777" w:rsidTr="00637B2B">
        <w:trPr>
          <w:trHeight w:val="300"/>
          <w:tblHeader/>
        </w:trPr>
        <w:tc>
          <w:tcPr>
            <w:tcW w:w="2250" w:type="dxa"/>
            <w:hideMark/>
          </w:tcPr>
          <w:p w14:paraId="1848606E" w14:textId="77777777" w:rsidR="00864732" w:rsidRPr="00F00945" w:rsidRDefault="00864732" w:rsidP="00864732">
            <w:pPr>
              <w:rPr>
                <w:rFonts w:cs="Arial"/>
                <w:color w:val="000000" w:themeColor="text1"/>
              </w:rPr>
            </w:pPr>
            <w:r w:rsidRPr="00F00945">
              <w:rPr>
                <w:rFonts w:cs="Arial"/>
                <w:i/>
                <w:iCs/>
                <w:color w:val="000000" w:themeColor="text1"/>
              </w:rPr>
              <w:t>November 2010</w:t>
            </w:r>
            <w:r w:rsidRPr="00F00945">
              <w:rPr>
                <w:rFonts w:cs="Arial"/>
                <w:color w:val="000000" w:themeColor="text1"/>
              </w:rPr>
              <w:t> </w:t>
            </w:r>
          </w:p>
          <w:p w14:paraId="2BA81715" w14:textId="77777777" w:rsidR="00864732" w:rsidRPr="00F00945" w:rsidRDefault="00864732" w:rsidP="00864732">
            <w:pPr>
              <w:rPr>
                <w:rFonts w:cs="Arial"/>
                <w:color w:val="000000" w:themeColor="text1"/>
              </w:rPr>
            </w:pPr>
            <w:r w:rsidRPr="00F00945">
              <w:rPr>
                <w:rFonts w:cs="Arial"/>
                <w:i/>
                <w:iCs/>
                <w:color w:val="000000" w:themeColor="text1"/>
              </w:rPr>
              <w:t>(Policy Committee)</w:t>
            </w:r>
            <w:r w:rsidRPr="00F00945">
              <w:rPr>
                <w:rFonts w:cs="Arial"/>
                <w:color w:val="000000" w:themeColor="text1"/>
              </w:rPr>
              <w:t> </w:t>
            </w:r>
          </w:p>
        </w:tc>
        <w:tc>
          <w:tcPr>
            <w:tcW w:w="6750" w:type="dxa"/>
            <w:hideMark/>
          </w:tcPr>
          <w:p w14:paraId="6A8A402A" w14:textId="77777777" w:rsidR="00864732" w:rsidRPr="00F00945" w:rsidRDefault="00864732" w:rsidP="00864732">
            <w:pPr>
              <w:spacing w:after="120"/>
              <w:rPr>
                <w:rFonts w:cs="Arial"/>
                <w:color w:val="000000" w:themeColor="text1"/>
              </w:rPr>
            </w:pPr>
            <w:r w:rsidRPr="00F00945">
              <w:rPr>
                <w:rFonts w:cs="Arial"/>
                <w:color w:val="000000" w:themeColor="text1"/>
              </w:rPr>
              <w:t xml:space="preserve">Council approved an Options Appraisal to be undertaken into the best method of management and operation of the new Leisure Centre in Bangor.   </w:t>
            </w:r>
          </w:p>
        </w:tc>
      </w:tr>
      <w:tr w:rsidR="00864732" w:rsidRPr="00F00945" w14:paraId="4B3C19F0" w14:textId="77777777" w:rsidTr="00637B2B">
        <w:trPr>
          <w:trHeight w:val="300"/>
        </w:trPr>
        <w:tc>
          <w:tcPr>
            <w:tcW w:w="2250" w:type="dxa"/>
            <w:hideMark/>
          </w:tcPr>
          <w:p w14:paraId="463CFD78" w14:textId="77777777" w:rsidR="00864732" w:rsidRPr="00F00945" w:rsidRDefault="00864732" w:rsidP="00864732">
            <w:pPr>
              <w:rPr>
                <w:rFonts w:cs="Arial"/>
                <w:color w:val="000000" w:themeColor="text1"/>
              </w:rPr>
            </w:pPr>
            <w:r w:rsidRPr="00F00945">
              <w:rPr>
                <w:rFonts w:cs="Arial"/>
                <w:i/>
                <w:iCs/>
                <w:color w:val="000000" w:themeColor="text1"/>
              </w:rPr>
              <w:t>June 2011</w:t>
            </w:r>
            <w:r w:rsidRPr="00F00945">
              <w:rPr>
                <w:rFonts w:cs="Arial"/>
                <w:color w:val="000000" w:themeColor="text1"/>
              </w:rPr>
              <w:t> </w:t>
            </w:r>
          </w:p>
          <w:p w14:paraId="2CD4C8C6" w14:textId="77777777" w:rsidR="00864732" w:rsidRPr="00F00945" w:rsidRDefault="00864732" w:rsidP="00864732">
            <w:pPr>
              <w:rPr>
                <w:rFonts w:cs="Arial"/>
                <w:color w:val="000000" w:themeColor="text1"/>
              </w:rPr>
            </w:pPr>
            <w:r w:rsidRPr="00F00945">
              <w:rPr>
                <w:rFonts w:cs="Arial"/>
                <w:i/>
                <w:iCs/>
                <w:color w:val="000000" w:themeColor="text1"/>
              </w:rPr>
              <w:t>(Policy Committee)</w:t>
            </w:r>
            <w:r w:rsidRPr="00F00945">
              <w:rPr>
                <w:rFonts w:cs="Arial"/>
                <w:color w:val="000000" w:themeColor="text1"/>
              </w:rPr>
              <w:t> </w:t>
            </w:r>
          </w:p>
        </w:tc>
        <w:tc>
          <w:tcPr>
            <w:tcW w:w="6750" w:type="dxa"/>
            <w:hideMark/>
          </w:tcPr>
          <w:p w14:paraId="7A272825" w14:textId="77777777" w:rsidR="00864732" w:rsidRPr="00F00945" w:rsidRDefault="00864732" w:rsidP="00864732">
            <w:pPr>
              <w:spacing w:after="120"/>
              <w:rPr>
                <w:rFonts w:cs="Arial"/>
                <w:color w:val="000000" w:themeColor="text1"/>
              </w:rPr>
            </w:pPr>
            <w:r w:rsidRPr="00F00945">
              <w:rPr>
                <w:rFonts w:cs="Arial"/>
                <w:color w:val="000000" w:themeColor="text1"/>
              </w:rPr>
              <w:t>Policy committee reviewed business case and agreed on an option to commence the outsourcing process. </w:t>
            </w:r>
          </w:p>
        </w:tc>
      </w:tr>
      <w:tr w:rsidR="00864732" w:rsidRPr="00F00945" w14:paraId="29BC1C45" w14:textId="77777777" w:rsidTr="00637B2B">
        <w:trPr>
          <w:trHeight w:val="1245"/>
        </w:trPr>
        <w:tc>
          <w:tcPr>
            <w:tcW w:w="2250" w:type="dxa"/>
            <w:hideMark/>
          </w:tcPr>
          <w:p w14:paraId="5BBBE7D3" w14:textId="77777777" w:rsidR="00864732" w:rsidRPr="00F00945" w:rsidRDefault="00864732" w:rsidP="00864732">
            <w:pPr>
              <w:rPr>
                <w:rFonts w:cs="Arial"/>
                <w:color w:val="000000" w:themeColor="text1"/>
              </w:rPr>
            </w:pPr>
            <w:r w:rsidRPr="00F00945">
              <w:rPr>
                <w:rFonts w:cs="Arial"/>
                <w:i/>
                <w:iCs/>
                <w:color w:val="000000" w:themeColor="text1"/>
              </w:rPr>
              <w:t>September 2011</w:t>
            </w:r>
            <w:r w:rsidRPr="00F00945">
              <w:rPr>
                <w:rFonts w:cs="Arial"/>
                <w:color w:val="000000" w:themeColor="text1"/>
              </w:rPr>
              <w:t> </w:t>
            </w:r>
          </w:p>
        </w:tc>
        <w:tc>
          <w:tcPr>
            <w:tcW w:w="6750" w:type="dxa"/>
            <w:hideMark/>
          </w:tcPr>
          <w:p w14:paraId="52B9691C" w14:textId="77777777" w:rsidR="00864732" w:rsidRPr="00F00945" w:rsidRDefault="00864732" w:rsidP="00864732">
            <w:pPr>
              <w:pStyle w:val="ListParagraph"/>
              <w:numPr>
                <w:ilvl w:val="0"/>
                <w:numId w:val="11"/>
              </w:numPr>
              <w:suppressAutoHyphens w:val="0"/>
              <w:autoSpaceDN/>
              <w:spacing w:after="120"/>
              <w:contextualSpacing w:val="0"/>
              <w:textAlignment w:val="auto"/>
              <w:rPr>
                <w:rFonts w:cs="Arial"/>
                <w:color w:val="000000" w:themeColor="text1"/>
              </w:rPr>
            </w:pPr>
            <w:r w:rsidRPr="00F00945">
              <w:rPr>
                <w:rFonts w:cs="Arial"/>
                <w:color w:val="000000" w:themeColor="text1"/>
              </w:rPr>
              <w:t>Open day held for prospective contractors. </w:t>
            </w:r>
          </w:p>
          <w:p w14:paraId="2E0240BF" w14:textId="77777777" w:rsidR="00864732" w:rsidRPr="00F00945" w:rsidRDefault="00864732" w:rsidP="00864732">
            <w:pPr>
              <w:numPr>
                <w:ilvl w:val="0"/>
                <w:numId w:val="11"/>
              </w:numPr>
              <w:suppressAutoHyphens w:val="0"/>
              <w:autoSpaceDN/>
              <w:spacing w:after="120"/>
              <w:textAlignment w:val="auto"/>
              <w:rPr>
                <w:rFonts w:cs="Arial"/>
                <w:color w:val="000000" w:themeColor="text1"/>
              </w:rPr>
            </w:pPr>
            <w:r w:rsidRPr="00F00945">
              <w:rPr>
                <w:rFonts w:cs="Arial"/>
                <w:color w:val="000000" w:themeColor="text1"/>
              </w:rPr>
              <w:t>Contract notice issued. </w:t>
            </w:r>
          </w:p>
          <w:p w14:paraId="277AB69B" w14:textId="77777777" w:rsidR="00864732" w:rsidRPr="00F00945" w:rsidRDefault="00864732" w:rsidP="00864732">
            <w:pPr>
              <w:numPr>
                <w:ilvl w:val="0"/>
                <w:numId w:val="11"/>
              </w:numPr>
              <w:suppressAutoHyphens w:val="0"/>
              <w:autoSpaceDN/>
              <w:spacing w:after="120"/>
              <w:textAlignment w:val="auto"/>
              <w:rPr>
                <w:rFonts w:cs="Arial"/>
                <w:color w:val="000000" w:themeColor="text1"/>
              </w:rPr>
            </w:pPr>
            <w:r w:rsidRPr="00F00945">
              <w:rPr>
                <w:rFonts w:cs="Arial"/>
                <w:color w:val="000000" w:themeColor="text1"/>
              </w:rPr>
              <w:t>Procurement pre-qualification questionnaire (PQQ) was issued. </w:t>
            </w:r>
          </w:p>
        </w:tc>
      </w:tr>
      <w:tr w:rsidR="00864732" w:rsidRPr="00F00945" w14:paraId="084E6B23" w14:textId="77777777" w:rsidTr="00637B2B">
        <w:trPr>
          <w:trHeight w:val="300"/>
        </w:trPr>
        <w:tc>
          <w:tcPr>
            <w:tcW w:w="2250" w:type="dxa"/>
            <w:hideMark/>
          </w:tcPr>
          <w:p w14:paraId="3095533E" w14:textId="77777777" w:rsidR="00864732" w:rsidRPr="00F00945" w:rsidRDefault="00864732" w:rsidP="00864732">
            <w:pPr>
              <w:rPr>
                <w:rFonts w:cs="Arial"/>
                <w:color w:val="000000" w:themeColor="text1"/>
              </w:rPr>
            </w:pPr>
            <w:r w:rsidRPr="00F00945">
              <w:rPr>
                <w:rFonts w:cs="Arial"/>
                <w:i/>
                <w:iCs/>
                <w:color w:val="000000" w:themeColor="text1"/>
              </w:rPr>
              <w:t>October 2011</w:t>
            </w:r>
            <w:r w:rsidRPr="00F00945">
              <w:rPr>
                <w:rFonts w:cs="Arial"/>
                <w:color w:val="000000" w:themeColor="text1"/>
              </w:rPr>
              <w:t> </w:t>
            </w:r>
          </w:p>
        </w:tc>
        <w:tc>
          <w:tcPr>
            <w:tcW w:w="6750" w:type="dxa"/>
            <w:hideMark/>
          </w:tcPr>
          <w:p w14:paraId="6BA732A2" w14:textId="77777777" w:rsidR="00864732" w:rsidRPr="00F00945" w:rsidRDefault="00864732" w:rsidP="00864732">
            <w:pPr>
              <w:spacing w:after="120"/>
              <w:rPr>
                <w:rFonts w:cs="Arial"/>
                <w:color w:val="000000" w:themeColor="text1"/>
              </w:rPr>
            </w:pPr>
            <w:r w:rsidRPr="00F00945">
              <w:rPr>
                <w:rFonts w:cs="Arial"/>
                <w:color w:val="000000" w:themeColor="text1"/>
              </w:rPr>
              <w:t>Four applications received and PQQ assessment panel assessed the four applications. </w:t>
            </w:r>
          </w:p>
        </w:tc>
      </w:tr>
      <w:tr w:rsidR="00864732" w:rsidRPr="00F00945" w14:paraId="2036266A" w14:textId="77777777" w:rsidTr="00637B2B">
        <w:trPr>
          <w:trHeight w:val="300"/>
        </w:trPr>
        <w:tc>
          <w:tcPr>
            <w:tcW w:w="2250" w:type="dxa"/>
            <w:hideMark/>
          </w:tcPr>
          <w:p w14:paraId="4370E1FA" w14:textId="77777777" w:rsidR="00864732" w:rsidRPr="00F00945" w:rsidRDefault="00864732" w:rsidP="00864732">
            <w:pPr>
              <w:rPr>
                <w:rFonts w:cs="Arial"/>
                <w:i/>
                <w:iCs/>
                <w:color w:val="000000" w:themeColor="text1"/>
              </w:rPr>
            </w:pPr>
            <w:r w:rsidRPr="00F00945">
              <w:rPr>
                <w:rFonts w:cs="Arial"/>
                <w:i/>
                <w:iCs/>
                <w:color w:val="000000" w:themeColor="text1"/>
              </w:rPr>
              <w:t>November 2011</w:t>
            </w:r>
          </w:p>
          <w:p w14:paraId="5C99F981" w14:textId="77777777" w:rsidR="00864732" w:rsidRPr="00F00945" w:rsidRDefault="00864732" w:rsidP="00864732">
            <w:pPr>
              <w:rPr>
                <w:rFonts w:cs="Arial"/>
                <w:color w:val="000000" w:themeColor="text1"/>
              </w:rPr>
            </w:pPr>
            <w:r w:rsidRPr="00F00945">
              <w:rPr>
                <w:rFonts w:cs="Arial"/>
                <w:i/>
                <w:iCs/>
                <w:color w:val="000000" w:themeColor="text1"/>
              </w:rPr>
              <w:t>(Policy Committee)</w:t>
            </w:r>
            <w:r w:rsidRPr="00F00945">
              <w:rPr>
                <w:rFonts w:cs="Arial"/>
                <w:color w:val="000000" w:themeColor="text1"/>
              </w:rPr>
              <w:t> </w:t>
            </w:r>
          </w:p>
        </w:tc>
        <w:tc>
          <w:tcPr>
            <w:tcW w:w="6750" w:type="dxa"/>
            <w:hideMark/>
          </w:tcPr>
          <w:p w14:paraId="1A05A0DC" w14:textId="77777777" w:rsidR="00864732" w:rsidRPr="00F00945" w:rsidRDefault="00864732" w:rsidP="00864732">
            <w:pPr>
              <w:numPr>
                <w:ilvl w:val="0"/>
                <w:numId w:val="7"/>
              </w:numPr>
              <w:suppressAutoHyphens w:val="0"/>
              <w:autoSpaceDN/>
              <w:spacing w:after="120"/>
              <w:textAlignment w:val="auto"/>
              <w:rPr>
                <w:rFonts w:cs="Arial"/>
                <w:color w:val="000000" w:themeColor="text1"/>
              </w:rPr>
            </w:pPr>
            <w:r w:rsidRPr="00F00945">
              <w:rPr>
                <w:rFonts w:cs="Arial"/>
                <w:color w:val="000000" w:themeColor="text1"/>
              </w:rPr>
              <w:t>The Policy Committee agreed that the four applicants progress to the next stage. </w:t>
            </w:r>
          </w:p>
          <w:p w14:paraId="64F8C6FA" w14:textId="77777777" w:rsidR="00864732" w:rsidRPr="00F00945" w:rsidRDefault="00864732" w:rsidP="00864732">
            <w:pPr>
              <w:numPr>
                <w:ilvl w:val="0"/>
                <w:numId w:val="8"/>
              </w:numPr>
              <w:suppressAutoHyphens w:val="0"/>
              <w:autoSpaceDN/>
              <w:spacing w:after="120"/>
              <w:textAlignment w:val="auto"/>
              <w:rPr>
                <w:rFonts w:cs="Arial"/>
                <w:color w:val="000000" w:themeColor="text1"/>
              </w:rPr>
            </w:pPr>
            <w:r w:rsidRPr="00F00945">
              <w:rPr>
                <w:rFonts w:cs="Arial"/>
                <w:color w:val="000000" w:themeColor="text1"/>
              </w:rPr>
              <w:t>Council approved the draft PQQ evaluation report which recommended that the four companies proceed to the next stage. </w:t>
            </w:r>
          </w:p>
          <w:p w14:paraId="36F6415C" w14:textId="77777777" w:rsidR="00864732" w:rsidRPr="00F00945" w:rsidRDefault="00864732" w:rsidP="00864732">
            <w:pPr>
              <w:numPr>
                <w:ilvl w:val="0"/>
                <w:numId w:val="9"/>
              </w:numPr>
              <w:suppressAutoHyphens w:val="0"/>
              <w:autoSpaceDN/>
              <w:spacing w:after="120"/>
              <w:textAlignment w:val="auto"/>
              <w:rPr>
                <w:rFonts w:cs="Arial"/>
                <w:color w:val="000000" w:themeColor="text1"/>
              </w:rPr>
            </w:pPr>
            <w:r w:rsidRPr="00F00945">
              <w:rPr>
                <w:rFonts w:cs="Arial"/>
                <w:color w:val="000000" w:themeColor="text1"/>
              </w:rPr>
              <w:t>One company subsequently withdrew. </w:t>
            </w:r>
          </w:p>
        </w:tc>
      </w:tr>
      <w:tr w:rsidR="00864732" w:rsidRPr="00F00945" w14:paraId="02D1BEF5" w14:textId="77777777" w:rsidTr="00637B2B">
        <w:trPr>
          <w:trHeight w:val="300"/>
        </w:trPr>
        <w:tc>
          <w:tcPr>
            <w:tcW w:w="2250" w:type="dxa"/>
            <w:hideMark/>
          </w:tcPr>
          <w:p w14:paraId="586C68A1" w14:textId="77777777" w:rsidR="00864732" w:rsidRPr="00F00945" w:rsidRDefault="00864732" w:rsidP="00864732">
            <w:pPr>
              <w:rPr>
                <w:rFonts w:cs="Arial"/>
                <w:color w:val="000000" w:themeColor="text1"/>
              </w:rPr>
            </w:pPr>
            <w:r w:rsidRPr="00F00945">
              <w:rPr>
                <w:rFonts w:cs="Arial"/>
                <w:i/>
                <w:iCs/>
                <w:color w:val="000000" w:themeColor="text1"/>
              </w:rPr>
              <w:t>January 2012</w:t>
            </w:r>
            <w:r w:rsidRPr="00F00945">
              <w:rPr>
                <w:rFonts w:cs="Arial"/>
                <w:color w:val="000000" w:themeColor="text1"/>
              </w:rPr>
              <w:t> </w:t>
            </w:r>
          </w:p>
        </w:tc>
        <w:tc>
          <w:tcPr>
            <w:tcW w:w="6750" w:type="dxa"/>
            <w:hideMark/>
          </w:tcPr>
          <w:p w14:paraId="51F6C433" w14:textId="77777777" w:rsidR="00864732" w:rsidRPr="00F00945" w:rsidRDefault="00864732" w:rsidP="00864732">
            <w:pPr>
              <w:spacing w:after="120"/>
              <w:rPr>
                <w:rFonts w:cs="Arial"/>
                <w:color w:val="000000" w:themeColor="text1"/>
              </w:rPr>
            </w:pPr>
            <w:r w:rsidRPr="00F00945">
              <w:rPr>
                <w:rFonts w:cs="Arial"/>
                <w:color w:val="000000" w:themeColor="text1"/>
              </w:rPr>
              <w:t>Final clarifications were issued. </w:t>
            </w:r>
          </w:p>
        </w:tc>
      </w:tr>
      <w:tr w:rsidR="00864732" w:rsidRPr="00F00945" w14:paraId="4D2DE081" w14:textId="77777777" w:rsidTr="00637B2B">
        <w:trPr>
          <w:trHeight w:val="300"/>
        </w:trPr>
        <w:tc>
          <w:tcPr>
            <w:tcW w:w="2250" w:type="dxa"/>
            <w:hideMark/>
          </w:tcPr>
          <w:p w14:paraId="43977C18" w14:textId="77777777" w:rsidR="00864732" w:rsidRPr="00F00945" w:rsidRDefault="00864732" w:rsidP="00864732">
            <w:pPr>
              <w:rPr>
                <w:rFonts w:cs="Arial"/>
                <w:color w:val="000000" w:themeColor="text1"/>
              </w:rPr>
            </w:pPr>
            <w:r w:rsidRPr="00F00945">
              <w:rPr>
                <w:rFonts w:cs="Arial"/>
                <w:i/>
                <w:iCs/>
                <w:color w:val="000000" w:themeColor="text1"/>
              </w:rPr>
              <w:lastRenderedPageBreak/>
              <w:t>July 2012</w:t>
            </w:r>
            <w:r w:rsidRPr="00F00945">
              <w:rPr>
                <w:rFonts w:cs="Arial"/>
                <w:color w:val="000000" w:themeColor="text1"/>
              </w:rPr>
              <w:t> </w:t>
            </w:r>
          </w:p>
        </w:tc>
        <w:tc>
          <w:tcPr>
            <w:tcW w:w="6750" w:type="dxa"/>
            <w:hideMark/>
          </w:tcPr>
          <w:p w14:paraId="25807C50" w14:textId="77777777" w:rsidR="00864732" w:rsidRPr="00F00945" w:rsidRDefault="00864732" w:rsidP="00864732">
            <w:pPr>
              <w:spacing w:after="120"/>
              <w:rPr>
                <w:rFonts w:cs="Arial"/>
                <w:color w:val="000000" w:themeColor="text1"/>
              </w:rPr>
            </w:pPr>
            <w:r w:rsidRPr="00F00945">
              <w:rPr>
                <w:rFonts w:cs="Arial"/>
                <w:color w:val="000000" w:themeColor="text1"/>
              </w:rPr>
              <w:t>Invitation issued to submit final tenders. </w:t>
            </w:r>
          </w:p>
        </w:tc>
      </w:tr>
      <w:tr w:rsidR="00864732" w:rsidRPr="00F00945" w14:paraId="3D5D725A" w14:textId="77777777" w:rsidTr="00637B2B">
        <w:trPr>
          <w:trHeight w:val="300"/>
        </w:trPr>
        <w:tc>
          <w:tcPr>
            <w:tcW w:w="2250" w:type="dxa"/>
            <w:hideMark/>
          </w:tcPr>
          <w:p w14:paraId="740A8DBA" w14:textId="77777777" w:rsidR="00864732" w:rsidRPr="00F00945" w:rsidRDefault="00864732" w:rsidP="00864732">
            <w:pPr>
              <w:rPr>
                <w:rFonts w:cs="Arial"/>
                <w:color w:val="000000" w:themeColor="text1"/>
              </w:rPr>
            </w:pPr>
            <w:r w:rsidRPr="00F00945">
              <w:rPr>
                <w:rFonts w:cs="Arial"/>
                <w:i/>
                <w:iCs/>
                <w:color w:val="000000" w:themeColor="text1"/>
              </w:rPr>
              <w:t>August 2012</w:t>
            </w:r>
            <w:r w:rsidRPr="00F00945">
              <w:rPr>
                <w:rFonts w:cs="Arial"/>
                <w:color w:val="000000" w:themeColor="text1"/>
              </w:rPr>
              <w:t> </w:t>
            </w:r>
          </w:p>
          <w:p w14:paraId="53EC02BE" w14:textId="77777777" w:rsidR="00864732" w:rsidRPr="00F00945" w:rsidRDefault="00864732" w:rsidP="00864732">
            <w:pPr>
              <w:rPr>
                <w:rFonts w:cs="Arial"/>
                <w:color w:val="000000" w:themeColor="text1"/>
              </w:rPr>
            </w:pPr>
            <w:r w:rsidRPr="00F00945">
              <w:rPr>
                <w:rFonts w:cs="Arial"/>
                <w:color w:val="000000" w:themeColor="text1"/>
              </w:rPr>
              <w:t>(Council Meeting)</w:t>
            </w:r>
          </w:p>
        </w:tc>
        <w:tc>
          <w:tcPr>
            <w:tcW w:w="6750" w:type="dxa"/>
            <w:hideMark/>
          </w:tcPr>
          <w:p w14:paraId="20321BB3" w14:textId="77777777" w:rsidR="00864732" w:rsidRPr="00F00945" w:rsidRDefault="00864732" w:rsidP="00864732">
            <w:pPr>
              <w:spacing w:after="120"/>
              <w:rPr>
                <w:rFonts w:cs="Arial"/>
                <w:color w:val="000000" w:themeColor="text1"/>
              </w:rPr>
            </w:pPr>
            <w:r w:rsidRPr="00F00945">
              <w:rPr>
                <w:rFonts w:cs="Arial"/>
                <w:color w:val="000000" w:themeColor="text1"/>
              </w:rPr>
              <w:t xml:space="preserve">The </w:t>
            </w:r>
            <w:r>
              <w:rPr>
                <w:rFonts w:cs="Arial"/>
                <w:color w:val="000000" w:themeColor="text1"/>
              </w:rPr>
              <w:t>NCLT</w:t>
            </w:r>
            <w:r w:rsidRPr="00F00945">
              <w:rPr>
                <w:rFonts w:cs="Arial"/>
                <w:color w:val="000000" w:themeColor="text1"/>
              </w:rPr>
              <w:t xml:space="preserve"> bid was approved at a special Council meeting. </w:t>
            </w:r>
          </w:p>
        </w:tc>
      </w:tr>
      <w:tr w:rsidR="00864732" w:rsidRPr="00F00945" w14:paraId="6EE44D2F" w14:textId="77777777" w:rsidTr="00637B2B">
        <w:trPr>
          <w:trHeight w:val="300"/>
        </w:trPr>
        <w:tc>
          <w:tcPr>
            <w:tcW w:w="2250" w:type="dxa"/>
            <w:hideMark/>
          </w:tcPr>
          <w:p w14:paraId="44F8B5BF" w14:textId="77777777" w:rsidR="00864732" w:rsidRPr="00F00945" w:rsidRDefault="00864732" w:rsidP="00864732">
            <w:pPr>
              <w:rPr>
                <w:rFonts w:cs="Arial"/>
                <w:color w:val="000000" w:themeColor="text1"/>
              </w:rPr>
            </w:pPr>
            <w:r w:rsidRPr="00F00945">
              <w:rPr>
                <w:rFonts w:cs="Arial"/>
                <w:i/>
                <w:iCs/>
                <w:color w:val="000000" w:themeColor="text1"/>
              </w:rPr>
              <w:t>September 2012</w:t>
            </w:r>
            <w:r w:rsidRPr="00F00945">
              <w:rPr>
                <w:rFonts w:cs="Arial"/>
                <w:color w:val="000000" w:themeColor="text1"/>
              </w:rPr>
              <w:t> </w:t>
            </w:r>
          </w:p>
        </w:tc>
        <w:tc>
          <w:tcPr>
            <w:tcW w:w="6750" w:type="dxa"/>
            <w:hideMark/>
          </w:tcPr>
          <w:p w14:paraId="14612C11" w14:textId="77777777" w:rsidR="00864732" w:rsidRPr="00F00945" w:rsidRDefault="00864732" w:rsidP="00864732">
            <w:pPr>
              <w:spacing w:after="120"/>
              <w:rPr>
                <w:rFonts w:cs="Arial"/>
                <w:color w:val="000000" w:themeColor="text1"/>
              </w:rPr>
            </w:pPr>
            <w:r w:rsidRPr="00F00945">
              <w:rPr>
                <w:rFonts w:cs="Arial"/>
                <w:color w:val="000000" w:themeColor="text1"/>
              </w:rPr>
              <w:t xml:space="preserve">Offer of contract was issued to </w:t>
            </w:r>
            <w:r>
              <w:rPr>
                <w:rFonts w:cs="Arial"/>
                <w:color w:val="000000" w:themeColor="text1"/>
              </w:rPr>
              <w:t>NCLT</w:t>
            </w:r>
            <w:r w:rsidRPr="00F00945">
              <w:rPr>
                <w:rFonts w:cs="Arial"/>
                <w:color w:val="000000" w:themeColor="text1"/>
              </w:rPr>
              <w:t>. </w:t>
            </w:r>
          </w:p>
        </w:tc>
      </w:tr>
      <w:tr w:rsidR="00864732" w:rsidRPr="00F00945" w14:paraId="51A32D4F" w14:textId="77777777" w:rsidTr="00637B2B">
        <w:trPr>
          <w:trHeight w:val="300"/>
        </w:trPr>
        <w:tc>
          <w:tcPr>
            <w:tcW w:w="2250" w:type="dxa"/>
            <w:hideMark/>
          </w:tcPr>
          <w:p w14:paraId="4771E914" w14:textId="77777777" w:rsidR="00864732" w:rsidRPr="00F00945" w:rsidRDefault="00864732" w:rsidP="00864732">
            <w:pPr>
              <w:rPr>
                <w:rFonts w:cs="Arial"/>
                <w:color w:val="000000" w:themeColor="text1"/>
              </w:rPr>
            </w:pPr>
            <w:r w:rsidRPr="00F00945">
              <w:rPr>
                <w:rFonts w:cs="Arial"/>
                <w:i/>
                <w:iCs/>
                <w:color w:val="000000" w:themeColor="text1"/>
              </w:rPr>
              <w:t>November 2012</w:t>
            </w:r>
            <w:r w:rsidRPr="00F00945">
              <w:rPr>
                <w:rFonts w:cs="Arial"/>
                <w:color w:val="000000" w:themeColor="text1"/>
              </w:rPr>
              <w:t> </w:t>
            </w:r>
          </w:p>
        </w:tc>
        <w:tc>
          <w:tcPr>
            <w:tcW w:w="6750" w:type="dxa"/>
            <w:hideMark/>
          </w:tcPr>
          <w:p w14:paraId="78077868" w14:textId="77777777" w:rsidR="00864732" w:rsidRPr="00F00945" w:rsidRDefault="00864732" w:rsidP="00864732">
            <w:pPr>
              <w:spacing w:after="120"/>
              <w:rPr>
                <w:rFonts w:cs="Arial"/>
                <w:color w:val="000000" w:themeColor="text1"/>
              </w:rPr>
            </w:pPr>
            <w:r w:rsidRPr="00F00945">
              <w:rPr>
                <w:rFonts w:cs="Arial"/>
                <w:color w:val="000000" w:themeColor="text1"/>
              </w:rPr>
              <w:t xml:space="preserve">Signed </w:t>
            </w:r>
            <w:r>
              <w:rPr>
                <w:rFonts w:cs="Arial"/>
                <w:color w:val="000000" w:themeColor="text1"/>
              </w:rPr>
              <w:t>NCLT</w:t>
            </w:r>
            <w:r w:rsidRPr="00F00945">
              <w:rPr>
                <w:rFonts w:cs="Arial"/>
                <w:color w:val="000000" w:themeColor="text1"/>
              </w:rPr>
              <w:t xml:space="preserve"> Leisure Management Services contract received. </w:t>
            </w:r>
          </w:p>
        </w:tc>
      </w:tr>
      <w:tr w:rsidR="00864732" w:rsidRPr="00F00945" w14:paraId="5FDC03A0" w14:textId="77777777" w:rsidTr="00637B2B">
        <w:trPr>
          <w:trHeight w:val="300"/>
        </w:trPr>
        <w:tc>
          <w:tcPr>
            <w:tcW w:w="2250" w:type="dxa"/>
            <w:hideMark/>
          </w:tcPr>
          <w:p w14:paraId="7C0E0F87" w14:textId="77777777" w:rsidR="00864732" w:rsidRPr="00F00945" w:rsidRDefault="00864732" w:rsidP="00864732">
            <w:pPr>
              <w:rPr>
                <w:rFonts w:cs="Arial"/>
                <w:color w:val="000000" w:themeColor="text1"/>
              </w:rPr>
            </w:pPr>
            <w:r w:rsidRPr="00F00945">
              <w:rPr>
                <w:rFonts w:cs="Arial"/>
                <w:i/>
                <w:iCs/>
                <w:color w:val="000000" w:themeColor="text1"/>
              </w:rPr>
              <w:t>December 2012 </w:t>
            </w:r>
            <w:r w:rsidRPr="00F00945">
              <w:rPr>
                <w:rFonts w:cs="Arial"/>
                <w:color w:val="000000" w:themeColor="text1"/>
              </w:rPr>
              <w:t> </w:t>
            </w:r>
          </w:p>
        </w:tc>
        <w:tc>
          <w:tcPr>
            <w:tcW w:w="6750" w:type="dxa"/>
            <w:hideMark/>
          </w:tcPr>
          <w:p w14:paraId="4276BA75" w14:textId="77777777" w:rsidR="00864732" w:rsidRPr="00F00945" w:rsidRDefault="00864732" w:rsidP="00864732">
            <w:pPr>
              <w:spacing w:after="120"/>
              <w:rPr>
                <w:rFonts w:cs="Arial"/>
                <w:color w:val="000000" w:themeColor="text1"/>
              </w:rPr>
            </w:pPr>
            <w:r w:rsidRPr="00F00945">
              <w:rPr>
                <w:rFonts w:cs="Arial"/>
                <w:color w:val="000000" w:themeColor="text1"/>
              </w:rPr>
              <w:t xml:space="preserve">Commencement of the </w:t>
            </w:r>
            <w:r>
              <w:rPr>
                <w:rFonts w:cs="Arial"/>
                <w:color w:val="000000" w:themeColor="text1"/>
              </w:rPr>
              <w:t>NCLT</w:t>
            </w:r>
            <w:r w:rsidRPr="00F00945">
              <w:rPr>
                <w:rFonts w:cs="Arial"/>
                <w:color w:val="000000" w:themeColor="text1"/>
              </w:rPr>
              <w:t xml:space="preserve"> contract. </w:t>
            </w:r>
          </w:p>
        </w:tc>
      </w:tr>
    </w:tbl>
    <w:p w14:paraId="16840B43" w14:textId="77777777" w:rsidR="00864732" w:rsidRPr="002229F6" w:rsidRDefault="00864732" w:rsidP="00864732">
      <w:pPr>
        <w:rPr>
          <w:rFonts w:cs="Arial"/>
        </w:rPr>
      </w:pPr>
      <w:r w:rsidRPr="002229F6">
        <w:rPr>
          <w:rFonts w:cs="Arial"/>
        </w:rPr>
        <w:t> </w:t>
      </w:r>
    </w:p>
    <w:p w14:paraId="62B0BFA9" w14:textId="77777777" w:rsidR="00864732" w:rsidRPr="002229F6" w:rsidRDefault="00864732" w:rsidP="002229F6">
      <w:pPr>
        <w:pStyle w:val="Normal0"/>
        <w:rPr>
          <w:sz w:val="24"/>
          <w:szCs w:val="24"/>
        </w:rPr>
      </w:pPr>
      <w:r w:rsidRPr="002229F6">
        <w:rPr>
          <w:sz w:val="24"/>
          <w:szCs w:val="24"/>
        </w:rPr>
        <w:t>Extracts from August 2012 Council Meeting</w:t>
      </w:r>
    </w:p>
    <w:p w14:paraId="31B5AAAF" w14:textId="77777777" w:rsidR="00864732" w:rsidRPr="002229F6" w:rsidRDefault="00864732" w:rsidP="002229F6">
      <w:pPr>
        <w:pStyle w:val="Normal0"/>
        <w:rPr>
          <w:sz w:val="24"/>
          <w:szCs w:val="24"/>
        </w:rPr>
      </w:pPr>
    </w:p>
    <w:p w14:paraId="2161D1D2" w14:textId="50DA028E" w:rsidR="00864732" w:rsidRPr="002229F6" w:rsidRDefault="00864732" w:rsidP="002229F6">
      <w:pPr>
        <w:pStyle w:val="Normal0"/>
        <w:rPr>
          <w:sz w:val="24"/>
          <w:szCs w:val="24"/>
        </w:rPr>
      </w:pPr>
      <w:r w:rsidRPr="002229F6">
        <w:rPr>
          <w:sz w:val="24"/>
          <w:szCs w:val="24"/>
        </w:rPr>
        <w:t>The following was an extract from the papers presented and included in the minutes of the meeting of the Council in August 2012 to appoint the preferred supplier:</w:t>
      </w:r>
    </w:p>
    <w:p w14:paraId="40BB1B63" w14:textId="77777777" w:rsidR="00864732" w:rsidRPr="00F00945" w:rsidRDefault="00864732" w:rsidP="00864732">
      <w:pPr>
        <w:ind w:right="12509"/>
        <w:rPr>
          <w:rFonts w:cs="Arial"/>
        </w:rPr>
      </w:pPr>
    </w:p>
    <w:p w14:paraId="65168459" w14:textId="77777777" w:rsidR="00864732" w:rsidRPr="00F00945" w:rsidRDefault="00864732" w:rsidP="00864732">
      <w:pPr>
        <w:ind w:right="95"/>
        <w:rPr>
          <w:rFonts w:cs="Arial"/>
          <w:i/>
          <w:iCs/>
        </w:rPr>
      </w:pPr>
      <w:r w:rsidRPr="00F00945">
        <w:rPr>
          <w:rFonts w:cs="Arial"/>
        </w:rPr>
        <w:t>“</w:t>
      </w:r>
      <w:r w:rsidRPr="00F00945">
        <w:rPr>
          <w:rFonts w:cs="Arial"/>
          <w:i/>
          <w:iCs/>
        </w:rPr>
        <w:t>At the outset, the primary reason for embarking on the process of tendering for a Management Contractor was to offset the risk of exceeding the budget, either by underachieving on income (viewed as the major risk) or over-spending. It was also anticipated that Management Contractors would deliver services at a lower net cost, thus creating a saving and a beneficial impact on the rates. The specification required the bidders to offer proposals which maximised income, controlled expenditure and transferred the commercial risk to the Contractor.</w:t>
      </w:r>
    </w:p>
    <w:p w14:paraId="2BE02CF0" w14:textId="77777777" w:rsidR="00864732" w:rsidRPr="00F00945" w:rsidRDefault="00864732" w:rsidP="00864732">
      <w:pPr>
        <w:ind w:right="567"/>
        <w:rPr>
          <w:rFonts w:cs="Arial"/>
          <w:i/>
          <w:iCs/>
        </w:rPr>
      </w:pPr>
    </w:p>
    <w:p w14:paraId="5228CE86" w14:textId="77777777" w:rsidR="00864732" w:rsidRPr="00F00945" w:rsidRDefault="00864732" w:rsidP="00864732">
      <w:pPr>
        <w:ind w:right="95"/>
        <w:rPr>
          <w:rFonts w:cs="Arial"/>
          <w:i/>
          <w:iCs/>
        </w:rPr>
      </w:pPr>
      <w:r w:rsidRPr="00F00945">
        <w:rPr>
          <w:rFonts w:cs="Arial"/>
          <w:i/>
          <w:iCs/>
        </w:rPr>
        <w:t>The financial evaluation of the tenders concentrated on the management fee proposed by the bidders based on a fixed annual payment. The tenders were also assessed in terms of how each bidder intended to maximise income and minimise costs, taking account of the Council’s requirements to ensure that the facilities and services were accessible for all sections of the community. Finally</w:t>
      </w:r>
      <w:r>
        <w:rPr>
          <w:rFonts w:cs="Arial"/>
          <w:i/>
          <w:iCs/>
        </w:rPr>
        <w:t>,</w:t>
      </w:r>
      <w:r w:rsidRPr="00F00945">
        <w:rPr>
          <w:rFonts w:cs="Arial"/>
          <w:i/>
          <w:iCs/>
        </w:rPr>
        <w:t xml:space="preserve"> each bidder was scored on how they proposed to share any surplus income they generated with the Council over the life of the contract.</w:t>
      </w:r>
    </w:p>
    <w:p w14:paraId="0287D4A2" w14:textId="77777777" w:rsidR="00864732" w:rsidRPr="00F00945" w:rsidRDefault="00864732" w:rsidP="00864732">
      <w:pPr>
        <w:ind w:right="567"/>
        <w:rPr>
          <w:rFonts w:cs="Arial"/>
          <w:i/>
          <w:iCs/>
        </w:rPr>
      </w:pPr>
      <w:r w:rsidRPr="00F00945">
        <w:rPr>
          <w:rFonts w:cs="Arial"/>
          <w:i/>
          <w:iCs/>
        </w:rPr>
        <w:t xml:space="preserve"> </w:t>
      </w:r>
    </w:p>
    <w:p w14:paraId="2FF4F82F" w14:textId="77777777" w:rsidR="00864732" w:rsidRPr="00F00945" w:rsidRDefault="00864732" w:rsidP="00864732">
      <w:pPr>
        <w:ind w:right="95"/>
        <w:rPr>
          <w:rFonts w:cs="Arial"/>
          <w:i/>
          <w:iCs/>
        </w:rPr>
      </w:pPr>
      <w:r w:rsidRPr="00F00945">
        <w:rPr>
          <w:rFonts w:cs="Arial"/>
          <w:i/>
          <w:iCs/>
        </w:rPr>
        <w:t>Each bidder was required to submit an income and expenditure projection over a 10</w:t>
      </w:r>
      <w:r>
        <w:rPr>
          <w:rFonts w:cs="Arial"/>
          <w:i/>
          <w:iCs/>
        </w:rPr>
        <w:t>-</w:t>
      </w:r>
      <w:r w:rsidRPr="00F00945">
        <w:rPr>
          <w:rFonts w:cs="Arial"/>
          <w:i/>
          <w:iCs/>
        </w:rPr>
        <w:t xml:space="preserve"> year period based on the requirements set out in the specification. They were also required to provide supplementary information setting out the rationale behind the financial projections.</w:t>
      </w:r>
    </w:p>
    <w:p w14:paraId="63E1F8CB" w14:textId="77777777" w:rsidR="00864732" w:rsidRPr="00F00945" w:rsidRDefault="00864732" w:rsidP="00864732">
      <w:pPr>
        <w:ind w:right="567"/>
        <w:rPr>
          <w:rFonts w:cs="Arial"/>
          <w:i/>
          <w:iCs/>
        </w:rPr>
      </w:pPr>
      <w:r w:rsidRPr="00F00945">
        <w:rPr>
          <w:rFonts w:cs="Arial"/>
          <w:i/>
          <w:iCs/>
        </w:rPr>
        <w:t xml:space="preserve"> </w:t>
      </w:r>
    </w:p>
    <w:p w14:paraId="6F126CCB" w14:textId="77777777" w:rsidR="00864732" w:rsidRPr="00F00945" w:rsidRDefault="00864732" w:rsidP="00864732">
      <w:pPr>
        <w:ind w:right="95"/>
        <w:rPr>
          <w:rFonts w:cs="Arial"/>
          <w:i/>
          <w:iCs/>
        </w:rPr>
      </w:pPr>
      <w:r w:rsidRPr="00F00945">
        <w:rPr>
          <w:rFonts w:cs="Arial"/>
          <w:i/>
          <w:iCs/>
        </w:rPr>
        <w:t>The financial templates and supporting information were scored using a weighted scoring method and scores were awarded using objective evidence and the professional judgement of the evaluation panel. The lowest management fee submitted was given full marks and the other bidders were scored in proportion to this based on their comparison to their management fee. The annual management fees proposed by the bidders were as set out in the table below:</w:t>
      </w:r>
    </w:p>
    <w:p w14:paraId="30E49AEA" w14:textId="77777777" w:rsidR="00864732" w:rsidRPr="00F00945" w:rsidRDefault="00864732" w:rsidP="00864732">
      <w:pPr>
        <w:rPr>
          <w:rFonts w:cs="Arial"/>
          <w:i/>
          <w:iCs/>
        </w:rPr>
      </w:pPr>
    </w:p>
    <w:tbl>
      <w:tblPr>
        <w:tblStyle w:val="ListTable3-Accent42"/>
        <w:tblW w:w="7920" w:type="dxa"/>
        <w:tblLook w:val="0620" w:firstRow="1" w:lastRow="0" w:firstColumn="0" w:lastColumn="0" w:noHBand="1" w:noVBand="1"/>
      </w:tblPr>
      <w:tblGrid>
        <w:gridCol w:w="2059"/>
        <w:gridCol w:w="2138"/>
        <w:gridCol w:w="1901"/>
        <w:gridCol w:w="1822"/>
      </w:tblGrid>
      <w:tr w:rsidR="00864732" w:rsidRPr="00F00945" w14:paraId="760348F4" w14:textId="77777777" w:rsidTr="00637B2B">
        <w:trPr>
          <w:cnfStyle w:val="100000000000" w:firstRow="1" w:lastRow="0" w:firstColumn="0" w:lastColumn="0" w:oddVBand="0" w:evenVBand="0" w:oddHBand="0" w:evenHBand="0" w:firstRowFirstColumn="0" w:firstRowLastColumn="0" w:lastRowFirstColumn="0" w:lastRowLastColumn="0"/>
        </w:trPr>
        <w:tc>
          <w:tcPr>
            <w:tcW w:w="1300" w:type="pct"/>
            <w:hideMark/>
          </w:tcPr>
          <w:p w14:paraId="4D17BD87" w14:textId="77777777" w:rsidR="00864732" w:rsidRPr="00F00945" w:rsidRDefault="00864732" w:rsidP="00864732">
            <w:pPr>
              <w:rPr>
                <w:rFonts w:cs="Arial"/>
                <w:i/>
                <w:iCs/>
              </w:rPr>
            </w:pPr>
            <w:r w:rsidRPr="00F00945">
              <w:rPr>
                <w:rFonts w:cs="Arial"/>
                <w:i/>
                <w:iCs/>
              </w:rPr>
              <w:t>Bidder X</w:t>
            </w:r>
          </w:p>
          <w:p w14:paraId="22CEB890" w14:textId="77777777" w:rsidR="00864732" w:rsidRPr="00F00945" w:rsidRDefault="00864732" w:rsidP="00864732">
            <w:pPr>
              <w:rPr>
                <w:rFonts w:cs="Arial"/>
                <w:i/>
                <w:iCs/>
                <w:vanish/>
              </w:rPr>
            </w:pPr>
          </w:p>
          <w:p w14:paraId="6F8B41F4" w14:textId="77777777" w:rsidR="00864732" w:rsidRPr="00F00945" w:rsidRDefault="00864732" w:rsidP="00864732">
            <w:pPr>
              <w:rPr>
                <w:rFonts w:cs="Arial"/>
                <w:i/>
                <w:iCs/>
              </w:rPr>
            </w:pPr>
          </w:p>
        </w:tc>
        <w:tc>
          <w:tcPr>
            <w:tcW w:w="1350" w:type="pct"/>
            <w:hideMark/>
          </w:tcPr>
          <w:p w14:paraId="4C6E1F15" w14:textId="77777777" w:rsidR="00864732" w:rsidRPr="00F00945" w:rsidRDefault="00864732" w:rsidP="00864732">
            <w:pPr>
              <w:rPr>
                <w:rFonts w:cs="Arial"/>
                <w:i/>
                <w:iCs/>
              </w:rPr>
            </w:pPr>
            <w:r w:rsidRPr="00F00945">
              <w:rPr>
                <w:rFonts w:cs="Arial"/>
                <w:i/>
                <w:iCs/>
              </w:rPr>
              <w:t>Bidder Z</w:t>
            </w:r>
          </w:p>
          <w:p w14:paraId="37AB42C5" w14:textId="77777777" w:rsidR="00864732" w:rsidRPr="00F00945" w:rsidRDefault="00864732" w:rsidP="00864732">
            <w:pPr>
              <w:rPr>
                <w:rFonts w:cs="Arial"/>
                <w:i/>
                <w:iCs/>
                <w:vanish/>
              </w:rPr>
            </w:pPr>
          </w:p>
          <w:p w14:paraId="402D46C0" w14:textId="77777777" w:rsidR="00864732" w:rsidRPr="00F00945" w:rsidRDefault="00864732" w:rsidP="00864732">
            <w:pPr>
              <w:rPr>
                <w:rFonts w:cs="Arial"/>
                <w:i/>
                <w:iCs/>
              </w:rPr>
            </w:pPr>
          </w:p>
        </w:tc>
        <w:tc>
          <w:tcPr>
            <w:tcW w:w="1200" w:type="pct"/>
            <w:hideMark/>
          </w:tcPr>
          <w:p w14:paraId="23FFFCA8" w14:textId="77777777" w:rsidR="00864732" w:rsidRPr="00F00945" w:rsidRDefault="00864732" w:rsidP="00864732">
            <w:pPr>
              <w:rPr>
                <w:rFonts w:cs="Arial"/>
                <w:i/>
                <w:iCs/>
              </w:rPr>
            </w:pPr>
            <w:r w:rsidRPr="00F00945">
              <w:rPr>
                <w:rFonts w:cs="Arial"/>
                <w:i/>
                <w:iCs/>
              </w:rPr>
              <w:t>Bidder Y</w:t>
            </w:r>
          </w:p>
          <w:p w14:paraId="2E8C88C2" w14:textId="77777777" w:rsidR="00864732" w:rsidRPr="00F00945" w:rsidRDefault="00864732" w:rsidP="00864732">
            <w:pPr>
              <w:rPr>
                <w:rFonts w:cs="Arial"/>
                <w:i/>
                <w:iCs/>
                <w:vanish/>
              </w:rPr>
            </w:pPr>
          </w:p>
          <w:p w14:paraId="60673824" w14:textId="77777777" w:rsidR="00864732" w:rsidRPr="00F00945" w:rsidRDefault="00864732" w:rsidP="00864732">
            <w:pPr>
              <w:rPr>
                <w:rFonts w:cs="Arial"/>
                <w:i/>
                <w:iCs/>
              </w:rPr>
            </w:pPr>
          </w:p>
        </w:tc>
        <w:tc>
          <w:tcPr>
            <w:tcW w:w="1150" w:type="pct"/>
            <w:hideMark/>
          </w:tcPr>
          <w:p w14:paraId="72E1A9B9" w14:textId="77777777" w:rsidR="00864732" w:rsidRPr="00F00945" w:rsidRDefault="00864732" w:rsidP="00864732">
            <w:pPr>
              <w:rPr>
                <w:rFonts w:cs="Arial"/>
                <w:i/>
                <w:iCs/>
              </w:rPr>
            </w:pPr>
            <w:r w:rsidRPr="00F00945">
              <w:rPr>
                <w:rFonts w:cs="Arial"/>
                <w:i/>
                <w:iCs/>
              </w:rPr>
              <w:t>In-House</w:t>
            </w:r>
          </w:p>
          <w:p w14:paraId="56390695" w14:textId="77777777" w:rsidR="00864732" w:rsidRPr="00F00945" w:rsidRDefault="00864732" w:rsidP="00864732">
            <w:pPr>
              <w:rPr>
                <w:rFonts w:cs="Arial"/>
                <w:i/>
                <w:iCs/>
              </w:rPr>
            </w:pPr>
            <w:r w:rsidRPr="00F00945">
              <w:rPr>
                <w:rFonts w:cs="Arial"/>
                <w:i/>
                <w:iCs/>
              </w:rPr>
              <w:t>Comparator</w:t>
            </w:r>
          </w:p>
          <w:p w14:paraId="64BE5D04" w14:textId="77777777" w:rsidR="00864732" w:rsidRPr="00F00945" w:rsidRDefault="00864732" w:rsidP="00864732">
            <w:pPr>
              <w:rPr>
                <w:rFonts w:cs="Arial"/>
                <w:i/>
                <w:iCs/>
              </w:rPr>
            </w:pPr>
          </w:p>
        </w:tc>
      </w:tr>
      <w:tr w:rsidR="00864732" w:rsidRPr="00F00945" w14:paraId="56B07AFE" w14:textId="77777777" w:rsidTr="00637B2B">
        <w:trPr>
          <w:hidden/>
        </w:trPr>
        <w:tc>
          <w:tcPr>
            <w:tcW w:w="1300" w:type="pct"/>
            <w:hideMark/>
          </w:tcPr>
          <w:p w14:paraId="7712A50F" w14:textId="77777777" w:rsidR="00864732" w:rsidRPr="00F00945" w:rsidRDefault="00864732" w:rsidP="00864732">
            <w:pPr>
              <w:rPr>
                <w:rFonts w:cs="Arial"/>
                <w:i/>
                <w:iCs/>
                <w:vanish/>
              </w:rPr>
            </w:pPr>
          </w:p>
          <w:p w14:paraId="21532A5C" w14:textId="77777777" w:rsidR="00864732" w:rsidRPr="00F00945" w:rsidRDefault="00864732" w:rsidP="00864732">
            <w:pPr>
              <w:rPr>
                <w:rFonts w:cs="Arial"/>
                <w:i/>
                <w:iCs/>
              </w:rPr>
            </w:pPr>
            <w:r w:rsidRPr="00F00945">
              <w:rPr>
                <w:rFonts w:cs="Arial"/>
                <w:i/>
                <w:iCs/>
              </w:rPr>
              <w:t>£295k</w:t>
            </w:r>
          </w:p>
          <w:p w14:paraId="0E8CD348" w14:textId="77777777" w:rsidR="00864732" w:rsidRPr="00F00945" w:rsidRDefault="00864732" w:rsidP="00864732">
            <w:pPr>
              <w:rPr>
                <w:rFonts w:cs="Arial"/>
                <w:i/>
                <w:iCs/>
              </w:rPr>
            </w:pPr>
          </w:p>
        </w:tc>
        <w:tc>
          <w:tcPr>
            <w:tcW w:w="1350" w:type="pct"/>
            <w:hideMark/>
          </w:tcPr>
          <w:p w14:paraId="4B922C0D" w14:textId="77777777" w:rsidR="00864732" w:rsidRPr="00F00945" w:rsidRDefault="00864732" w:rsidP="00864732">
            <w:pPr>
              <w:rPr>
                <w:rFonts w:cs="Arial"/>
                <w:i/>
                <w:iCs/>
                <w:vanish/>
              </w:rPr>
            </w:pPr>
          </w:p>
          <w:p w14:paraId="41B0BFB8" w14:textId="77777777" w:rsidR="00864732" w:rsidRPr="00F00945" w:rsidRDefault="00864732" w:rsidP="00864732">
            <w:pPr>
              <w:rPr>
                <w:rFonts w:cs="Arial"/>
                <w:i/>
                <w:iCs/>
              </w:rPr>
            </w:pPr>
            <w:r w:rsidRPr="00F00945">
              <w:rPr>
                <w:rFonts w:cs="Arial"/>
                <w:i/>
                <w:iCs/>
              </w:rPr>
              <w:t>£364.6k</w:t>
            </w:r>
          </w:p>
          <w:p w14:paraId="34B7DD3F" w14:textId="77777777" w:rsidR="00864732" w:rsidRPr="00F00945" w:rsidRDefault="00864732" w:rsidP="00864732">
            <w:pPr>
              <w:rPr>
                <w:rFonts w:cs="Arial"/>
                <w:i/>
                <w:iCs/>
              </w:rPr>
            </w:pPr>
          </w:p>
        </w:tc>
        <w:tc>
          <w:tcPr>
            <w:tcW w:w="1200" w:type="pct"/>
            <w:hideMark/>
          </w:tcPr>
          <w:p w14:paraId="0CAF86D7" w14:textId="77777777" w:rsidR="00864732" w:rsidRPr="00F00945" w:rsidRDefault="00864732" w:rsidP="00864732">
            <w:pPr>
              <w:rPr>
                <w:rFonts w:cs="Arial"/>
                <w:i/>
                <w:iCs/>
                <w:vanish/>
              </w:rPr>
            </w:pPr>
          </w:p>
          <w:p w14:paraId="44D4AE7C" w14:textId="77777777" w:rsidR="00864732" w:rsidRPr="00F00945" w:rsidRDefault="00864732" w:rsidP="00864732">
            <w:pPr>
              <w:rPr>
                <w:rFonts w:cs="Arial"/>
                <w:i/>
                <w:iCs/>
              </w:rPr>
            </w:pPr>
            <w:r w:rsidRPr="00F00945">
              <w:rPr>
                <w:rFonts w:cs="Arial"/>
                <w:i/>
                <w:iCs/>
              </w:rPr>
              <w:t>£373.1k</w:t>
            </w:r>
          </w:p>
          <w:p w14:paraId="2E36B6B8" w14:textId="77777777" w:rsidR="00864732" w:rsidRPr="00F00945" w:rsidRDefault="00864732" w:rsidP="00864732">
            <w:pPr>
              <w:rPr>
                <w:rFonts w:cs="Arial"/>
                <w:i/>
                <w:iCs/>
              </w:rPr>
            </w:pPr>
          </w:p>
        </w:tc>
        <w:tc>
          <w:tcPr>
            <w:tcW w:w="1150" w:type="pct"/>
            <w:hideMark/>
          </w:tcPr>
          <w:p w14:paraId="040C8B5C" w14:textId="77777777" w:rsidR="00864732" w:rsidRPr="00F00945" w:rsidRDefault="00864732" w:rsidP="00864732">
            <w:pPr>
              <w:rPr>
                <w:rFonts w:cs="Arial"/>
                <w:i/>
                <w:iCs/>
                <w:vanish/>
              </w:rPr>
            </w:pPr>
          </w:p>
          <w:p w14:paraId="704B0C14" w14:textId="77777777" w:rsidR="00864732" w:rsidRPr="00F00945" w:rsidRDefault="00864732" w:rsidP="00864732">
            <w:pPr>
              <w:rPr>
                <w:rFonts w:cs="Arial"/>
                <w:i/>
                <w:iCs/>
              </w:rPr>
            </w:pPr>
            <w:r w:rsidRPr="00F00945">
              <w:rPr>
                <w:rFonts w:cs="Arial"/>
                <w:i/>
                <w:iCs/>
              </w:rPr>
              <w:t>£1,347k*</w:t>
            </w:r>
          </w:p>
          <w:p w14:paraId="0A1B5C4C" w14:textId="77777777" w:rsidR="00864732" w:rsidRPr="00F00945" w:rsidRDefault="00864732" w:rsidP="00864732">
            <w:pPr>
              <w:rPr>
                <w:rFonts w:cs="Arial"/>
                <w:i/>
                <w:iCs/>
              </w:rPr>
            </w:pPr>
          </w:p>
        </w:tc>
      </w:tr>
    </w:tbl>
    <w:p w14:paraId="4B6B42A1" w14:textId="77777777" w:rsidR="00864732" w:rsidRPr="00F00945" w:rsidRDefault="00864732" w:rsidP="00864732">
      <w:pPr>
        <w:rPr>
          <w:rFonts w:cs="Arial"/>
          <w:vanish/>
        </w:rPr>
      </w:pPr>
    </w:p>
    <w:p w14:paraId="6CE80AF4" w14:textId="77860978" w:rsidR="00864732" w:rsidRPr="00F00945" w:rsidRDefault="00864732" w:rsidP="00864732">
      <w:pPr>
        <w:rPr>
          <w:rFonts w:cs="Arial"/>
          <w:i/>
          <w:iCs/>
        </w:rPr>
      </w:pPr>
      <w:r w:rsidRPr="00F00945">
        <w:rPr>
          <w:rFonts w:cs="Arial"/>
          <w:i/>
          <w:iCs/>
        </w:rPr>
        <w:t xml:space="preserve">*This equates to the </w:t>
      </w:r>
      <w:r w:rsidR="00943B2D" w:rsidRPr="00F00945">
        <w:rPr>
          <w:rFonts w:cs="Arial"/>
          <w:i/>
          <w:iCs/>
        </w:rPr>
        <w:t>mid-range</w:t>
      </w:r>
      <w:r w:rsidRPr="00F00945">
        <w:rPr>
          <w:rFonts w:cs="Arial"/>
          <w:i/>
          <w:iCs/>
        </w:rPr>
        <w:t xml:space="preserve"> estimate from the economic appraisal.</w:t>
      </w:r>
    </w:p>
    <w:p w14:paraId="1CF92522" w14:textId="77777777" w:rsidR="00864732" w:rsidRPr="006D7B02" w:rsidRDefault="00864732" w:rsidP="00864732">
      <w:pPr>
        <w:rPr>
          <w:i/>
          <w:iCs/>
        </w:rPr>
      </w:pPr>
    </w:p>
    <w:p w14:paraId="1D1251CF" w14:textId="77777777" w:rsidR="00864732" w:rsidRPr="006D7B02" w:rsidRDefault="00864732" w:rsidP="00864732">
      <w:pPr>
        <w:rPr>
          <w:i/>
          <w:iCs/>
        </w:rPr>
      </w:pPr>
      <w:r w:rsidRPr="006D7B02">
        <w:rPr>
          <w:i/>
          <w:iCs/>
        </w:rPr>
        <w:t>As seen from the above table there was just over £1m difference between the lowest management fee and the in-house comparator. When compared to the optimistic model of the business case, this difference decreases to £760k. A further £135,000 of savings had been identified in central support costs (Finance, Human Resources, ICT and maintenance budgets). Some of these savings would be achieved immediately e.g. maintenance contracts.  The other salary related savings would be achieved through natural attrition at the earliest opportunity.</w:t>
      </w:r>
    </w:p>
    <w:p w14:paraId="62D93E79" w14:textId="77777777" w:rsidR="00864732" w:rsidRPr="006D7B02" w:rsidRDefault="00864732" w:rsidP="00864732">
      <w:pPr>
        <w:rPr>
          <w:i/>
          <w:iCs/>
        </w:rPr>
      </w:pPr>
      <w:r w:rsidRPr="006D7B02">
        <w:rPr>
          <w:i/>
          <w:iCs/>
        </w:rPr>
        <w:t xml:space="preserve"> </w:t>
      </w:r>
    </w:p>
    <w:p w14:paraId="433EA4B6" w14:textId="77777777" w:rsidR="00864732" w:rsidRPr="006D7B02" w:rsidRDefault="00864732" w:rsidP="00864732">
      <w:pPr>
        <w:rPr>
          <w:i/>
          <w:iCs/>
        </w:rPr>
      </w:pPr>
      <w:r w:rsidRPr="006D7B02">
        <w:rPr>
          <w:i/>
          <w:iCs/>
        </w:rPr>
        <w:t>Whilst there were some differences in the expenditure projections between the bidders and in-house comparator, the material difference was in the income projections. On average the bidders had projected their income £1m (or £760k compared to the most optimistic in-house model) higher than the in-house comparator.  All 3 bidders based their income projections on;</w:t>
      </w:r>
    </w:p>
    <w:p w14:paraId="5541C484" w14:textId="77777777" w:rsidR="00864732" w:rsidRPr="006D7B02" w:rsidRDefault="00864732" w:rsidP="00864732">
      <w:pPr>
        <w:rPr>
          <w:i/>
          <w:iCs/>
        </w:rPr>
      </w:pPr>
    </w:p>
    <w:p w14:paraId="571CD318" w14:textId="77777777" w:rsidR="00864732" w:rsidRPr="006D7B02" w:rsidRDefault="00864732" w:rsidP="00864732">
      <w:pPr>
        <w:pStyle w:val="ListParagraph"/>
        <w:numPr>
          <w:ilvl w:val="0"/>
          <w:numId w:val="12"/>
        </w:numPr>
        <w:suppressAutoHyphens w:val="0"/>
        <w:autoSpaceDN/>
        <w:textAlignment w:val="auto"/>
        <w:rPr>
          <w:i/>
          <w:iCs/>
        </w:rPr>
      </w:pPr>
      <w:r w:rsidRPr="006D7B02">
        <w:rPr>
          <w:i/>
          <w:iCs/>
        </w:rPr>
        <w:t>Detailed research of the local market including population analysis and travel times</w:t>
      </w:r>
    </w:p>
    <w:p w14:paraId="07DB2314" w14:textId="77777777" w:rsidR="00864732" w:rsidRPr="006D7B02" w:rsidRDefault="00864732" w:rsidP="00864732">
      <w:pPr>
        <w:pStyle w:val="ListParagraph"/>
        <w:numPr>
          <w:ilvl w:val="0"/>
          <w:numId w:val="12"/>
        </w:numPr>
        <w:suppressAutoHyphens w:val="0"/>
        <w:autoSpaceDN/>
        <w:textAlignment w:val="auto"/>
        <w:rPr>
          <w:i/>
          <w:iCs/>
        </w:rPr>
      </w:pPr>
      <w:r w:rsidRPr="006D7B02">
        <w:rPr>
          <w:i/>
          <w:iCs/>
        </w:rPr>
        <w:t>The use of specialist leisure management information systems</w:t>
      </w:r>
    </w:p>
    <w:p w14:paraId="7CDD6431" w14:textId="77777777" w:rsidR="00864732" w:rsidRPr="006D7B02" w:rsidRDefault="00864732" w:rsidP="00864732">
      <w:pPr>
        <w:pStyle w:val="ListParagraph"/>
        <w:numPr>
          <w:ilvl w:val="0"/>
          <w:numId w:val="12"/>
        </w:numPr>
        <w:suppressAutoHyphens w:val="0"/>
        <w:autoSpaceDN/>
        <w:textAlignment w:val="auto"/>
        <w:rPr>
          <w:i/>
          <w:iCs/>
        </w:rPr>
      </w:pPr>
      <w:r w:rsidRPr="006D7B02">
        <w:rPr>
          <w:i/>
          <w:iCs/>
        </w:rPr>
        <w:t>Benchmarking tools, using their experience of operating similar 50m centres in GB</w:t>
      </w:r>
    </w:p>
    <w:p w14:paraId="5459B944" w14:textId="77777777" w:rsidR="00864732" w:rsidRPr="006D7B02" w:rsidRDefault="00864732" w:rsidP="00864732">
      <w:pPr>
        <w:pStyle w:val="ListParagraph"/>
        <w:numPr>
          <w:ilvl w:val="0"/>
          <w:numId w:val="12"/>
        </w:numPr>
        <w:suppressAutoHyphens w:val="0"/>
        <w:autoSpaceDN/>
        <w:textAlignment w:val="auto"/>
        <w:rPr>
          <w:i/>
          <w:iCs/>
        </w:rPr>
      </w:pPr>
      <w:r w:rsidRPr="006D7B02">
        <w:rPr>
          <w:i/>
          <w:iCs/>
        </w:rPr>
        <w:t>Access to their central professional teams and resources in marketing and sales providing specialist knowledge and economies of scale</w:t>
      </w:r>
    </w:p>
    <w:p w14:paraId="11253D26" w14:textId="77777777" w:rsidR="00864732" w:rsidRPr="006D7B02" w:rsidRDefault="00864732" w:rsidP="00864732">
      <w:pPr>
        <w:pStyle w:val="ListParagraph"/>
        <w:numPr>
          <w:ilvl w:val="0"/>
          <w:numId w:val="12"/>
        </w:numPr>
        <w:suppressAutoHyphens w:val="0"/>
        <w:autoSpaceDN/>
        <w:textAlignment w:val="auto"/>
        <w:rPr>
          <w:i/>
          <w:iCs/>
        </w:rPr>
      </w:pPr>
      <w:r w:rsidRPr="006D7B02">
        <w:rPr>
          <w:i/>
          <w:iCs/>
        </w:rPr>
        <w:t>Consideration of their private sector commercial expertise in this field</w:t>
      </w:r>
    </w:p>
    <w:p w14:paraId="5CA78D4E" w14:textId="77777777" w:rsidR="00864732" w:rsidRPr="006D7B02" w:rsidRDefault="00864732" w:rsidP="00864732">
      <w:pPr>
        <w:pStyle w:val="ListParagraph"/>
        <w:numPr>
          <w:ilvl w:val="0"/>
          <w:numId w:val="12"/>
        </w:numPr>
        <w:suppressAutoHyphens w:val="0"/>
        <w:autoSpaceDN/>
        <w:textAlignment w:val="auto"/>
        <w:rPr>
          <w:i/>
          <w:iCs/>
        </w:rPr>
      </w:pPr>
      <w:r w:rsidRPr="006D7B02">
        <w:rPr>
          <w:i/>
          <w:iCs/>
        </w:rPr>
        <w:t>The use of financially incentivised sales staff</w:t>
      </w:r>
    </w:p>
    <w:p w14:paraId="22E4D383" w14:textId="77777777" w:rsidR="00864732" w:rsidRDefault="00864732" w:rsidP="00864732">
      <w:pPr>
        <w:rPr>
          <w:i/>
          <w:iCs/>
        </w:rPr>
      </w:pPr>
    </w:p>
    <w:p w14:paraId="3F930AD4" w14:textId="77777777" w:rsidR="00864732" w:rsidRPr="00F00945" w:rsidRDefault="00864732" w:rsidP="00864732">
      <w:pPr>
        <w:rPr>
          <w:rFonts w:cs="Arial"/>
          <w:i/>
          <w:iCs/>
        </w:rPr>
      </w:pPr>
      <w:r w:rsidRPr="00F00945">
        <w:rPr>
          <w:rFonts w:cs="Arial"/>
          <w:i/>
          <w:iCs/>
        </w:rPr>
        <w:t>All of those factors, combined, had historically produced significantly higher levels of sales than any typical local authority approach.</w:t>
      </w:r>
    </w:p>
    <w:p w14:paraId="07133060" w14:textId="77777777" w:rsidR="00864732" w:rsidRPr="00F00945" w:rsidRDefault="00864732" w:rsidP="00864732">
      <w:pPr>
        <w:rPr>
          <w:rFonts w:cs="Arial"/>
          <w:i/>
          <w:iCs/>
        </w:rPr>
      </w:pPr>
      <w:r w:rsidRPr="00F00945">
        <w:rPr>
          <w:rFonts w:cs="Arial"/>
          <w:i/>
          <w:iCs/>
        </w:rPr>
        <w:t xml:space="preserve"> </w:t>
      </w:r>
    </w:p>
    <w:p w14:paraId="06337FB0" w14:textId="77777777" w:rsidR="00864732" w:rsidRPr="00F00945" w:rsidRDefault="00864732" w:rsidP="00864732">
      <w:pPr>
        <w:rPr>
          <w:rFonts w:cs="Arial"/>
          <w:i/>
          <w:iCs/>
        </w:rPr>
      </w:pPr>
      <w:r w:rsidRPr="00F00945">
        <w:rPr>
          <w:rFonts w:cs="Arial"/>
          <w:i/>
          <w:iCs/>
        </w:rPr>
        <w:t>Risk</w:t>
      </w:r>
    </w:p>
    <w:p w14:paraId="00B627E2" w14:textId="77777777" w:rsidR="00864732" w:rsidRPr="00F00945" w:rsidRDefault="00864732" w:rsidP="00864732">
      <w:pPr>
        <w:rPr>
          <w:rFonts w:cs="Arial"/>
          <w:i/>
          <w:iCs/>
        </w:rPr>
      </w:pPr>
      <w:r w:rsidRPr="00F00945">
        <w:rPr>
          <w:rFonts w:cs="Arial"/>
          <w:i/>
          <w:iCs/>
        </w:rPr>
        <w:t xml:space="preserve"> </w:t>
      </w:r>
    </w:p>
    <w:p w14:paraId="6724AB44" w14:textId="77777777" w:rsidR="00864732" w:rsidRPr="00F00945" w:rsidRDefault="00864732" w:rsidP="00864732">
      <w:pPr>
        <w:rPr>
          <w:rFonts w:cs="Arial"/>
          <w:i/>
          <w:iCs/>
        </w:rPr>
      </w:pPr>
      <w:r w:rsidRPr="00F00945">
        <w:rPr>
          <w:rFonts w:cs="Arial"/>
          <w:i/>
          <w:iCs/>
        </w:rPr>
        <w:t>When examining the financial projections it was important to consider how the risk associated with fluctuations in costs or income would be distributed. This is outlined as in Table 5, below;</w:t>
      </w:r>
    </w:p>
    <w:p w14:paraId="04CB4951" w14:textId="77777777" w:rsidR="00864732" w:rsidRPr="00F00945" w:rsidRDefault="00864732" w:rsidP="00864732">
      <w:pPr>
        <w:rPr>
          <w:rFonts w:cs="Arial"/>
          <w:i/>
          <w:iCs/>
        </w:rPr>
      </w:pPr>
    </w:p>
    <w:tbl>
      <w:tblPr>
        <w:tblStyle w:val="ListTable3-Accent42"/>
        <w:tblW w:w="9120" w:type="dxa"/>
        <w:tblLook w:val="04A0" w:firstRow="1" w:lastRow="0" w:firstColumn="1" w:lastColumn="0" w:noHBand="0" w:noVBand="1"/>
      </w:tblPr>
      <w:tblGrid>
        <w:gridCol w:w="2810"/>
        <w:gridCol w:w="1857"/>
        <w:gridCol w:w="4453"/>
      </w:tblGrid>
      <w:tr w:rsidR="00864732" w:rsidRPr="00F00945" w14:paraId="462B6918" w14:textId="77777777" w:rsidTr="00637B2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50" w:type="pct"/>
            <w:hideMark/>
          </w:tcPr>
          <w:p w14:paraId="05C85FCD" w14:textId="77777777" w:rsidR="00864732" w:rsidRPr="00F00945" w:rsidRDefault="00864732" w:rsidP="00864732">
            <w:pPr>
              <w:rPr>
                <w:rFonts w:cs="Arial"/>
                <w:i/>
                <w:iCs/>
              </w:rPr>
            </w:pPr>
            <w:r w:rsidRPr="00F00945">
              <w:rPr>
                <w:rFonts w:cs="Arial"/>
                <w:i/>
                <w:iCs/>
              </w:rPr>
              <w:t>Risk</w:t>
            </w:r>
          </w:p>
          <w:p w14:paraId="730FF7DD" w14:textId="77777777" w:rsidR="00864732" w:rsidRPr="00F00945" w:rsidRDefault="00864732" w:rsidP="00864732">
            <w:pPr>
              <w:rPr>
                <w:rFonts w:cs="Arial"/>
                <w:i/>
                <w:iCs/>
                <w:vanish/>
              </w:rPr>
            </w:pPr>
          </w:p>
          <w:p w14:paraId="46A4C28F" w14:textId="77777777" w:rsidR="00864732" w:rsidRPr="00F00945" w:rsidRDefault="00864732" w:rsidP="00864732">
            <w:pPr>
              <w:rPr>
                <w:rFonts w:cs="Arial"/>
                <w:i/>
                <w:iCs/>
              </w:rPr>
            </w:pPr>
            <w:r w:rsidRPr="00F00945">
              <w:rPr>
                <w:rFonts w:cs="Arial"/>
                <w:i/>
                <w:iCs/>
              </w:rPr>
              <w:t> </w:t>
            </w:r>
          </w:p>
          <w:p w14:paraId="39C8C9BB" w14:textId="77777777" w:rsidR="00864732" w:rsidRPr="00F00945" w:rsidRDefault="00864732" w:rsidP="00864732">
            <w:pPr>
              <w:rPr>
                <w:rFonts w:cs="Arial"/>
                <w:i/>
                <w:iCs/>
              </w:rPr>
            </w:pPr>
          </w:p>
        </w:tc>
        <w:tc>
          <w:tcPr>
            <w:tcW w:w="1000" w:type="pct"/>
            <w:hideMark/>
          </w:tcPr>
          <w:p w14:paraId="66EFE658" w14:textId="77777777" w:rsidR="00864732" w:rsidRPr="00F00945" w:rsidRDefault="00864732" w:rsidP="00864732">
            <w:pPr>
              <w:cnfStyle w:val="100000000000" w:firstRow="1" w:lastRow="0" w:firstColumn="0" w:lastColumn="0" w:oddVBand="0" w:evenVBand="0" w:oddHBand="0" w:evenHBand="0" w:firstRowFirstColumn="0" w:firstRowLastColumn="0" w:lastRowFirstColumn="0" w:lastRowLastColumn="0"/>
              <w:rPr>
                <w:rFonts w:cs="Arial"/>
                <w:i/>
                <w:iCs/>
              </w:rPr>
            </w:pPr>
            <w:r w:rsidRPr="00F00945">
              <w:rPr>
                <w:rFonts w:cs="Arial"/>
                <w:i/>
                <w:iCs/>
              </w:rPr>
              <w:t>Responsibility</w:t>
            </w:r>
          </w:p>
          <w:p w14:paraId="1C64AEE3" w14:textId="77777777" w:rsidR="00864732" w:rsidRPr="00F00945" w:rsidRDefault="00864732" w:rsidP="00864732">
            <w:pPr>
              <w:cnfStyle w:val="100000000000" w:firstRow="1" w:lastRow="0" w:firstColumn="0" w:lastColumn="0" w:oddVBand="0" w:evenVBand="0" w:oddHBand="0" w:evenHBand="0" w:firstRowFirstColumn="0" w:firstRowLastColumn="0" w:lastRowFirstColumn="0" w:lastRowLastColumn="0"/>
              <w:rPr>
                <w:rFonts w:cs="Arial"/>
                <w:i/>
                <w:iCs/>
              </w:rPr>
            </w:pPr>
          </w:p>
        </w:tc>
        <w:tc>
          <w:tcPr>
            <w:tcW w:w="2450" w:type="pct"/>
            <w:hideMark/>
          </w:tcPr>
          <w:p w14:paraId="5D960A0A" w14:textId="77777777" w:rsidR="00864732" w:rsidRPr="00F00945" w:rsidRDefault="00864732" w:rsidP="00864732">
            <w:pPr>
              <w:cnfStyle w:val="100000000000" w:firstRow="1" w:lastRow="0" w:firstColumn="0" w:lastColumn="0" w:oddVBand="0" w:evenVBand="0" w:oddHBand="0" w:evenHBand="0" w:firstRowFirstColumn="0" w:firstRowLastColumn="0" w:lastRowFirstColumn="0" w:lastRowLastColumn="0"/>
              <w:rPr>
                <w:rFonts w:cs="Arial"/>
                <w:i/>
                <w:iCs/>
              </w:rPr>
            </w:pPr>
            <w:r w:rsidRPr="00F00945">
              <w:rPr>
                <w:rFonts w:cs="Arial"/>
                <w:i/>
                <w:iCs/>
              </w:rPr>
              <w:t>Comment</w:t>
            </w:r>
          </w:p>
          <w:p w14:paraId="600BF7B9" w14:textId="77777777" w:rsidR="00864732" w:rsidRPr="00F00945" w:rsidRDefault="00864732" w:rsidP="00864732">
            <w:pPr>
              <w:cnfStyle w:val="100000000000" w:firstRow="1" w:lastRow="0" w:firstColumn="0" w:lastColumn="0" w:oddVBand="0" w:evenVBand="0" w:oddHBand="0" w:evenHBand="0" w:firstRowFirstColumn="0" w:firstRowLastColumn="0" w:lastRowFirstColumn="0" w:lastRowLastColumn="0"/>
              <w:rPr>
                <w:rFonts w:cs="Arial"/>
                <w:i/>
                <w:iCs/>
              </w:rPr>
            </w:pPr>
          </w:p>
        </w:tc>
      </w:tr>
      <w:tr w:rsidR="00864732" w:rsidRPr="00F00945" w14:paraId="43AE21A1" w14:textId="77777777" w:rsidTr="00637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pct"/>
            <w:hideMark/>
          </w:tcPr>
          <w:p w14:paraId="0A6BA559" w14:textId="77777777" w:rsidR="00864732" w:rsidRPr="00F00945" w:rsidRDefault="00864732" w:rsidP="00864732">
            <w:pPr>
              <w:rPr>
                <w:rFonts w:cs="Arial"/>
                <w:i/>
                <w:iCs/>
              </w:rPr>
            </w:pPr>
            <w:r w:rsidRPr="00F00945">
              <w:rPr>
                <w:rFonts w:cs="Arial"/>
                <w:i/>
                <w:iCs/>
              </w:rPr>
              <w:t>Income</w:t>
            </w:r>
          </w:p>
          <w:p w14:paraId="5EB302D3" w14:textId="77777777" w:rsidR="00864732" w:rsidRPr="00F00945" w:rsidRDefault="00864732" w:rsidP="00864732">
            <w:pPr>
              <w:rPr>
                <w:rFonts w:cs="Arial"/>
                <w:i/>
                <w:iCs/>
              </w:rPr>
            </w:pPr>
          </w:p>
        </w:tc>
        <w:tc>
          <w:tcPr>
            <w:tcW w:w="1000" w:type="pct"/>
            <w:hideMark/>
          </w:tcPr>
          <w:p w14:paraId="14803B09" w14:textId="77777777" w:rsidR="00864732" w:rsidRPr="00F00945" w:rsidRDefault="00864732" w:rsidP="00864732">
            <w:pPr>
              <w:cnfStyle w:val="000000100000" w:firstRow="0" w:lastRow="0" w:firstColumn="0" w:lastColumn="0" w:oddVBand="0" w:evenVBand="0" w:oddHBand="1" w:evenHBand="0" w:firstRowFirstColumn="0" w:firstRowLastColumn="0" w:lastRowFirstColumn="0" w:lastRowLastColumn="0"/>
              <w:rPr>
                <w:rFonts w:cs="Arial"/>
                <w:i/>
                <w:iCs/>
              </w:rPr>
            </w:pPr>
            <w:r w:rsidRPr="00F00945">
              <w:rPr>
                <w:rFonts w:cs="Arial"/>
                <w:i/>
                <w:iCs/>
              </w:rPr>
              <w:t>Contractor</w:t>
            </w:r>
          </w:p>
          <w:p w14:paraId="16658EB4" w14:textId="77777777" w:rsidR="00864732" w:rsidRPr="00F00945" w:rsidRDefault="00864732" w:rsidP="00864732">
            <w:pPr>
              <w:cnfStyle w:val="000000100000" w:firstRow="0" w:lastRow="0" w:firstColumn="0" w:lastColumn="0" w:oddVBand="0" w:evenVBand="0" w:oddHBand="1" w:evenHBand="0" w:firstRowFirstColumn="0" w:firstRowLastColumn="0" w:lastRowFirstColumn="0" w:lastRowLastColumn="0"/>
              <w:rPr>
                <w:rFonts w:cs="Arial"/>
                <w:i/>
                <w:iCs/>
              </w:rPr>
            </w:pPr>
          </w:p>
        </w:tc>
        <w:tc>
          <w:tcPr>
            <w:tcW w:w="2450" w:type="pct"/>
            <w:hideMark/>
          </w:tcPr>
          <w:p w14:paraId="51205F57" w14:textId="77777777" w:rsidR="00864732" w:rsidRPr="00F00945" w:rsidRDefault="00864732" w:rsidP="00864732">
            <w:pPr>
              <w:cnfStyle w:val="000000100000" w:firstRow="0" w:lastRow="0" w:firstColumn="0" w:lastColumn="0" w:oddVBand="0" w:evenVBand="0" w:oddHBand="1" w:evenHBand="0" w:firstRowFirstColumn="0" w:firstRowLastColumn="0" w:lastRowFirstColumn="0" w:lastRowLastColumn="0"/>
              <w:rPr>
                <w:rFonts w:cs="Arial"/>
                <w:i/>
                <w:iCs/>
              </w:rPr>
            </w:pPr>
            <w:r w:rsidRPr="00F00945">
              <w:rPr>
                <w:rFonts w:cs="Arial"/>
                <w:i/>
                <w:iCs/>
              </w:rPr>
              <w:t>Contractor must manage their income as set out in their financial template.</w:t>
            </w:r>
          </w:p>
          <w:p w14:paraId="61F65F2D" w14:textId="77777777" w:rsidR="00864732" w:rsidRPr="00F00945" w:rsidRDefault="00864732" w:rsidP="00864732">
            <w:pPr>
              <w:cnfStyle w:val="000000100000" w:firstRow="0" w:lastRow="0" w:firstColumn="0" w:lastColumn="0" w:oddVBand="0" w:evenVBand="0" w:oddHBand="1" w:evenHBand="0" w:firstRowFirstColumn="0" w:firstRowLastColumn="0" w:lastRowFirstColumn="0" w:lastRowLastColumn="0"/>
              <w:rPr>
                <w:rFonts w:cs="Arial"/>
                <w:i/>
                <w:iCs/>
              </w:rPr>
            </w:pPr>
          </w:p>
        </w:tc>
      </w:tr>
      <w:tr w:rsidR="00864732" w:rsidRPr="00F00945" w14:paraId="0F26B9A0" w14:textId="77777777" w:rsidTr="00637B2B">
        <w:tc>
          <w:tcPr>
            <w:cnfStyle w:val="001000000000" w:firstRow="0" w:lastRow="0" w:firstColumn="1" w:lastColumn="0" w:oddVBand="0" w:evenVBand="0" w:oddHBand="0" w:evenHBand="0" w:firstRowFirstColumn="0" w:firstRowLastColumn="0" w:lastRowFirstColumn="0" w:lastRowLastColumn="0"/>
            <w:tcW w:w="1550" w:type="pct"/>
            <w:hideMark/>
          </w:tcPr>
          <w:p w14:paraId="0A4D06FE" w14:textId="77777777" w:rsidR="00864732" w:rsidRPr="00F00945" w:rsidRDefault="00864732" w:rsidP="00864732">
            <w:pPr>
              <w:rPr>
                <w:rFonts w:cs="Arial"/>
                <w:i/>
                <w:iCs/>
              </w:rPr>
            </w:pPr>
            <w:r w:rsidRPr="00F00945">
              <w:rPr>
                <w:rFonts w:cs="Arial"/>
                <w:i/>
                <w:iCs/>
              </w:rPr>
              <w:t>Expenditure (generally)</w:t>
            </w:r>
          </w:p>
          <w:p w14:paraId="4811E828" w14:textId="77777777" w:rsidR="00864732" w:rsidRPr="00F00945" w:rsidRDefault="00864732" w:rsidP="00864732">
            <w:pPr>
              <w:rPr>
                <w:rFonts w:cs="Arial"/>
                <w:i/>
                <w:iCs/>
              </w:rPr>
            </w:pPr>
          </w:p>
        </w:tc>
        <w:tc>
          <w:tcPr>
            <w:tcW w:w="1000" w:type="pct"/>
            <w:hideMark/>
          </w:tcPr>
          <w:p w14:paraId="720434F9" w14:textId="77777777" w:rsidR="00864732" w:rsidRPr="00F00945" w:rsidRDefault="00864732" w:rsidP="00864732">
            <w:pPr>
              <w:cnfStyle w:val="000000000000" w:firstRow="0" w:lastRow="0" w:firstColumn="0" w:lastColumn="0" w:oddVBand="0" w:evenVBand="0" w:oddHBand="0" w:evenHBand="0" w:firstRowFirstColumn="0" w:firstRowLastColumn="0" w:lastRowFirstColumn="0" w:lastRowLastColumn="0"/>
              <w:rPr>
                <w:rFonts w:cs="Arial"/>
                <w:i/>
                <w:iCs/>
              </w:rPr>
            </w:pPr>
            <w:r w:rsidRPr="00F00945">
              <w:rPr>
                <w:rFonts w:cs="Arial"/>
                <w:i/>
                <w:iCs/>
              </w:rPr>
              <w:t>Contractor</w:t>
            </w:r>
          </w:p>
          <w:p w14:paraId="26712A9F" w14:textId="77777777" w:rsidR="00864732" w:rsidRPr="00F00945" w:rsidRDefault="00864732" w:rsidP="00864732">
            <w:pPr>
              <w:cnfStyle w:val="000000000000" w:firstRow="0" w:lastRow="0" w:firstColumn="0" w:lastColumn="0" w:oddVBand="0" w:evenVBand="0" w:oddHBand="0" w:evenHBand="0" w:firstRowFirstColumn="0" w:firstRowLastColumn="0" w:lastRowFirstColumn="0" w:lastRowLastColumn="0"/>
              <w:rPr>
                <w:rFonts w:cs="Arial"/>
                <w:i/>
                <w:iCs/>
              </w:rPr>
            </w:pPr>
          </w:p>
        </w:tc>
        <w:tc>
          <w:tcPr>
            <w:tcW w:w="2450" w:type="pct"/>
            <w:hideMark/>
          </w:tcPr>
          <w:p w14:paraId="5E7CDA78" w14:textId="77777777" w:rsidR="00864732" w:rsidRPr="00F00945" w:rsidRDefault="00864732" w:rsidP="00864732">
            <w:pPr>
              <w:cnfStyle w:val="000000000000" w:firstRow="0" w:lastRow="0" w:firstColumn="0" w:lastColumn="0" w:oddVBand="0" w:evenVBand="0" w:oddHBand="0" w:evenHBand="0" w:firstRowFirstColumn="0" w:firstRowLastColumn="0" w:lastRowFirstColumn="0" w:lastRowLastColumn="0"/>
              <w:rPr>
                <w:rFonts w:cs="Arial"/>
                <w:i/>
                <w:iCs/>
              </w:rPr>
            </w:pPr>
            <w:r w:rsidRPr="00F00945">
              <w:rPr>
                <w:rFonts w:cs="Arial"/>
                <w:i/>
                <w:iCs/>
              </w:rPr>
              <w:t>Contractor must manage their costs as set out in their financial template.</w:t>
            </w:r>
          </w:p>
          <w:p w14:paraId="76D61D16" w14:textId="77777777" w:rsidR="00864732" w:rsidRPr="00F00945" w:rsidRDefault="00864732" w:rsidP="00864732">
            <w:pPr>
              <w:cnfStyle w:val="000000000000" w:firstRow="0" w:lastRow="0" w:firstColumn="0" w:lastColumn="0" w:oddVBand="0" w:evenVBand="0" w:oddHBand="0" w:evenHBand="0" w:firstRowFirstColumn="0" w:firstRowLastColumn="0" w:lastRowFirstColumn="0" w:lastRowLastColumn="0"/>
              <w:rPr>
                <w:rFonts w:cs="Arial"/>
                <w:i/>
                <w:iCs/>
              </w:rPr>
            </w:pPr>
          </w:p>
        </w:tc>
      </w:tr>
      <w:tr w:rsidR="00864732" w:rsidRPr="00F00945" w14:paraId="46C2953D" w14:textId="77777777" w:rsidTr="00637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pct"/>
            <w:hideMark/>
          </w:tcPr>
          <w:p w14:paraId="5BABE080" w14:textId="77777777" w:rsidR="00864732" w:rsidRPr="00F00945" w:rsidRDefault="00864732" w:rsidP="00864732">
            <w:pPr>
              <w:rPr>
                <w:rFonts w:cs="Arial"/>
                <w:i/>
                <w:iCs/>
              </w:rPr>
            </w:pPr>
            <w:r w:rsidRPr="00F00945">
              <w:rPr>
                <w:rFonts w:cs="Arial"/>
                <w:i/>
                <w:iCs/>
              </w:rPr>
              <w:t>Inflation</w:t>
            </w:r>
          </w:p>
          <w:p w14:paraId="6BD0833C" w14:textId="77777777" w:rsidR="00864732" w:rsidRPr="00F00945" w:rsidRDefault="00864732" w:rsidP="00864732">
            <w:pPr>
              <w:rPr>
                <w:rFonts w:cs="Arial"/>
                <w:i/>
                <w:iCs/>
              </w:rPr>
            </w:pPr>
          </w:p>
        </w:tc>
        <w:tc>
          <w:tcPr>
            <w:tcW w:w="1000" w:type="pct"/>
            <w:hideMark/>
          </w:tcPr>
          <w:p w14:paraId="394794DA" w14:textId="77777777" w:rsidR="00864732" w:rsidRPr="00F00945" w:rsidRDefault="00864732" w:rsidP="00864732">
            <w:pPr>
              <w:cnfStyle w:val="000000100000" w:firstRow="0" w:lastRow="0" w:firstColumn="0" w:lastColumn="0" w:oddVBand="0" w:evenVBand="0" w:oddHBand="1" w:evenHBand="0" w:firstRowFirstColumn="0" w:firstRowLastColumn="0" w:lastRowFirstColumn="0" w:lastRowLastColumn="0"/>
              <w:rPr>
                <w:rFonts w:cs="Arial"/>
                <w:i/>
                <w:iCs/>
              </w:rPr>
            </w:pPr>
            <w:r w:rsidRPr="00F00945">
              <w:rPr>
                <w:rFonts w:cs="Arial"/>
                <w:i/>
                <w:iCs/>
              </w:rPr>
              <w:t>Council</w:t>
            </w:r>
          </w:p>
          <w:p w14:paraId="0A263302" w14:textId="77777777" w:rsidR="00864732" w:rsidRPr="00F00945" w:rsidRDefault="00864732" w:rsidP="00864732">
            <w:pPr>
              <w:cnfStyle w:val="000000100000" w:firstRow="0" w:lastRow="0" w:firstColumn="0" w:lastColumn="0" w:oddVBand="0" w:evenVBand="0" w:oddHBand="1" w:evenHBand="0" w:firstRowFirstColumn="0" w:firstRowLastColumn="0" w:lastRowFirstColumn="0" w:lastRowLastColumn="0"/>
              <w:rPr>
                <w:rFonts w:cs="Arial"/>
                <w:i/>
                <w:iCs/>
              </w:rPr>
            </w:pPr>
          </w:p>
        </w:tc>
        <w:tc>
          <w:tcPr>
            <w:tcW w:w="2450" w:type="pct"/>
            <w:hideMark/>
          </w:tcPr>
          <w:p w14:paraId="767F95F6" w14:textId="77777777" w:rsidR="00864732" w:rsidRPr="00F00945" w:rsidRDefault="00864732" w:rsidP="00864732">
            <w:pPr>
              <w:cnfStyle w:val="000000100000" w:firstRow="0" w:lastRow="0" w:firstColumn="0" w:lastColumn="0" w:oddVBand="0" w:evenVBand="0" w:oddHBand="1" w:evenHBand="0" w:firstRowFirstColumn="0" w:firstRowLastColumn="0" w:lastRowFirstColumn="0" w:lastRowLastColumn="0"/>
              <w:rPr>
                <w:rFonts w:cs="Arial"/>
                <w:i/>
                <w:iCs/>
              </w:rPr>
            </w:pPr>
            <w:r w:rsidRPr="00F00945">
              <w:rPr>
                <w:rFonts w:cs="Arial"/>
                <w:i/>
                <w:iCs/>
              </w:rPr>
              <w:t>Contract will be adjusted annually to take account of pay and price increases.</w:t>
            </w:r>
          </w:p>
          <w:p w14:paraId="17A8EE17" w14:textId="77777777" w:rsidR="00864732" w:rsidRPr="00F00945" w:rsidRDefault="00864732" w:rsidP="00864732">
            <w:pPr>
              <w:cnfStyle w:val="000000100000" w:firstRow="0" w:lastRow="0" w:firstColumn="0" w:lastColumn="0" w:oddVBand="0" w:evenVBand="0" w:oddHBand="1" w:evenHBand="0" w:firstRowFirstColumn="0" w:firstRowLastColumn="0" w:lastRowFirstColumn="0" w:lastRowLastColumn="0"/>
              <w:rPr>
                <w:rFonts w:cs="Arial"/>
                <w:i/>
                <w:iCs/>
              </w:rPr>
            </w:pPr>
          </w:p>
        </w:tc>
      </w:tr>
      <w:tr w:rsidR="00864732" w:rsidRPr="00F00945" w14:paraId="701A3FA5" w14:textId="77777777" w:rsidTr="00637B2B">
        <w:tc>
          <w:tcPr>
            <w:cnfStyle w:val="001000000000" w:firstRow="0" w:lastRow="0" w:firstColumn="1" w:lastColumn="0" w:oddVBand="0" w:evenVBand="0" w:oddHBand="0" w:evenHBand="0" w:firstRowFirstColumn="0" w:firstRowLastColumn="0" w:lastRowFirstColumn="0" w:lastRowLastColumn="0"/>
            <w:tcW w:w="1550" w:type="pct"/>
            <w:hideMark/>
          </w:tcPr>
          <w:p w14:paraId="31E4176F" w14:textId="77777777" w:rsidR="00864732" w:rsidRPr="00F00945" w:rsidRDefault="00864732" w:rsidP="00864732">
            <w:pPr>
              <w:rPr>
                <w:rFonts w:cs="Arial"/>
                <w:i/>
                <w:iCs/>
              </w:rPr>
            </w:pPr>
            <w:r w:rsidRPr="00F00945">
              <w:rPr>
                <w:rFonts w:cs="Arial"/>
                <w:i/>
                <w:iCs/>
              </w:rPr>
              <w:t>Routine Maintenance</w:t>
            </w:r>
          </w:p>
          <w:p w14:paraId="1663C1BD" w14:textId="77777777" w:rsidR="00864732" w:rsidRPr="00F00945" w:rsidRDefault="00864732" w:rsidP="00864732">
            <w:pPr>
              <w:rPr>
                <w:rFonts w:cs="Arial"/>
                <w:i/>
                <w:iCs/>
              </w:rPr>
            </w:pPr>
          </w:p>
        </w:tc>
        <w:tc>
          <w:tcPr>
            <w:tcW w:w="1000" w:type="pct"/>
            <w:hideMark/>
          </w:tcPr>
          <w:p w14:paraId="0C0C1CEC" w14:textId="77777777" w:rsidR="00864732" w:rsidRPr="00F00945" w:rsidRDefault="00864732" w:rsidP="00864732">
            <w:pPr>
              <w:cnfStyle w:val="000000000000" w:firstRow="0" w:lastRow="0" w:firstColumn="0" w:lastColumn="0" w:oddVBand="0" w:evenVBand="0" w:oddHBand="0" w:evenHBand="0" w:firstRowFirstColumn="0" w:firstRowLastColumn="0" w:lastRowFirstColumn="0" w:lastRowLastColumn="0"/>
              <w:rPr>
                <w:rFonts w:cs="Arial"/>
                <w:i/>
                <w:iCs/>
              </w:rPr>
            </w:pPr>
            <w:r w:rsidRPr="00F00945">
              <w:rPr>
                <w:rFonts w:cs="Arial"/>
                <w:i/>
                <w:iCs/>
              </w:rPr>
              <w:t>Contractor</w:t>
            </w:r>
          </w:p>
          <w:p w14:paraId="47BE321F" w14:textId="77777777" w:rsidR="00864732" w:rsidRPr="00F00945" w:rsidRDefault="00864732" w:rsidP="00864732">
            <w:pPr>
              <w:cnfStyle w:val="000000000000" w:firstRow="0" w:lastRow="0" w:firstColumn="0" w:lastColumn="0" w:oddVBand="0" w:evenVBand="0" w:oddHBand="0" w:evenHBand="0" w:firstRowFirstColumn="0" w:firstRowLastColumn="0" w:lastRowFirstColumn="0" w:lastRowLastColumn="0"/>
              <w:rPr>
                <w:rFonts w:cs="Arial"/>
                <w:i/>
                <w:iCs/>
              </w:rPr>
            </w:pPr>
          </w:p>
        </w:tc>
        <w:tc>
          <w:tcPr>
            <w:tcW w:w="2450" w:type="pct"/>
            <w:hideMark/>
          </w:tcPr>
          <w:p w14:paraId="6695A56D" w14:textId="77777777" w:rsidR="00864732" w:rsidRPr="00F00945" w:rsidRDefault="00864732" w:rsidP="00864732">
            <w:pPr>
              <w:cnfStyle w:val="000000000000" w:firstRow="0" w:lastRow="0" w:firstColumn="0" w:lastColumn="0" w:oddVBand="0" w:evenVBand="0" w:oddHBand="0" w:evenHBand="0" w:firstRowFirstColumn="0" w:firstRowLastColumn="0" w:lastRowFirstColumn="0" w:lastRowLastColumn="0"/>
              <w:rPr>
                <w:rFonts w:cs="Arial"/>
                <w:i/>
                <w:iCs/>
              </w:rPr>
            </w:pPr>
            <w:r w:rsidRPr="00F00945">
              <w:rPr>
                <w:rFonts w:cs="Arial"/>
                <w:i/>
                <w:iCs/>
              </w:rPr>
              <w:t>Day to day maintenance is the responsibility of the Contractor. Council is responsible for building repairs and plant replacement.</w:t>
            </w:r>
          </w:p>
          <w:p w14:paraId="15F84275" w14:textId="77777777" w:rsidR="00864732" w:rsidRPr="00F00945" w:rsidRDefault="00864732" w:rsidP="00864732">
            <w:pPr>
              <w:cnfStyle w:val="000000000000" w:firstRow="0" w:lastRow="0" w:firstColumn="0" w:lastColumn="0" w:oddVBand="0" w:evenVBand="0" w:oddHBand="0" w:evenHBand="0" w:firstRowFirstColumn="0" w:firstRowLastColumn="0" w:lastRowFirstColumn="0" w:lastRowLastColumn="0"/>
              <w:rPr>
                <w:rFonts w:cs="Arial"/>
                <w:i/>
                <w:iCs/>
              </w:rPr>
            </w:pPr>
          </w:p>
        </w:tc>
      </w:tr>
      <w:tr w:rsidR="00864732" w:rsidRPr="00F00945" w14:paraId="636A8047" w14:textId="77777777" w:rsidTr="00637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pct"/>
            <w:hideMark/>
          </w:tcPr>
          <w:p w14:paraId="3A087F2C" w14:textId="77777777" w:rsidR="00864732" w:rsidRPr="00F00945" w:rsidRDefault="00864732" w:rsidP="00864732">
            <w:pPr>
              <w:rPr>
                <w:rFonts w:cs="Arial"/>
                <w:i/>
                <w:iCs/>
              </w:rPr>
            </w:pPr>
            <w:r w:rsidRPr="00F00945">
              <w:rPr>
                <w:rFonts w:cs="Arial"/>
                <w:i/>
                <w:iCs/>
              </w:rPr>
              <w:t>Utilities</w:t>
            </w:r>
          </w:p>
          <w:p w14:paraId="730399EA" w14:textId="77777777" w:rsidR="00864732" w:rsidRPr="00F00945" w:rsidRDefault="00864732" w:rsidP="00864732">
            <w:pPr>
              <w:rPr>
                <w:rFonts w:cs="Arial"/>
                <w:i/>
                <w:iCs/>
              </w:rPr>
            </w:pPr>
          </w:p>
        </w:tc>
        <w:tc>
          <w:tcPr>
            <w:tcW w:w="1000" w:type="pct"/>
            <w:hideMark/>
          </w:tcPr>
          <w:p w14:paraId="6C34AB87" w14:textId="77777777" w:rsidR="00864732" w:rsidRPr="00F00945" w:rsidRDefault="00864732" w:rsidP="00864732">
            <w:pPr>
              <w:cnfStyle w:val="000000100000" w:firstRow="0" w:lastRow="0" w:firstColumn="0" w:lastColumn="0" w:oddVBand="0" w:evenVBand="0" w:oddHBand="1" w:evenHBand="0" w:firstRowFirstColumn="0" w:firstRowLastColumn="0" w:lastRowFirstColumn="0" w:lastRowLastColumn="0"/>
              <w:rPr>
                <w:rFonts w:cs="Arial"/>
                <w:i/>
                <w:iCs/>
              </w:rPr>
            </w:pPr>
            <w:r w:rsidRPr="00F00945">
              <w:rPr>
                <w:rFonts w:cs="Arial"/>
                <w:i/>
                <w:iCs/>
              </w:rPr>
              <w:t>Split</w:t>
            </w:r>
          </w:p>
          <w:p w14:paraId="3BA54E42" w14:textId="77777777" w:rsidR="00864732" w:rsidRPr="00F00945" w:rsidRDefault="00864732" w:rsidP="00864732">
            <w:pPr>
              <w:cnfStyle w:val="000000100000" w:firstRow="0" w:lastRow="0" w:firstColumn="0" w:lastColumn="0" w:oddVBand="0" w:evenVBand="0" w:oddHBand="1" w:evenHBand="0" w:firstRowFirstColumn="0" w:firstRowLastColumn="0" w:lastRowFirstColumn="0" w:lastRowLastColumn="0"/>
              <w:rPr>
                <w:rFonts w:cs="Arial"/>
                <w:i/>
                <w:iCs/>
              </w:rPr>
            </w:pPr>
          </w:p>
        </w:tc>
        <w:tc>
          <w:tcPr>
            <w:tcW w:w="2450" w:type="pct"/>
            <w:hideMark/>
          </w:tcPr>
          <w:p w14:paraId="4FB80953" w14:textId="77777777" w:rsidR="00864732" w:rsidRPr="00F00945" w:rsidRDefault="00864732" w:rsidP="00864732">
            <w:pPr>
              <w:cnfStyle w:val="000000100000" w:firstRow="0" w:lastRow="0" w:firstColumn="0" w:lastColumn="0" w:oddVBand="0" w:evenVBand="0" w:oddHBand="1" w:evenHBand="0" w:firstRowFirstColumn="0" w:firstRowLastColumn="0" w:lastRowFirstColumn="0" w:lastRowLastColumn="0"/>
              <w:rPr>
                <w:rFonts w:cs="Arial"/>
                <w:i/>
                <w:iCs/>
              </w:rPr>
            </w:pPr>
            <w:r w:rsidRPr="00F00945">
              <w:rPr>
                <w:rFonts w:cs="Arial"/>
                <w:i/>
                <w:iCs/>
              </w:rPr>
              <w:t xml:space="preserve">Contractor responsible for the efficient use of oil, gas, electricity. Contract will </w:t>
            </w:r>
            <w:r w:rsidRPr="00F00945">
              <w:rPr>
                <w:rFonts w:cs="Arial"/>
                <w:i/>
                <w:iCs/>
              </w:rPr>
              <w:lastRenderedPageBreak/>
              <w:t>be adjusted annually to reflect changes in tariffs.</w:t>
            </w:r>
          </w:p>
          <w:p w14:paraId="624A9CB4" w14:textId="77777777" w:rsidR="00864732" w:rsidRPr="00F00945" w:rsidRDefault="00864732" w:rsidP="00864732">
            <w:pPr>
              <w:cnfStyle w:val="000000100000" w:firstRow="0" w:lastRow="0" w:firstColumn="0" w:lastColumn="0" w:oddVBand="0" w:evenVBand="0" w:oddHBand="1" w:evenHBand="0" w:firstRowFirstColumn="0" w:firstRowLastColumn="0" w:lastRowFirstColumn="0" w:lastRowLastColumn="0"/>
              <w:rPr>
                <w:rFonts w:cs="Arial"/>
                <w:i/>
                <w:iCs/>
              </w:rPr>
            </w:pPr>
          </w:p>
        </w:tc>
      </w:tr>
      <w:tr w:rsidR="00864732" w:rsidRPr="00F00945" w14:paraId="0A4B472C" w14:textId="77777777" w:rsidTr="00637B2B">
        <w:tc>
          <w:tcPr>
            <w:cnfStyle w:val="001000000000" w:firstRow="0" w:lastRow="0" w:firstColumn="1" w:lastColumn="0" w:oddVBand="0" w:evenVBand="0" w:oddHBand="0" w:evenHBand="0" w:firstRowFirstColumn="0" w:firstRowLastColumn="0" w:lastRowFirstColumn="0" w:lastRowLastColumn="0"/>
            <w:tcW w:w="1550" w:type="pct"/>
            <w:hideMark/>
          </w:tcPr>
          <w:p w14:paraId="07C80A4C" w14:textId="77777777" w:rsidR="00864732" w:rsidRPr="00F00945" w:rsidRDefault="00864732" w:rsidP="00864732">
            <w:pPr>
              <w:rPr>
                <w:rFonts w:cs="Arial"/>
                <w:i/>
                <w:iCs/>
              </w:rPr>
            </w:pPr>
            <w:r w:rsidRPr="00F00945">
              <w:rPr>
                <w:rFonts w:cs="Arial"/>
                <w:i/>
                <w:iCs/>
              </w:rPr>
              <w:lastRenderedPageBreak/>
              <w:t>Pension – Annual contribution</w:t>
            </w:r>
          </w:p>
          <w:p w14:paraId="203FCBAB" w14:textId="77777777" w:rsidR="00864732" w:rsidRPr="00F00945" w:rsidRDefault="00864732" w:rsidP="00864732">
            <w:pPr>
              <w:rPr>
                <w:rFonts w:cs="Arial"/>
                <w:i/>
                <w:iCs/>
              </w:rPr>
            </w:pPr>
          </w:p>
        </w:tc>
        <w:tc>
          <w:tcPr>
            <w:tcW w:w="1000" w:type="pct"/>
            <w:hideMark/>
          </w:tcPr>
          <w:p w14:paraId="4A753297" w14:textId="77777777" w:rsidR="00864732" w:rsidRPr="00F00945" w:rsidRDefault="00864732" w:rsidP="00864732">
            <w:pPr>
              <w:cnfStyle w:val="000000000000" w:firstRow="0" w:lastRow="0" w:firstColumn="0" w:lastColumn="0" w:oddVBand="0" w:evenVBand="0" w:oddHBand="0" w:evenHBand="0" w:firstRowFirstColumn="0" w:firstRowLastColumn="0" w:lastRowFirstColumn="0" w:lastRowLastColumn="0"/>
              <w:rPr>
                <w:rFonts w:cs="Arial"/>
                <w:i/>
                <w:iCs/>
              </w:rPr>
            </w:pPr>
            <w:r w:rsidRPr="00F00945">
              <w:rPr>
                <w:rFonts w:cs="Arial"/>
                <w:i/>
                <w:iCs/>
              </w:rPr>
              <w:t>Council</w:t>
            </w:r>
          </w:p>
          <w:p w14:paraId="0D22B209" w14:textId="77777777" w:rsidR="00864732" w:rsidRPr="00F00945" w:rsidRDefault="00864732" w:rsidP="00864732">
            <w:pPr>
              <w:cnfStyle w:val="000000000000" w:firstRow="0" w:lastRow="0" w:firstColumn="0" w:lastColumn="0" w:oddVBand="0" w:evenVBand="0" w:oddHBand="0" w:evenHBand="0" w:firstRowFirstColumn="0" w:firstRowLastColumn="0" w:lastRowFirstColumn="0" w:lastRowLastColumn="0"/>
              <w:rPr>
                <w:rFonts w:cs="Arial"/>
                <w:i/>
                <w:iCs/>
              </w:rPr>
            </w:pPr>
          </w:p>
        </w:tc>
        <w:tc>
          <w:tcPr>
            <w:tcW w:w="2450" w:type="pct"/>
            <w:hideMark/>
          </w:tcPr>
          <w:p w14:paraId="0714BB52" w14:textId="77777777" w:rsidR="00864732" w:rsidRPr="00F00945" w:rsidRDefault="00864732" w:rsidP="00864732">
            <w:pPr>
              <w:cnfStyle w:val="000000000000" w:firstRow="0" w:lastRow="0" w:firstColumn="0" w:lastColumn="0" w:oddVBand="0" w:evenVBand="0" w:oddHBand="0" w:evenHBand="0" w:firstRowFirstColumn="0" w:firstRowLastColumn="0" w:lastRowFirstColumn="0" w:lastRowLastColumn="0"/>
              <w:rPr>
                <w:rFonts w:cs="Arial"/>
                <w:i/>
                <w:iCs/>
              </w:rPr>
            </w:pPr>
            <w:r w:rsidRPr="00F00945">
              <w:rPr>
                <w:rFonts w:cs="Arial"/>
                <w:i/>
                <w:iCs/>
              </w:rPr>
              <w:t>Tender based on Admitted Body Status contribution of 21.5%, the contract will be adjusted if this changes.</w:t>
            </w:r>
          </w:p>
          <w:p w14:paraId="4162E72B" w14:textId="77777777" w:rsidR="00864732" w:rsidRPr="00F00945" w:rsidRDefault="00864732" w:rsidP="00864732">
            <w:pPr>
              <w:cnfStyle w:val="000000000000" w:firstRow="0" w:lastRow="0" w:firstColumn="0" w:lastColumn="0" w:oddVBand="0" w:evenVBand="0" w:oddHBand="0" w:evenHBand="0" w:firstRowFirstColumn="0" w:firstRowLastColumn="0" w:lastRowFirstColumn="0" w:lastRowLastColumn="0"/>
              <w:rPr>
                <w:rFonts w:cs="Arial"/>
                <w:i/>
                <w:iCs/>
              </w:rPr>
            </w:pPr>
          </w:p>
        </w:tc>
      </w:tr>
      <w:tr w:rsidR="00864732" w:rsidRPr="00F00945" w14:paraId="6EDE0123" w14:textId="77777777" w:rsidTr="00637B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pct"/>
            <w:hideMark/>
          </w:tcPr>
          <w:p w14:paraId="04F621B4" w14:textId="77777777" w:rsidR="00864732" w:rsidRPr="00F00945" w:rsidRDefault="00864732" w:rsidP="00864732">
            <w:pPr>
              <w:rPr>
                <w:rFonts w:cs="Arial"/>
                <w:i/>
                <w:iCs/>
              </w:rPr>
            </w:pPr>
            <w:r w:rsidRPr="00F00945">
              <w:rPr>
                <w:rFonts w:cs="Arial"/>
                <w:i/>
                <w:iCs/>
              </w:rPr>
              <w:t>Pension – Initial Shortfall</w:t>
            </w:r>
          </w:p>
          <w:p w14:paraId="7177AB23" w14:textId="77777777" w:rsidR="00864732" w:rsidRPr="00F00945" w:rsidRDefault="00864732" w:rsidP="00864732">
            <w:pPr>
              <w:rPr>
                <w:rFonts w:cs="Arial"/>
                <w:i/>
                <w:iCs/>
              </w:rPr>
            </w:pPr>
          </w:p>
        </w:tc>
        <w:tc>
          <w:tcPr>
            <w:tcW w:w="1000" w:type="pct"/>
            <w:hideMark/>
          </w:tcPr>
          <w:p w14:paraId="16ED5920" w14:textId="77777777" w:rsidR="00864732" w:rsidRPr="00F00945" w:rsidRDefault="00864732" w:rsidP="00864732">
            <w:pPr>
              <w:cnfStyle w:val="000000100000" w:firstRow="0" w:lastRow="0" w:firstColumn="0" w:lastColumn="0" w:oddVBand="0" w:evenVBand="0" w:oddHBand="1" w:evenHBand="0" w:firstRowFirstColumn="0" w:firstRowLastColumn="0" w:lastRowFirstColumn="0" w:lastRowLastColumn="0"/>
              <w:rPr>
                <w:rFonts w:cs="Arial"/>
                <w:i/>
                <w:iCs/>
              </w:rPr>
            </w:pPr>
            <w:r w:rsidRPr="00F00945">
              <w:rPr>
                <w:rFonts w:cs="Arial"/>
                <w:i/>
                <w:iCs/>
              </w:rPr>
              <w:t>Council</w:t>
            </w:r>
          </w:p>
          <w:p w14:paraId="2A80DA65" w14:textId="77777777" w:rsidR="00864732" w:rsidRPr="00F00945" w:rsidRDefault="00864732" w:rsidP="00864732">
            <w:pPr>
              <w:cnfStyle w:val="000000100000" w:firstRow="0" w:lastRow="0" w:firstColumn="0" w:lastColumn="0" w:oddVBand="0" w:evenVBand="0" w:oddHBand="1" w:evenHBand="0" w:firstRowFirstColumn="0" w:firstRowLastColumn="0" w:lastRowFirstColumn="0" w:lastRowLastColumn="0"/>
              <w:rPr>
                <w:rFonts w:cs="Arial"/>
                <w:i/>
                <w:iCs/>
              </w:rPr>
            </w:pPr>
          </w:p>
        </w:tc>
        <w:tc>
          <w:tcPr>
            <w:tcW w:w="2450" w:type="pct"/>
            <w:hideMark/>
          </w:tcPr>
          <w:p w14:paraId="2C473041" w14:textId="77777777" w:rsidR="00864732" w:rsidRPr="00F00945" w:rsidRDefault="00864732" w:rsidP="00864732">
            <w:pPr>
              <w:cnfStyle w:val="000000100000" w:firstRow="0" w:lastRow="0" w:firstColumn="0" w:lastColumn="0" w:oddVBand="0" w:evenVBand="0" w:oddHBand="1" w:evenHBand="0" w:firstRowFirstColumn="0" w:firstRowLastColumn="0" w:lastRowFirstColumn="0" w:lastRowLastColumn="0"/>
              <w:rPr>
                <w:rFonts w:cs="Arial"/>
                <w:i/>
                <w:iCs/>
              </w:rPr>
            </w:pPr>
            <w:r w:rsidRPr="00F00945">
              <w:rPr>
                <w:rFonts w:cs="Arial"/>
                <w:i/>
                <w:iCs/>
              </w:rPr>
              <w:t>This can only be determined on the day of transfer and has been estimated to be £540k.</w:t>
            </w:r>
          </w:p>
          <w:p w14:paraId="4213061B" w14:textId="77777777" w:rsidR="00864732" w:rsidRPr="00F00945" w:rsidRDefault="00864732" w:rsidP="00864732">
            <w:pPr>
              <w:cnfStyle w:val="000000100000" w:firstRow="0" w:lastRow="0" w:firstColumn="0" w:lastColumn="0" w:oddVBand="0" w:evenVBand="0" w:oddHBand="1" w:evenHBand="0" w:firstRowFirstColumn="0" w:firstRowLastColumn="0" w:lastRowFirstColumn="0" w:lastRowLastColumn="0"/>
              <w:rPr>
                <w:rFonts w:cs="Arial"/>
                <w:i/>
                <w:iCs/>
              </w:rPr>
            </w:pPr>
          </w:p>
        </w:tc>
      </w:tr>
      <w:tr w:rsidR="00864732" w:rsidRPr="00F00945" w14:paraId="5E60C0F8" w14:textId="77777777" w:rsidTr="00637B2B">
        <w:tc>
          <w:tcPr>
            <w:cnfStyle w:val="001000000000" w:firstRow="0" w:lastRow="0" w:firstColumn="1" w:lastColumn="0" w:oddVBand="0" w:evenVBand="0" w:oddHBand="0" w:evenHBand="0" w:firstRowFirstColumn="0" w:firstRowLastColumn="0" w:lastRowFirstColumn="0" w:lastRowLastColumn="0"/>
            <w:tcW w:w="1550" w:type="pct"/>
          </w:tcPr>
          <w:p w14:paraId="55DE98EB" w14:textId="77777777" w:rsidR="00864732" w:rsidRPr="00F00945" w:rsidRDefault="00864732" w:rsidP="00864732">
            <w:pPr>
              <w:rPr>
                <w:rFonts w:cs="Arial"/>
                <w:i/>
                <w:iCs/>
              </w:rPr>
            </w:pPr>
            <w:r w:rsidRPr="00F00945">
              <w:rPr>
                <w:rFonts w:cs="Arial"/>
                <w:i/>
                <w:iCs/>
              </w:rPr>
              <w:t>Pension – Exit Shortfall</w:t>
            </w:r>
          </w:p>
        </w:tc>
        <w:tc>
          <w:tcPr>
            <w:tcW w:w="1000" w:type="pct"/>
          </w:tcPr>
          <w:p w14:paraId="579D5D4A" w14:textId="77777777" w:rsidR="00864732" w:rsidRPr="00F00945" w:rsidRDefault="00864732" w:rsidP="00864732">
            <w:pPr>
              <w:cnfStyle w:val="000000000000" w:firstRow="0" w:lastRow="0" w:firstColumn="0" w:lastColumn="0" w:oddVBand="0" w:evenVBand="0" w:oddHBand="0" w:evenHBand="0" w:firstRowFirstColumn="0" w:firstRowLastColumn="0" w:lastRowFirstColumn="0" w:lastRowLastColumn="0"/>
              <w:rPr>
                <w:rFonts w:cs="Arial"/>
                <w:i/>
                <w:iCs/>
              </w:rPr>
            </w:pPr>
            <w:r w:rsidRPr="00F00945">
              <w:rPr>
                <w:rFonts w:cs="Arial"/>
                <w:i/>
                <w:iCs/>
              </w:rPr>
              <w:t>Council</w:t>
            </w:r>
          </w:p>
        </w:tc>
        <w:tc>
          <w:tcPr>
            <w:tcW w:w="2450" w:type="pct"/>
          </w:tcPr>
          <w:p w14:paraId="4B10CBA1" w14:textId="77777777" w:rsidR="00864732" w:rsidRPr="00F00945" w:rsidRDefault="00864732" w:rsidP="00864732">
            <w:pPr>
              <w:cnfStyle w:val="000000000000" w:firstRow="0" w:lastRow="0" w:firstColumn="0" w:lastColumn="0" w:oddVBand="0" w:evenVBand="0" w:oddHBand="0" w:evenHBand="0" w:firstRowFirstColumn="0" w:firstRowLastColumn="0" w:lastRowFirstColumn="0" w:lastRowLastColumn="0"/>
              <w:rPr>
                <w:rFonts w:cs="Arial"/>
                <w:i/>
                <w:iCs/>
              </w:rPr>
            </w:pPr>
            <w:r w:rsidRPr="00F00945">
              <w:rPr>
                <w:rFonts w:cs="Arial"/>
                <w:i/>
                <w:iCs/>
              </w:rPr>
              <w:t>This can only be determined on the last day of the contract. Employer contributions will be monitored and adjusted to minimise this as far as possible.</w:t>
            </w:r>
          </w:p>
        </w:tc>
      </w:tr>
    </w:tbl>
    <w:p w14:paraId="3F7E6EEC" w14:textId="77777777" w:rsidR="00864732" w:rsidRPr="00864732" w:rsidRDefault="00864732" w:rsidP="002229F6">
      <w:pPr>
        <w:pStyle w:val="Normal0"/>
      </w:pPr>
    </w:p>
    <w:p w14:paraId="707237E9" w14:textId="77777777" w:rsidR="00864732" w:rsidRPr="00864732" w:rsidRDefault="00864732" w:rsidP="002229F6">
      <w:pPr>
        <w:pStyle w:val="Normal0"/>
        <w:rPr>
          <w:sz w:val="24"/>
          <w:szCs w:val="24"/>
        </w:rPr>
      </w:pPr>
      <w:r w:rsidRPr="00864732">
        <w:rPr>
          <w:sz w:val="24"/>
          <w:szCs w:val="24"/>
        </w:rPr>
        <w:t>Analysis of 2012 decision</w:t>
      </w:r>
    </w:p>
    <w:p w14:paraId="68D7E03A" w14:textId="77777777" w:rsidR="00864732" w:rsidRPr="00F00945" w:rsidRDefault="00864732" w:rsidP="00864732"/>
    <w:p w14:paraId="3CC1F134" w14:textId="6A524855" w:rsidR="00864732" w:rsidRPr="00F00945" w:rsidRDefault="00864732" w:rsidP="00864732">
      <w:pPr>
        <w:rPr>
          <w:rFonts w:cs="Arial"/>
        </w:rPr>
      </w:pPr>
      <w:r w:rsidRPr="00F00945">
        <w:rPr>
          <w:rFonts w:cs="Arial"/>
        </w:rPr>
        <w:t xml:space="preserve">The reason for outsourcing the contract was to minimise risk.  In setting a fixed consumption rate for energy, the </w:t>
      </w:r>
      <w:r>
        <w:rPr>
          <w:rFonts w:cs="Arial"/>
        </w:rPr>
        <w:t>C</w:t>
      </w:r>
      <w:r w:rsidRPr="00F00945">
        <w:rPr>
          <w:rFonts w:cs="Arial"/>
        </w:rPr>
        <w:t>ouncil passed the energy consumption risk to the Contractor.  The Council therefore had certainty over energy consumption levels, meeting the objective of minimising risk.</w:t>
      </w:r>
    </w:p>
    <w:p w14:paraId="774F3373" w14:textId="77777777" w:rsidR="00864732" w:rsidRPr="002229F6" w:rsidRDefault="00864732" w:rsidP="002229F6">
      <w:pPr>
        <w:pStyle w:val="Normal0"/>
        <w:rPr>
          <w:sz w:val="24"/>
          <w:szCs w:val="24"/>
        </w:rPr>
      </w:pPr>
    </w:p>
    <w:p w14:paraId="3475C1A2" w14:textId="77777777" w:rsidR="00864732" w:rsidRDefault="00864732" w:rsidP="002229F6">
      <w:pPr>
        <w:pStyle w:val="Normal0"/>
        <w:rPr>
          <w:sz w:val="24"/>
          <w:szCs w:val="24"/>
        </w:rPr>
      </w:pPr>
      <w:r w:rsidRPr="002229F6">
        <w:rPr>
          <w:sz w:val="24"/>
          <w:szCs w:val="24"/>
        </w:rPr>
        <w:t>The Council assessed value for money in the selection of the preferred contractor by comparing the received bids against each other, plus comparison with an in-house comparator model.  When comparing the preferred contractor to the in-house comparator, the saving from outsourcing was over £1m per year - £10m over the initial contract period.</w:t>
      </w:r>
    </w:p>
    <w:p w14:paraId="2DB3C101" w14:textId="77777777" w:rsidR="002229F6" w:rsidRPr="002229F6" w:rsidRDefault="002229F6" w:rsidP="002229F6">
      <w:pPr>
        <w:pStyle w:val="Normal0"/>
        <w:rPr>
          <w:sz w:val="24"/>
          <w:szCs w:val="24"/>
        </w:rPr>
      </w:pPr>
    </w:p>
    <w:p w14:paraId="46C8A62D" w14:textId="77777777" w:rsidR="00864732" w:rsidRPr="002229F6" w:rsidRDefault="00864732" w:rsidP="002229F6">
      <w:pPr>
        <w:pStyle w:val="Normal0"/>
        <w:rPr>
          <w:b/>
          <w:bCs/>
          <w:sz w:val="24"/>
          <w:szCs w:val="24"/>
        </w:rPr>
      </w:pPr>
      <w:r w:rsidRPr="002229F6">
        <w:rPr>
          <w:b/>
          <w:bCs/>
          <w:sz w:val="24"/>
          <w:szCs w:val="24"/>
        </w:rPr>
        <w:t>Contractual Arrangements</w:t>
      </w:r>
    </w:p>
    <w:p w14:paraId="6B16C2E2" w14:textId="3F9ED80D" w:rsidR="00864732" w:rsidRPr="002229F6" w:rsidRDefault="00864732" w:rsidP="002229F6">
      <w:pPr>
        <w:pStyle w:val="Normal0"/>
        <w:rPr>
          <w:b/>
          <w:bCs/>
          <w:sz w:val="24"/>
          <w:szCs w:val="24"/>
        </w:rPr>
      </w:pPr>
      <w:r w:rsidRPr="002229F6">
        <w:rPr>
          <w:b/>
          <w:bCs/>
          <w:sz w:val="24"/>
          <w:szCs w:val="24"/>
        </w:rPr>
        <w:t>Contract fees explained</w:t>
      </w:r>
    </w:p>
    <w:p w14:paraId="633F3888" w14:textId="77777777" w:rsidR="00864732" w:rsidRPr="002229F6" w:rsidRDefault="00864732" w:rsidP="002229F6">
      <w:pPr>
        <w:pStyle w:val="Normal0"/>
        <w:rPr>
          <w:sz w:val="24"/>
          <w:szCs w:val="24"/>
        </w:rPr>
      </w:pPr>
    </w:p>
    <w:p w14:paraId="0B68B0EC" w14:textId="6DE22235" w:rsidR="00864732" w:rsidRPr="002229F6" w:rsidRDefault="00864732" w:rsidP="002229F6">
      <w:pPr>
        <w:pStyle w:val="Normal0"/>
        <w:rPr>
          <w:sz w:val="24"/>
          <w:szCs w:val="24"/>
        </w:rPr>
      </w:pPr>
      <w:r w:rsidRPr="002229F6">
        <w:rPr>
          <w:sz w:val="24"/>
          <w:szCs w:val="24"/>
        </w:rPr>
        <w:t>The details of the management fee were set out in Schedule 4 of the Leisure Services contract.</w:t>
      </w:r>
    </w:p>
    <w:p w14:paraId="4A57F658" w14:textId="77777777" w:rsidR="00864732" w:rsidRPr="00F00945" w:rsidRDefault="00864732" w:rsidP="00864732">
      <w:pPr>
        <w:rPr>
          <w:rFonts w:cs="Arial"/>
        </w:rPr>
      </w:pPr>
    </w:p>
    <w:p w14:paraId="2B92790B" w14:textId="37F03833" w:rsidR="00864732" w:rsidRDefault="00864732" w:rsidP="00864732">
      <w:pPr>
        <w:rPr>
          <w:rFonts w:cs="Arial"/>
        </w:rPr>
      </w:pPr>
      <w:r w:rsidRPr="00F00945">
        <w:rPr>
          <w:rFonts w:cs="Arial"/>
        </w:rPr>
        <w:t xml:space="preserve">The management fee </w:t>
      </w:r>
      <w:r>
        <w:rPr>
          <w:rFonts w:cs="Arial"/>
        </w:rPr>
        <w:t>wa</w:t>
      </w:r>
      <w:r w:rsidRPr="00F00945">
        <w:rPr>
          <w:rFonts w:cs="Arial"/>
        </w:rPr>
        <w:t xml:space="preserve">s made up of the following parts: </w:t>
      </w:r>
    </w:p>
    <w:p w14:paraId="2D3A6421" w14:textId="77777777" w:rsidR="00864732" w:rsidRPr="00F00945" w:rsidRDefault="00864732" w:rsidP="00864732">
      <w:pPr>
        <w:rPr>
          <w:rFonts w:cs="Arial"/>
        </w:rPr>
      </w:pPr>
    </w:p>
    <w:tbl>
      <w:tblPr>
        <w:tblStyle w:val="ListTable3-Accent42"/>
        <w:tblW w:w="9067" w:type="dxa"/>
        <w:tblLook w:val="0620" w:firstRow="1" w:lastRow="0" w:firstColumn="0" w:lastColumn="0" w:noHBand="1" w:noVBand="1"/>
      </w:tblPr>
      <w:tblGrid>
        <w:gridCol w:w="721"/>
        <w:gridCol w:w="639"/>
        <w:gridCol w:w="3665"/>
        <w:gridCol w:w="4042"/>
      </w:tblGrid>
      <w:tr w:rsidR="00864732" w:rsidRPr="00F00945" w14:paraId="58A6FEFC" w14:textId="77777777" w:rsidTr="00637B2B">
        <w:trPr>
          <w:cnfStyle w:val="100000000000" w:firstRow="1" w:lastRow="0" w:firstColumn="0" w:lastColumn="0" w:oddVBand="0" w:evenVBand="0" w:oddHBand="0" w:evenHBand="0" w:firstRowFirstColumn="0" w:firstRowLastColumn="0" w:lastRowFirstColumn="0" w:lastRowLastColumn="0"/>
        </w:trPr>
        <w:tc>
          <w:tcPr>
            <w:tcW w:w="721" w:type="dxa"/>
          </w:tcPr>
          <w:p w14:paraId="34200441" w14:textId="77777777" w:rsidR="00864732" w:rsidRPr="00F00945" w:rsidRDefault="00864732" w:rsidP="00864732">
            <w:pPr>
              <w:spacing w:after="120"/>
              <w:ind w:left="11"/>
              <w:rPr>
                <w:rFonts w:cs="Arial"/>
              </w:rPr>
            </w:pPr>
            <w:r w:rsidRPr="00F00945">
              <w:rPr>
                <w:rFonts w:cs="Arial"/>
              </w:rPr>
              <w:t>Line</w:t>
            </w:r>
          </w:p>
        </w:tc>
        <w:tc>
          <w:tcPr>
            <w:tcW w:w="639" w:type="dxa"/>
          </w:tcPr>
          <w:p w14:paraId="4B500947" w14:textId="77777777" w:rsidR="00864732" w:rsidRPr="00F00945" w:rsidRDefault="00864732" w:rsidP="00864732">
            <w:pPr>
              <w:spacing w:after="120"/>
              <w:ind w:left="11"/>
              <w:rPr>
                <w:rFonts w:cs="Arial"/>
              </w:rPr>
            </w:pPr>
          </w:p>
        </w:tc>
        <w:tc>
          <w:tcPr>
            <w:tcW w:w="3665" w:type="dxa"/>
          </w:tcPr>
          <w:p w14:paraId="5880D690" w14:textId="77777777" w:rsidR="00864732" w:rsidRPr="00F00945" w:rsidRDefault="00864732" w:rsidP="00864732">
            <w:pPr>
              <w:spacing w:after="120"/>
              <w:ind w:left="39"/>
              <w:rPr>
                <w:rFonts w:cs="Arial"/>
              </w:rPr>
            </w:pPr>
            <w:r w:rsidRPr="00F00945">
              <w:rPr>
                <w:rFonts w:cs="Arial"/>
              </w:rPr>
              <w:t>Term</w:t>
            </w:r>
          </w:p>
        </w:tc>
        <w:tc>
          <w:tcPr>
            <w:tcW w:w="4042" w:type="dxa"/>
          </w:tcPr>
          <w:p w14:paraId="61B4301F" w14:textId="77777777" w:rsidR="00864732" w:rsidRPr="00F00945" w:rsidRDefault="00864732" w:rsidP="00864732">
            <w:pPr>
              <w:spacing w:after="120"/>
              <w:ind w:left="39"/>
              <w:rPr>
                <w:rFonts w:cs="Arial"/>
              </w:rPr>
            </w:pPr>
            <w:r w:rsidRPr="00F00945">
              <w:rPr>
                <w:rFonts w:cs="Arial"/>
              </w:rPr>
              <w:t>Explanation</w:t>
            </w:r>
          </w:p>
        </w:tc>
      </w:tr>
      <w:tr w:rsidR="00864732" w:rsidRPr="00F00945" w14:paraId="19D9D03F" w14:textId="77777777" w:rsidTr="00637B2B">
        <w:tc>
          <w:tcPr>
            <w:tcW w:w="721" w:type="dxa"/>
          </w:tcPr>
          <w:p w14:paraId="1990EEB4" w14:textId="77777777" w:rsidR="00864732" w:rsidRPr="00F00945" w:rsidRDefault="00864732" w:rsidP="00864732">
            <w:pPr>
              <w:spacing w:after="120"/>
              <w:ind w:left="11"/>
              <w:rPr>
                <w:rFonts w:cs="Arial"/>
              </w:rPr>
            </w:pPr>
            <w:r w:rsidRPr="00F00945">
              <w:rPr>
                <w:rFonts w:cs="Arial"/>
              </w:rPr>
              <w:t>1</w:t>
            </w:r>
          </w:p>
        </w:tc>
        <w:tc>
          <w:tcPr>
            <w:tcW w:w="639" w:type="dxa"/>
          </w:tcPr>
          <w:p w14:paraId="68222B1B" w14:textId="77777777" w:rsidR="00864732" w:rsidRPr="00F00945" w:rsidRDefault="00864732" w:rsidP="00864732">
            <w:pPr>
              <w:spacing w:after="120"/>
              <w:ind w:left="11"/>
              <w:rPr>
                <w:rFonts w:cs="Arial"/>
              </w:rPr>
            </w:pPr>
          </w:p>
        </w:tc>
        <w:tc>
          <w:tcPr>
            <w:tcW w:w="3665" w:type="dxa"/>
          </w:tcPr>
          <w:p w14:paraId="01DCA219" w14:textId="77777777" w:rsidR="00864732" w:rsidRPr="00F00945" w:rsidRDefault="00864732" w:rsidP="00864732">
            <w:pPr>
              <w:spacing w:after="120"/>
              <w:ind w:left="39"/>
              <w:rPr>
                <w:rFonts w:cs="Arial"/>
              </w:rPr>
            </w:pPr>
            <w:r w:rsidRPr="00F00945">
              <w:rPr>
                <w:rFonts w:cs="Arial"/>
              </w:rPr>
              <w:t>Base Payment</w:t>
            </w:r>
          </w:p>
        </w:tc>
        <w:tc>
          <w:tcPr>
            <w:tcW w:w="4042" w:type="dxa"/>
          </w:tcPr>
          <w:p w14:paraId="08435328" w14:textId="77777777" w:rsidR="00864732" w:rsidRPr="00F00945" w:rsidRDefault="00864732" w:rsidP="00864732">
            <w:pPr>
              <w:spacing w:after="120"/>
              <w:ind w:left="39"/>
              <w:rPr>
                <w:rFonts w:cs="Arial"/>
              </w:rPr>
            </w:pPr>
            <w:r w:rsidRPr="00F00945">
              <w:rPr>
                <w:rFonts w:cs="Arial"/>
              </w:rPr>
              <w:t>Contract fee excluding utility payments</w:t>
            </w:r>
          </w:p>
        </w:tc>
      </w:tr>
      <w:tr w:rsidR="00864732" w:rsidRPr="00F00945" w14:paraId="5D5B403E" w14:textId="77777777" w:rsidTr="00637B2B">
        <w:tc>
          <w:tcPr>
            <w:tcW w:w="721" w:type="dxa"/>
          </w:tcPr>
          <w:p w14:paraId="5416B986" w14:textId="77777777" w:rsidR="00864732" w:rsidRPr="00F00945" w:rsidRDefault="00864732" w:rsidP="00864732">
            <w:pPr>
              <w:spacing w:after="120"/>
              <w:ind w:left="11"/>
              <w:rPr>
                <w:rFonts w:cs="Arial"/>
              </w:rPr>
            </w:pPr>
            <w:r w:rsidRPr="00F00945">
              <w:rPr>
                <w:rFonts w:cs="Arial"/>
              </w:rPr>
              <w:t>2</w:t>
            </w:r>
          </w:p>
        </w:tc>
        <w:tc>
          <w:tcPr>
            <w:tcW w:w="639" w:type="dxa"/>
          </w:tcPr>
          <w:p w14:paraId="06D82090" w14:textId="77777777" w:rsidR="00864732" w:rsidRPr="00F00945" w:rsidRDefault="00864732" w:rsidP="00864732">
            <w:pPr>
              <w:spacing w:after="120"/>
              <w:ind w:left="11"/>
              <w:rPr>
                <w:rFonts w:cs="Arial"/>
              </w:rPr>
            </w:pPr>
            <w:r w:rsidRPr="00F00945">
              <w:rPr>
                <w:rFonts w:cs="Arial"/>
              </w:rPr>
              <w:t>-</w:t>
            </w:r>
          </w:p>
        </w:tc>
        <w:tc>
          <w:tcPr>
            <w:tcW w:w="3665" w:type="dxa"/>
          </w:tcPr>
          <w:p w14:paraId="2C65EC10" w14:textId="77777777" w:rsidR="00864732" w:rsidRPr="00F00945" w:rsidRDefault="00864732" w:rsidP="00864732">
            <w:pPr>
              <w:spacing w:after="120"/>
              <w:ind w:left="39"/>
              <w:rPr>
                <w:rFonts w:cs="Arial"/>
              </w:rPr>
            </w:pPr>
            <w:r w:rsidRPr="00F00945">
              <w:rPr>
                <w:rFonts w:cs="Arial"/>
              </w:rPr>
              <w:t>Performance Deduction</w:t>
            </w:r>
          </w:p>
        </w:tc>
        <w:tc>
          <w:tcPr>
            <w:tcW w:w="4042" w:type="dxa"/>
          </w:tcPr>
          <w:p w14:paraId="5D1DDAAE" w14:textId="77777777" w:rsidR="00864732" w:rsidRPr="00F00945" w:rsidRDefault="00864732" w:rsidP="00864732">
            <w:pPr>
              <w:spacing w:after="120"/>
              <w:ind w:left="39"/>
              <w:rPr>
                <w:rFonts w:cs="Arial"/>
              </w:rPr>
            </w:pPr>
            <w:r w:rsidRPr="00F00945">
              <w:rPr>
                <w:rFonts w:cs="Arial"/>
              </w:rPr>
              <w:t>In connection with performance failures</w:t>
            </w:r>
          </w:p>
        </w:tc>
      </w:tr>
      <w:tr w:rsidR="00864732" w:rsidRPr="00F00945" w14:paraId="66510797" w14:textId="77777777" w:rsidTr="00637B2B">
        <w:tc>
          <w:tcPr>
            <w:tcW w:w="721" w:type="dxa"/>
          </w:tcPr>
          <w:p w14:paraId="10BC6E1B" w14:textId="77777777" w:rsidR="00864732" w:rsidRPr="00F00945" w:rsidRDefault="00864732" w:rsidP="00864732">
            <w:pPr>
              <w:spacing w:after="120"/>
              <w:ind w:left="11"/>
              <w:rPr>
                <w:rFonts w:cs="Arial"/>
              </w:rPr>
            </w:pPr>
            <w:r w:rsidRPr="00F00945">
              <w:rPr>
                <w:rFonts w:cs="Arial"/>
              </w:rPr>
              <w:t>3</w:t>
            </w:r>
          </w:p>
        </w:tc>
        <w:tc>
          <w:tcPr>
            <w:tcW w:w="639" w:type="dxa"/>
          </w:tcPr>
          <w:p w14:paraId="27D8C4A5" w14:textId="77777777" w:rsidR="00864732" w:rsidRPr="00F00945" w:rsidRDefault="00864732" w:rsidP="00864732">
            <w:pPr>
              <w:spacing w:after="120"/>
              <w:ind w:left="11"/>
              <w:rPr>
                <w:rFonts w:cs="Arial"/>
              </w:rPr>
            </w:pPr>
            <w:r w:rsidRPr="00F00945">
              <w:rPr>
                <w:rFonts w:cs="Arial"/>
              </w:rPr>
              <w:t>+</w:t>
            </w:r>
          </w:p>
        </w:tc>
        <w:tc>
          <w:tcPr>
            <w:tcW w:w="3665" w:type="dxa"/>
          </w:tcPr>
          <w:p w14:paraId="41FCC8AE" w14:textId="77777777" w:rsidR="00864732" w:rsidRPr="00F00945" w:rsidRDefault="00864732" w:rsidP="00864732">
            <w:pPr>
              <w:spacing w:after="120"/>
              <w:ind w:left="39"/>
              <w:rPr>
                <w:rFonts w:cs="Arial"/>
              </w:rPr>
            </w:pPr>
            <w:r w:rsidRPr="00F00945">
              <w:rPr>
                <w:rFonts w:cs="Arial"/>
              </w:rPr>
              <w:t>Utilities Payment</w:t>
            </w:r>
          </w:p>
        </w:tc>
        <w:tc>
          <w:tcPr>
            <w:tcW w:w="4042" w:type="dxa"/>
          </w:tcPr>
          <w:p w14:paraId="19AB93C7" w14:textId="77777777" w:rsidR="00864732" w:rsidRPr="00F00945" w:rsidRDefault="00864732" w:rsidP="00864732">
            <w:pPr>
              <w:spacing w:after="120"/>
              <w:ind w:left="39"/>
              <w:rPr>
                <w:rFonts w:cs="Arial"/>
              </w:rPr>
            </w:pPr>
            <w:r w:rsidRPr="00F00945">
              <w:rPr>
                <w:rFonts w:cs="Arial"/>
              </w:rPr>
              <w:t>Payment calculated using the utility mechanism</w:t>
            </w:r>
          </w:p>
        </w:tc>
      </w:tr>
      <w:tr w:rsidR="00864732" w:rsidRPr="00F00945" w14:paraId="360F63E4" w14:textId="77777777" w:rsidTr="00637B2B">
        <w:tc>
          <w:tcPr>
            <w:tcW w:w="721" w:type="dxa"/>
          </w:tcPr>
          <w:p w14:paraId="4D9D24F0" w14:textId="77777777" w:rsidR="00864732" w:rsidRPr="00F00945" w:rsidRDefault="00864732" w:rsidP="00864732">
            <w:pPr>
              <w:spacing w:after="120"/>
              <w:ind w:left="11"/>
              <w:rPr>
                <w:rFonts w:cs="Arial"/>
              </w:rPr>
            </w:pPr>
            <w:r w:rsidRPr="00F00945">
              <w:rPr>
                <w:rFonts w:cs="Arial"/>
              </w:rPr>
              <w:t>4</w:t>
            </w:r>
          </w:p>
        </w:tc>
        <w:tc>
          <w:tcPr>
            <w:tcW w:w="639" w:type="dxa"/>
          </w:tcPr>
          <w:p w14:paraId="209EF969" w14:textId="77777777" w:rsidR="00864732" w:rsidRPr="00F00945" w:rsidRDefault="00864732" w:rsidP="00864732">
            <w:pPr>
              <w:spacing w:after="120"/>
              <w:ind w:left="11"/>
              <w:rPr>
                <w:rFonts w:cs="Arial"/>
              </w:rPr>
            </w:pPr>
            <w:r w:rsidRPr="00F00945">
              <w:rPr>
                <w:rFonts w:cs="Arial"/>
              </w:rPr>
              <w:t>+/-</w:t>
            </w:r>
          </w:p>
        </w:tc>
        <w:tc>
          <w:tcPr>
            <w:tcW w:w="3665" w:type="dxa"/>
          </w:tcPr>
          <w:p w14:paraId="0DD2EC0B" w14:textId="77777777" w:rsidR="00864732" w:rsidRPr="00F00945" w:rsidRDefault="00864732" w:rsidP="00864732">
            <w:pPr>
              <w:spacing w:after="120"/>
              <w:ind w:left="39"/>
              <w:rPr>
                <w:rFonts w:cs="Arial"/>
              </w:rPr>
            </w:pPr>
            <w:r w:rsidRPr="00F00945">
              <w:rPr>
                <w:rFonts w:cs="Arial"/>
              </w:rPr>
              <w:t>Pension Adjustment</w:t>
            </w:r>
          </w:p>
        </w:tc>
        <w:tc>
          <w:tcPr>
            <w:tcW w:w="4042" w:type="dxa"/>
          </w:tcPr>
          <w:p w14:paraId="6FB60CA1" w14:textId="77777777" w:rsidR="00864732" w:rsidRPr="00F00945" w:rsidRDefault="00864732" w:rsidP="00864732">
            <w:pPr>
              <w:spacing w:after="120"/>
              <w:ind w:left="39"/>
              <w:rPr>
                <w:rFonts w:cs="Arial"/>
              </w:rPr>
            </w:pPr>
            <w:r w:rsidRPr="00F00945">
              <w:rPr>
                <w:rFonts w:cs="Arial"/>
              </w:rPr>
              <w:t>In connection with NILGOSC enrolled staff</w:t>
            </w:r>
          </w:p>
        </w:tc>
      </w:tr>
      <w:tr w:rsidR="00864732" w:rsidRPr="00F00945" w14:paraId="5E59DED6" w14:textId="77777777" w:rsidTr="00637B2B">
        <w:tc>
          <w:tcPr>
            <w:tcW w:w="721" w:type="dxa"/>
          </w:tcPr>
          <w:p w14:paraId="0777EEC9" w14:textId="77777777" w:rsidR="00864732" w:rsidRPr="00F00945" w:rsidRDefault="00864732" w:rsidP="00864732">
            <w:pPr>
              <w:spacing w:after="120"/>
              <w:ind w:left="11"/>
              <w:rPr>
                <w:rFonts w:cs="Arial"/>
              </w:rPr>
            </w:pPr>
            <w:r w:rsidRPr="00F00945">
              <w:rPr>
                <w:rFonts w:cs="Arial"/>
              </w:rPr>
              <w:lastRenderedPageBreak/>
              <w:t>5</w:t>
            </w:r>
          </w:p>
        </w:tc>
        <w:tc>
          <w:tcPr>
            <w:tcW w:w="639" w:type="dxa"/>
          </w:tcPr>
          <w:p w14:paraId="1F10370A" w14:textId="77777777" w:rsidR="00864732" w:rsidRPr="00F00945" w:rsidRDefault="00864732" w:rsidP="00864732">
            <w:pPr>
              <w:spacing w:after="120"/>
              <w:ind w:left="11"/>
              <w:rPr>
                <w:rFonts w:cs="Arial"/>
              </w:rPr>
            </w:pPr>
            <w:r w:rsidRPr="00F00945">
              <w:rPr>
                <w:rFonts w:cs="Arial"/>
              </w:rPr>
              <w:t>-</w:t>
            </w:r>
          </w:p>
        </w:tc>
        <w:tc>
          <w:tcPr>
            <w:tcW w:w="3665" w:type="dxa"/>
          </w:tcPr>
          <w:p w14:paraId="4C1C3FF1" w14:textId="77777777" w:rsidR="00864732" w:rsidRPr="00F00945" w:rsidRDefault="00864732" w:rsidP="00864732">
            <w:pPr>
              <w:spacing w:after="120"/>
              <w:ind w:left="39"/>
              <w:rPr>
                <w:rFonts w:cs="Arial"/>
              </w:rPr>
            </w:pPr>
            <w:r w:rsidRPr="00F00945">
              <w:rPr>
                <w:rFonts w:cs="Arial"/>
              </w:rPr>
              <w:t>Profit Share</w:t>
            </w:r>
          </w:p>
        </w:tc>
        <w:tc>
          <w:tcPr>
            <w:tcW w:w="4042" w:type="dxa"/>
          </w:tcPr>
          <w:p w14:paraId="72CDDB10" w14:textId="77777777" w:rsidR="00864732" w:rsidRPr="00F00945" w:rsidRDefault="00864732" w:rsidP="00864732">
            <w:pPr>
              <w:spacing w:after="120"/>
              <w:ind w:left="39"/>
              <w:rPr>
                <w:rFonts w:cs="Arial"/>
              </w:rPr>
            </w:pPr>
            <w:r w:rsidRPr="00F00945">
              <w:rPr>
                <w:rFonts w:cs="Arial"/>
              </w:rPr>
              <w:t>Reduction due to contract being in surplus</w:t>
            </w:r>
          </w:p>
        </w:tc>
      </w:tr>
      <w:tr w:rsidR="00864732" w:rsidRPr="00F00945" w14:paraId="23AE34C6" w14:textId="77777777" w:rsidTr="00637B2B">
        <w:tc>
          <w:tcPr>
            <w:tcW w:w="721" w:type="dxa"/>
          </w:tcPr>
          <w:p w14:paraId="38C6927B" w14:textId="77777777" w:rsidR="00864732" w:rsidRPr="00F00945" w:rsidRDefault="00864732" w:rsidP="00864732">
            <w:pPr>
              <w:spacing w:after="120"/>
              <w:ind w:left="11"/>
              <w:rPr>
                <w:rFonts w:cs="Arial"/>
              </w:rPr>
            </w:pPr>
            <w:r w:rsidRPr="00F00945">
              <w:rPr>
                <w:rFonts w:cs="Arial"/>
              </w:rPr>
              <w:t>6</w:t>
            </w:r>
          </w:p>
        </w:tc>
        <w:tc>
          <w:tcPr>
            <w:tcW w:w="639" w:type="dxa"/>
          </w:tcPr>
          <w:p w14:paraId="34EE5140" w14:textId="77777777" w:rsidR="00864732" w:rsidRPr="00F00945" w:rsidRDefault="00864732" w:rsidP="00864732">
            <w:pPr>
              <w:spacing w:after="120"/>
              <w:ind w:left="11"/>
              <w:rPr>
                <w:rFonts w:cs="Arial"/>
              </w:rPr>
            </w:pPr>
            <w:r w:rsidRPr="00F00945">
              <w:rPr>
                <w:rFonts w:cs="Arial"/>
              </w:rPr>
              <w:t>+/-</w:t>
            </w:r>
          </w:p>
        </w:tc>
        <w:tc>
          <w:tcPr>
            <w:tcW w:w="3665" w:type="dxa"/>
          </w:tcPr>
          <w:p w14:paraId="35AFD28D" w14:textId="77777777" w:rsidR="00864732" w:rsidRPr="00F00945" w:rsidRDefault="00864732" w:rsidP="00864732">
            <w:pPr>
              <w:spacing w:after="120"/>
              <w:ind w:left="39"/>
              <w:rPr>
                <w:rFonts w:cs="Arial"/>
              </w:rPr>
            </w:pPr>
            <w:r w:rsidRPr="00F00945">
              <w:rPr>
                <w:rFonts w:cs="Arial"/>
              </w:rPr>
              <w:t>Utility Adjustment</w:t>
            </w:r>
          </w:p>
        </w:tc>
        <w:tc>
          <w:tcPr>
            <w:tcW w:w="4042" w:type="dxa"/>
          </w:tcPr>
          <w:p w14:paraId="352D3DF2" w14:textId="77777777" w:rsidR="00864732" w:rsidRPr="00F00945" w:rsidRDefault="00864732" w:rsidP="00864732">
            <w:pPr>
              <w:spacing w:after="120"/>
              <w:ind w:left="39"/>
              <w:rPr>
                <w:rFonts w:cs="Arial"/>
              </w:rPr>
            </w:pPr>
            <w:r w:rsidRPr="00F00945">
              <w:rPr>
                <w:rFonts w:cs="Arial"/>
              </w:rPr>
              <w:t>End of year</w:t>
            </w:r>
          </w:p>
        </w:tc>
      </w:tr>
      <w:tr w:rsidR="00864732" w:rsidRPr="00F00945" w14:paraId="083EE207" w14:textId="77777777" w:rsidTr="00637B2B">
        <w:tc>
          <w:tcPr>
            <w:tcW w:w="721" w:type="dxa"/>
          </w:tcPr>
          <w:p w14:paraId="6D2B4AD2" w14:textId="77777777" w:rsidR="00864732" w:rsidRPr="00F00945" w:rsidRDefault="00864732" w:rsidP="00864732">
            <w:pPr>
              <w:spacing w:after="120"/>
              <w:ind w:left="11"/>
              <w:rPr>
                <w:rFonts w:cs="Arial"/>
              </w:rPr>
            </w:pPr>
            <w:r w:rsidRPr="00F00945">
              <w:rPr>
                <w:rFonts w:cs="Arial"/>
              </w:rPr>
              <w:t>7</w:t>
            </w:r>
          </w:p>
        </w:tc>
        <w:tc>
          <w:tcPr>
            <w:tcW w:w="639" w:type="dxa"/>
          </w:tcPr>
          <w:p w14:paraId="30E251A7" w14:textId="77777777" w:rsidR="00864732" w:rsidRPr="00F00945" w:rsidRDefault="00864732" w:rsidP="00864732">
            <w:pPr>
              <w:spacing w:after="120"/>
              <w:ind w:left="11"/>
              <w:rPr>
                <w:rFonts w:cs="Arial"/>
              </w:rPr>
            </w:pPr>
            <w:r w:rsidRPr="00F00945">
              <w:rPr>
                <w:rFonts w:cs="Arial"/>
              </w:rPr>
              <w:t>+/-</w:t>
            </w:r>
          </w:p>
        </w:tc>
        <w:tc>
          <w:tcPr>
            <w:tcW w:w="3665" w:type="dxa"/>
          </w:tcPr>
          <w:p w14:paraId="756334C7" w14:textId="77777777" w:rsidR="00864732" w:rsidRPr="00F00945" w:rsidRDefault="00864732" w:rsidP="00864732">
            <w:pPr>
              <w:spacing w:after="120"/>
              <w:ind w:left="39"/>
              <w:rPr>
                <w:rFonts w:cs="Arial"/>
              </w:rPr>
            </w:pPr>
            <w:r w:rsidRPr="00F00945">
              <w:rPr>
                <w:rFonts w:cs="Arial"/>
              </w:rPr>
              <w:t>Loss of Income Adjustment</w:t>
            </w:r>
          </w:p>
        </w:tc>
        <w:tc>
          <w:tcPr>
            <w:tcW w:w="4042" w:type="dxa"/>
          </w:tcPr>
          <w:p w14:paraId="79ECB093" w14:textId="77777777" w:rsidR="00864732" w:rsidRPr="00F00945" w:rsidRDefault="00864732" w:rsidP="00864732">
            <w:pPr>
              <w:spacing w:after="120"/>
              <w:ind w:left="39"/>
              <w:rPr>
                <w:rFonts w:cs="Arial"/>
              </w:rPr>
            </w:pPr>
            <w:r w:rsidRPr="00F00945">
              <w:rPr>
                <w:rFonts w:cs="Arial"/>
              </w:rPr>
              <w:t>In relation to loss of income events</w:t>
            </w:r>
          </w:p>
        </w:tc>
      </w:tr>
      <w:tr w:rsidR="00864732" w:rsidRPr="00F00945" w14:paraId="53F9750F" w14:textId="77777777" w:rsidTr="00637B2B">
        <w:tc>
          <w:tcPr>
            <w:tcW w:w="721" w:type="dxa"/>
          </w:tcPr>
          <w:p w14:paraId="6F71EC4C" w14:textId="77777777" w:rsidR="00864732" w:rsidRPr="00F00945" w:rsidRDefault="00864732" w:rsidP="00864732">
            <w:pPr>
              <w:spacing w:after="120"/>
              <w:ind w:left="11"/>
              <w:rPr>
                <w:rFonts w:cs="Arial"/>
              </w:rPr>
            </w:pPr>
            <w:r w:rsidRPr="00F00945">
              <w:rPr>
                <w:rFonts w:cs="Arial"/>
              </w:rPr>
              <w:t>8</w:t>
            </w:r>
          </w:p>
        </w:tc>
        <w:tc>
          <w:tcPr>
            <w:tcW w:w="639" w:type="dxa"/>
          </w:tcPr>
          <w:p w14:paraId="008323F0" w14:textId="77777777" w:rsidR="00864732" w:rsidRPr="00F00945" w:rsidRDefault="00864732" w:rsidP="00864732">
            <w:pPr>
              <w:spacing w:after="120"/>
              <w:ind w:left="11"/>
              <w:rPr>
                <w:rFonts w:cs="Arial"/>
              </w:rPr>
            </w:pPr>
            <w:r w:rsidRPr="00F00945">
              <w:rPr>
                <w:rFonts w:cs="Arial"/>
              </w:rPr>
              <w:t>+</w:t>
            </w:r>
          </w:p>
        </w:tc>
        <w:tc>
          <w:tcPr>
            <w:tcW w:w="3665" w:type="dxa"/>
          </w:tcPr>
          <w:p w14:paraId="42065945" w14:textId="77777777" w:rsidR="00864732" w:rsidRPr="00F00945" w:rsidRDefault="00864732" w:rsidP="00864732">
            <w:pPr>
              <w:spacing w:after="120"/>
              <w:ind w:left="39"/>
              <w:rPr>
                <w:rFonts w:cs="Arial"/>
              </w:rPr>
            </w:pPr>
            <w:r w:rsidRPr="00F00945">
              <w:rPr>
                <w:rFonts w:cs="Arial"/>
              </w:rPr>
              <w:t>Mobilisation Fee</w:t>
            </w:r>
          </w:p>
        </w:tc>
        <w:tc>
          <w:tcPr>
            <w:tcW w:w="4042" w:type="dxa"/>
          </w:tcPr>
          <w:p w14:paraId="089B96EB" w14:textId="77777777" w:rsidR="00864732" w:rsidRPr="00F00945" w:rsidRDefault="00864732" w:rsidP="00864732">
            <w:pPr>
              <w:spacing w:after="120"/>
              <w:rPr>
                <w:rFonts w:cs="Arial"/>
              </w:rPr>
            </w:pPr>
            <w:r w:rsidRPr="00F00945">
              <w:rPr>
                <w:rFonts w:cs="Arial"/>
              </w:rPr>
              <w:t>Fee for year’s 1 and 2 of the contract period.</w:t>
            </w:r>
          </w:p>
        </w:tc>
      </w:tr>
    </w:tbl>
    <w:p w14:paraId="240CA96D" w14:textId="77777777" w:rsidR="00864732" w:rsidRPr="00F00945" w:rsidRDefault="00864732" w:rsidP="00864732">
      <w:pPr>
        <w:pStyle w:val="ListParagraph"/>
        <w:rPr>
          <w:rFonts w:cs="Arial"/>
        </w:rPr>
      </w:pPr>
    </w:p>
    <w:p w14:paraId="14CC806F" w14:textId="53895E6C" w:rsidR="00864732" w:rsidRPr="00F00945" w:rsidRDefault="00864732" w:rsidP="00864732">
      <w:pPr>
        <w:pStyle w:val="ListParagraph"/>
        <w:ind w:left="0"/>
        <w:rPr>
          <w:rFonts w:cs="Arial"/>
        </w:rPr>
      </w:pPr>
      <w:r w:rsidRPr="00F00945">
        <w:rPr>
          <w:rFonts w:cs="Arial"/>
        </w:rPr>
        <w:t>For the purposes of explanation this report w</w:t>
      </w:r>
      <w:r>
        <w:rPr>
          <w:rFonts w:cs="Arial"/>
        </w:rPr>
        <w:t xml:space="preserve">ould </w:t>
      </w:r>
      <w:r w:rsidRPr="00F00945">
        <w:rPr>
          <w:rFonts w:cs="Arial"/>
        </w:rPr>
        <w:t>focus on items 1, 3 and 6. The remaining items d</w:t>
      </w:r>
      <w:r>
        <w:rPr>
          <w:rFonts w:cs="Arial"/>
        </w:rPr>
        <w:t xml:space="preserve">id </w:t>
      </w:r>
      <w:r w:rsidRPr="00F00945">
        <w:rPr>
          <w:rFonts w:cs="Arial"/>
        </w:rPr>
        <w:t>not have regular adjustments.</w:t>
      </w:r>
    </w:p>
    <w:p w14:paraId="0467E0E5" w14:textId="77777777" w:rsidR="00864732" w:rsidRPr="00F00945" w:rsidRDefault="00864732" w:rsidP="00864732">
      <w:pPr>
        <w:pStyle w:val="ListParagraph"/>
        <w:ind w:left="0"/>
        <w:rPr>
          <w:rFonts w:cs="Arial"/>
        </w:rPr>
      </w:pPr>
    </w:p>
    <w:p w14:paraId="202B5802" w14:textId="15191B04" w:rsidR="00864732" w:rsidRPr="00F00945" w:rsidRDefault="00864732" w:rsidP="00864732">
      <w:pPr>
        <w:pStyle w:val="ListParagraph"/>
        <w:ind w:left="0"/>
        <w:rPr>
          <w:rFonts w:cs="Arial"/>
        </w:rPr>
      </w:pPr>
      <w:r w:rsidRPr="00F00945">
        <w:rPr>
          <w:rFonts w:cs="Arial"/>
        </w:rPr>
        <w:t xml:space="preserve">The contract payments </w:t>
      </w:r>
      <w:r>
        <w:rPr>
          <w:rFonts w:cs="Arial"/>
        </w:rPr>
        <w:t>we</w:t>
      </w:r>
      <w:r w:rsidRPr="00F00945">
        <w:rPr>
          <w:rFonts w:cs="Arial"/>
        </w:rPr>
        <w:t xml:space="preserve">re based on a financial model which </w:t>
      </w:r>
      <w:r>
        <w:rPr>
          <w:rFonts w:cs="Arial"/>
        </w:rPr>
        <w:t>wa</w:t>
      </w:r>
      <w:r w:rsidRPr="00F00945">
        <w:rPr>
          <w:rFonts w:cs="Arial"/>
        </w:rPr>
        <w:t xml:space="preserve">s included in the contract. This </w:t>
      </w:r>
      <w:r>
        <w:rPr>
          <w:rFonts w:cs="Arial"/>
        </w:rPr>
        <w:t>wa</w:t>
      </w:r>
      <w:r w:rsidRPr="00F00945">
        <w:rPr>
          <w:rFonts w:cs="Arial"/>
        </w:rPr>
        <w:t xml:space="preserve">s inflated each year in the following ways: </w:t>
      </w:r>
    </w:p>
    <w:p w14:paraId="39DBFBA6" w14:textId="77777777" w:rsidR="00864732" w:rsidRPr="00F00945" w:rsidRDefault="00864732" w:rsidP="00864732">
      <w:pPr>
        <w:pStyle w:val="ListParagraph"/>
        <w:ind w:left="0"/>
        <w:rPr>
          <w:rFonts w:cs="Arial"/>
        </w:rPr>
      </w:pPr>
    </w:p>
    <w:p w14:paraId="4751EE9D" w14:textId="76AA2D3F" w:rsidR="00864732" w:rsidRPr="00F00945" w:rsidRDefault="00864732" w:rsidP="00864732">
      <w:pPr>
        <w:pStyle w:val="ListParagraph"/>
        <w:numPr>
          <w:ilvl w:val="0"/>
          <w:numId w:val="15"/>
        </w:numPr>
        <w:suppressAutoHyphens w:val="0"/>
        <w:autoSpaceDN/>
        <w:textAlignment w:val="auto"/>
        <w:rPr>
          <w:rFonts w:cs="Arial"/>
        </w:rPr>
      </w:pPr>
      <w:r w:rsidRPr="00F00945">
        <w:rPr>
          <w:rFonts w:cs="Arial"/>
        </w:rPr>
        <w:t xml:space="preserve">Base payment – this </w:t>
      </w:r>
      <w:r>
        <w:rPr>
          <w:rFonts w:cs="Arial"/>
        </w:rPr>
        <w:t>wa</w:t>
      </w:r>
      <w:r w:rsidRPr="00F00945">
        <w:rPr>
          <w:rFonts w:cs="Arial"/>
        </w:rPr>
        <w:t>s increased by inflation each year.</w:t>
      </w:r>
    </w:p>
    <w:p w14:paraId="2D3BD8AD" w14:textId="77777777" w:rsidR="00864732" w:rsidRPr="00F00945" w:rsidRDefault="00864732" w:rsidP="00864732">
      <w:pPr>
        <w:pStyle w:val="ListParagraph"/>
        <w:numPr>
          <w:ilvl w:val="0"/>
          <w:numId w:val="15"/>
        </w:numPr>
        <w:suppressAutoHyphens w:val="0"/>
        <w:autoSpaceDN/>
        <w:textAlignment w:val="auto"/>
        <w:rPr>
          <w:rFonts w:cs="Arial"/>
        </w:rPr>
      </w:pPr>
      <w:r w:rsidRPr="00F00945">
        <w:rPr>
          <w:rFonts w:cs="Arial"/>
        </w:rPr>
        <w:t>Utility payment - increased based on actual prices for the next year based on the year past.</w:t>
      </w:r>
    </w:p>
    <w:p w14:paraId="6BF41DF1" w14:textId="0E3B3057" w:rsidR="00864732" w:rsidRPr="00F00945" w:rsidRDefault="00864732" w:rsidP="00864732">
      <w:pPr>
        <w:pStyle w:val="ListParagraph"/>
        <w:numPr>
          <w:ilvl w:val="0"/>
          <w:numId w:val="15"/>
        </w:numPr>
        <w:suppressAutoHyphens w:val="0"/>
        <w:autoSpaceDN/>
        <w:textAlignment w:val="auto"/>
        <w:rPr>
          <w:rFonts w:cs="Arial"/>
        </w:rPr>
      </w:pPr>
      <w:r w:rsidRPr="00F00945">
        <w:rPr>
          <w:rFonts w:cs="Arial"/>
        </w:rPr>
        <w:t xml:space="preserve">Utility adjustment - at the end of the year a utility adjustment </w:t>
      </w:r>
      <w:r w:rsidR="0000228A">
        <w:rPr>
          <w:rFonts w:cs="Arial"/>
        </w:rPr>
        <w:t>wa</w:t>
      </w:r>
      <w:r w:rsidRPr="00F00945">
        <w:rPr>
          <w:rFonts w:cs="Arial"/>
        </w:rPr>
        <w:t>s made based on the actual prices paid by the contractor in comparison to the budgeted prices.</w:t>
      </w:r>
    </w:p>
    <w:p w14:paraId="0F2D9021" w14:textId="77777777" w:rsidR="00864732" w:rsidRPr="00F00945" w:rsidRDefault="00864732" w:rsidP="00864732">
      <w:pPr>
        <w:pStyle w:val="ListParagraph"/>
        <w:ind w:left="0"/>
        <w:rPr>
          <w:rFonts w:cs="Arial"/>
        </w:rPr>
      </w:pPr>
    </w:p>
    <w:p w14:paraId="61FEF2EA" w14:textId="3F1377F0" w:rsidR="00864732" w:rsidRPr="00F00945" w:rsidRDefault="00864732" w:rsidP="00864732">
      <w:pPr>
        <w:pStyle w:val="ListParagraph"/>
        <w:ind w:left="0"/>
        <w:rPr>
          <w:rFonts w:cs="Arial"/>
        </w:rPr>
      </w:pPr>
      <w:r w:rsidRPr="00F00945">
        <w:rPr>
          <w:rFonts w:cs="Arial"/>
        </w:rPr>
        <w:t xml:space="preserve">The utility mechanism </w:t>
      </w:r>
      <w:r w:rsidR="0000228A">
        <w:rPr>
          <w:rFonts w:cs="Arial"/>
        </w:rPr>
        <w:t>wa</w:t>
      </w:r>
      <w:r w:rsidRPr="00F00945">
        <w:rPr>
          <w:rFonts w:cs="Arial"/>
        </w:rPr>
        <w:t xml:space="preserve">s based on the standard calculations for price variances and volume variances. </w:t>
      </w:r>
    </w:p>
    <w:p w14:paraId="0CB9EC4E" w14:textId="77777777" w:rsidR="00864732" w:rsidRPr="00F00945" w:rsidRDefault="00864732" w:rsidP="00864732">
      <w:pPr>
        <w:pStyle w:val="ListParagraph"/>
        <w:ind w:left="0"/>
        <w:rPr>
          <w:rFonts w:cs="Arial"/>
        </w:rPr>
      </w:pPr>
    </w:p>
    <w:p w14:paraId="53AB1206" w14:textId="30B839FD" w:rsidR="00864732" w:rsidRPr="00F00945" w:rsidRDefault="00864732" w:rsidP="00864732">
      <w:pPr>
        <w:pStyle w:val="ListParagraph"/>
        <w:ind w:left="0"/>
        <w:rPr>
          <w:rFonts w:cs="Arial"/>
        </w:rPr>
      </w:pPr>
      <w:r w:rsidRPr="00F00945">
        <w:rPr>
          <w:rFonts w:cs="Arial"/>
        </w:rPr>
        <w:t xml:space="preserve">For illustrative purposes information for </w:t>
      </w:r>
      <w:r w:rsidR="0000228A">
        <w:rPr>
          <w:rFonts w:cs="Arial"/>
        </w:rPr>
        <w:t>two</w:t>
      </w:r>
      <w:r w:rsidRPr="00F00945">
        <w:rPr>
          <w:rFonts w:cs="Arial"/>
        </w:rPr>
        <w:t xml:space="preserve"> individual years </w:t>
      </w:r>
      <w:r w:rsidR="0000228A">
        <w:rPr>
          <w:rFonts w:cs="Arial"/>
        </w:rPr>
        <w:t>wa</w:t>
      </w:r>
      <w:r w:rsidRPr="00F00945">
        <w:rPr>
          <w:rFonts w:cs="Arial"/>
        </w:rPr>
        <w:t>s set out in the table below, along with the totals for the first 10 years of the contract and the total payments set out in the contract.</w:t>
      </w:r>
    </w:p>
    <w:p w14:paraId="64DF5807" w14:textId="77777777" w:rsidR="00864732" w:rsidRDefault="00864732" w:rsidP="00864732">
      <w:pPr>
        <w:pStyle w:val="ListParagraph"/>
        <w:ind w:left="0"/>
        <w:rPr>
          <w:rFonts w:cs="Arial"/>
        </w:rPr>
      </w:pPr>
    </w:p>
    <w:tbl>
      <w:tblPr>
        <w:tblStyle w:val="ListTable3-Accent42"/>
        <w:tblW w:w="9167" w:type="dxa"/>
        <w:tblLayout w:type="fixed"/>
        <w:tblLook w:val="0420" w:firstRow="1" w:lastRow="0" w:firstColumn="0" w:lastColumn="0" w:noHBand="0" w:noVBand="1"/>
      </w:tblPr>
      <w:tblGrid>
        <w:gridCol w:w="492"/>
        <w:gridCol w:w="2338"/>
        <w:gridCol w:w="1488"/>
        <w:gridCol w:w="1489"/>
        <w:gridCol w:w="1680"/>
        <w:gridCol w:w="1680"/>
      </w:tblGrid>
      <w:tr w:rsidR="00864732" w:rsidRPr="00F00945" w14:paraId="3C5AED56" w14:textId="77777777" w:rsidTr="00637B2B">
        <w:trPr>
          <w:cnfStyle w:val="100000000000" w:firstRow="1" w:lastRow="0" w:firstColumn="0" w:lastColumn="0" w:oddVBand="0" w:evenVBand="0" w:oddHBand="0" w:evenHBand="0" w:firstRowFirstColumn="0" w:firstRowLastColumn="0" w:lastRowFirstColumn="0" w:lastRowLastColumn="0"/>
          <w:trHeight w:val="300"/>
        </w:trPr>
        <w:tc>
          <w:tcPr>
            <w:tcW w:w="492" w:type="dxa"/>
          </w:tcPr>
          <w:p w14:paraId="673B2B9D" w14:textId="77777777" w:rsidR="00864732" w:rsidRPr="00F00945" w:rsidRDefault="00864732" w:rsidP="00864732">
            <w:pPr>
              <w:ind w:left="142"/>
              <w:contextualSpacing/>
              <w:rPr>
                <w:rFonts w:cs="Arial"/>
                <w:szCs w:val="22"/>
              </w:rPr>
            </w:pPr>
          </w:p>
        </w:tc>
        <w:tc>
          <w:tcPr>
            <w:tcW w:w="2338" w:type="dxa"/>
            <w:noWrap/>
            <w:hideMark/>
          </w:tcPr>
          <w:p w14:paraId="640511C8" w14:textId="77777777" w:rsidR="00864732" w:rsidRPr="00F00945" w:rsidRDefault="00864732" w:rsidP="00864732">
            <w:pPr>
              <w:ind w:left="142"/>
              <w:contextualSpacing/>
              <w:rPr>
                <w:rFonts w:cs="Arial"/>
                <w:szCs w:val="22"/>
              </w:rPr>
            </w:pPr>
          </w:p>
        </w:tc>
        <w:tc>
          <w:tcPr>
            <w:tcW w:w="1488" w:type="dxa"/>
            <w:noWrap/>
            <w:hideMark/>
          </w:tcPr>
          <w:p w14:paraId="31880724" w14:textId="77777777" w:rsidR="00864732" w:rsidRPr="00F00945" w:rsidRDefault="00864732" w:rsidP="00864732">
            <w:pPr>
              <w:ind w:left="142"/>
              <w:contextualSpacing/>
              <w:rPr>
                <w:rFonts w:cs="Arial"/>
                <w:szCs w:val="22"/>
              </w:rPr>
            </w:pPr>
            <w:r w:rsidRPr="00F00945">
              <w:rPr>
                <w:rFonts w:cs="Arial"/>
                <w:szCs w:val="22"/>
              </w:rPr>
              <w:t>2018/19</w:t>
            </w:r>
          </w:p>
          <w:p w14:paraId="4A86AF9E" w14:textId="77777777" w:rsidR="00864732" w:rsidRDefault="00864732" w:rsidP="00864732">
            <w:pPr>
              <w:ind w:left="142"/>
              <w:contextualSpacing/>
              <w:rPr>
                <w:rFonts w:cs="Arial"/>
                <w:b w:val="0"/>
                <w:bCs w:val="0"/>
                <w:szCs w:val="22"/>
              </w:rPr>
            </w:pPr>
          </w:p>
          <w:p w14:paraId="2C0C1B70" w14:textId="77777777" w:rsidR="00864732" w:rsidRPr="00F00945" w:rsidRDefault="00864732" w:rsidP="00864732">
            <w:pPr>
              <w:ind w:left="142"/>
              <w:contextualSpacing/>
              <w:rPr>
                <w:rFonts w:cs="Arial"/>
                <w:szCs w:val="22"/>
              </w:rPr>
            </w:pPr>
            <w:r w:rsidRPr="00F00945">
              <w:rPr>
                <w:rFonts w:cs="Arial"/>
                <w:szCs w:val="22"/>
              </w:rPr>
              <w:t>£</w:t>
            </w:r>
          </w:p>
        </w:tc>
        <w:tc>
          <w:tcPr>
            <w:tcW w:w="1489" w:type="dxa"/>
            <w:noWrap/>
            <w:hideMark/>
          </w:tcPr>
          <w:p w14:paraId="678565C3" w14:textId="77777777" w:rsidR="00864732" w:rsidRPr="00F00945" w:rsidRDefault="00864732" w:rsidP="00864732">
            <w:pPr>
              <w:ind w:left="142"/>
              <w:contextualSpacing/>
              <w:rPr>
                <w:rFonts w:cs="Arial"/>
                <w:szCs w:val="22"/>
              </w:rPr>
            </w:pPr>
            <w:r w:rsidRPr="00F00945">
              <w:rPr>
                <w:rFonts w:cs="Arial"/>
                <w:szCs w:val="22"/>
              </w:rPr>
              <w:t>2019/20</w:t>
            </w:r>
          </w:p>
          <w:p w14:paraId="039DCE06" w14:textId="77777777" w:rsidR="00864732" w:rsidRDefault="00864732" w:rsidP="00864732">
            <w:pPr>
              <w:ind w:left="142"/>
              <w:contextualSpacing/>
              <w:rPr>
                <w:rFonts w:cs="Arial"/>
                <w:b w:val="0"/>
                <w:bCs w:val="0"/>
                <w:szCs w:val="22"/>
              </w:rPr>
            </w:pPr>
          </w:p>
          <w:p w14:paraId="57F56A09" w14:textId="77777777" w:rsidR="00864732" w:rsidRPr="00F00945" w:rsidRDefault="00864732" w:rsidP="00864732">
            <w:pPr>
              <w:ind w:left="142"/>
              <w:contextualSpacing/>
              <w:rPr>
                <w:rFonts w:cs="Arial"/>
                <w:szCs w:val="22"/>
              </w:rPr>
            </w:pPr>
            <w:r w:rsidRPr="00F00945">
              <w:rPr>
                <w:rFonts w:cs="Arial"/>
                <w:szCs w:val="22"/>
              </w:rPr>
              <w:t>£</w:t>
            </w:r>
          </w:p>
        </w:tc>
        <w:tc>
          <w:tcPr>
            <w:tcW w:w="1680" w:type="dxa"/>
            <w:noWrap/>
            <w:hideMark/>
          </w:tcPr>
          <w:p w14:paraId="7CF1BB66" w14:textId="77777777" w:rsidR="00864732" w:rsidRPr="00F00945" w:rsidRDefault="00864732" w:rsidP="00864732">
            <w:pPr>
              <w:ind w:left="142"/>
              <w:contextualSpacing/>
              <w:rPr>
                <w:rFonts w:cs="Arial"/>
                <w:szCs w:val="22"/>
              </w:rPr>
            </w:pPr>
            <w:r w:rsidRPr="00F00945">
              <w:rPr>
                <w:rFonts w:cs="Arial"/>
                <w:szCs w:val="22"/>
              </w:rPr>
              <w:t>10 Year Total</w:t>
            </w:r>
          </w:p>
          <w:p w14:paraId="60AF39FB" w14:textId="77777777" w:rsidR="00864732" w:rsidRPr="00F00945" w:rsidRDefault="00864732" w:rsidP="00864732">
            <w:pPr>
              <w:ind w:left="142"/>
              <w:contextualSpacing/>
              <w:rPr>
                <w:rFonts w:cs="Arial"/>
                <w:szCs w:val="22"/>
              </w:rPr>
            </w:pPr>
            <w:r w:rsidRPr="00F00945">
              <w:rPr>
                <w:rFonts w:cs="Arial"/>
                <w:szCs w:val="22"/>
              </w:rPr>
              <w:t>£</w:t>
            </w:r>
          </w:p>
        </w:tc>
        <w:tc>
          <w:tcPr>
            <w:tcW w:w="1680" w:type="dxa"/>
          </w:tcPr>
          <w:p w14:paraId="3D502AD3" w14:textId="77777777" w:rsidR="00864732" w:rsidRDefault="00864732" w:rsidP="00864732">
            <w:pPr>
              <w:ind w:left="142"/>
              <w:contextualSpacing/>
              <w:rPr>
                <w:rFonts w:cs="Arial"/>
                <w:b w:val="0"/>
                <w:bCs w:val="0"/>
                <w:szCs w:val="22"/>
              </w:rPr>
            </w:pPr>
            <w:r w:rsidRPr="00F00945">
              <w:rPr>
                <w:rFonts w:cs="Arial"/>
                <w:szCs w:val="22"/>
              </w:rPr>
              <w:t>Contract Schedules</w:t>
            </w:r>
          </w:p>
          <w:p w14:paraId="4787B5EC" w14:textId="77777777" w:rsidR="00864732" w:rsidRPr="00F00945" w:rsidRDefault="00864732" w:rsidP="00864732">
            <w:pPr>
              <w:ind w:left="142"/>
              <w:contextualSpacing/>
              <w:rPr>
                <w:rFonts w:cs="Arial"/>
                <w:szCs w:val="22"/>
              </w:rPr>
            </w:pPr>
            <w:r>
              <w:rPr>
                <w:rFonts w:cs="Arial"/>
                <w:szCs w:val="22"/>
              </w:rPr>
              <w:t>£</w:t>
            </w:r>
          </w:p>
        </w:tc>
      </w:tr>
      <w:tr w:rsidR="00864732" w:rsidRPr="00F00945" w14:paraId="27B305E4" w14:textId="77777777" w:rsidTr="00637B2B">
        <w:trPr>
          <w:cnfStyle w:val="000000100000" w:firstRow="0" w:lastRow="0" w:firstColumn="0" w:lastColumn="0" w:oddVBand="0" w:evenVBand="0" w:oddHBand="1" w:evenHBand="0" w:firstRowFirstColumn="0" w:firstRowLastColumn="0" w:lastRowFirstColumn="0" w:lastRowLastColumn="0"/>
          <w:trHeight w:val="300"/>
        </w:trPr>
        <w:tc>
          <w:tcPr>
            <w:tcW w:w="492" w:type="dxa"/>
          </w:tcPr>
          <w:p w14:paraId="074FC47A" w14:textId="77777777" w:rsidR="00864732" w:rsidRPr="00F00945" w:rsidRDefault="00864732" w:rsidP="00864732">
            <w:pPr>
              <w:ind w:left="142"/>
              <w:contextualSpacing/>
              <w:rPr>
                <w:rFonts w:cs="Arial"/>
                <w:szCs w:val="22"/>
              </w:rPr>
            </w:pPr>
            <w:r w:rsidRPr="00F00945">
              <w:rPr>
                <w:rFonts w:cs="Arial"/>
                <w:szCs w:val="22"/>
              </w:rPr>
              <w:t>1</w:t>
            </w:r>
          </w:p>
        </w:tc>
        <w:tc>
          <w:tcPr>
            <w:tcW w:w="2338" w:type="dxa"/>
            <w:noWrap/>
            <w:hideMark/>
          </w:tcPr>
          <w:p w14:paraId="1A3133B2" w14:textId="77777777" w:rsidR="00864732" w:rsidRPr="00F00945" w:rsidRDefault="00864732" w:rsidP="00864732">
            <w:pPr>
              <w:ind w:left="142"/>
              <w:contextualSpacing/>
              <w:rPr>
                <w:rFonts w:cs="Arial"/>
                <w:szCs w:val="22"/>
              </w:rPr>
            </w:pPr>
            <w:r w:rsidRPr="00F00945">
              <w:rPr>
                <w:rFonts w:cs="Arial"/>
                <w:szCs w:val="22"/>
              </w:rPr>
              <w:t>Base Payment</w:t>
            </w:r>
          </w:p>
        </w:tc>
        <w:tc>
          <w:tcPr>
            <w:tcW w:w="1488" w:type="dxa"/>
            <w:noWrap/>
            <w:hideMark/>
          </w:tcPr>
          <w:p w14:paraId="6C98F00E" w14:textId="77777777" w:rsidR="00864732" w:rsidRPr="00F00945" w:rsidRDefault="00864732" w:rsidP="00864732">
            <w:pPr>
              <w:ind w:left="142"/>
              <w:contextualSpacing/>
              <w:rPr>
                <w:rFonts w:cs="Arial"/>
                <w:szCs w:val="22"/>
              </w:rPr>
            </w:pPr>
            <w:r w:rsidRPr="00F00945">
              <w:rPr>
                <w:rFonts w:cs="Arial"/>
                <w:szCs w:val="22"/>
              </w:rPr>
              <w:t>(242,946)</w:t>
            </w:r>
          </w:p>
        </w:tc>
        <w:tc>
          <w:tcPr>
            <w:tcW w:w="1489" w:type="dxa"/>
            <w:noWrap/>
            <w:hideMark/>
          </w:tcPr>
          <w:p w14:paraId="423E325C" w14:textId="77777777" w:rsidR="00864732" w:rsidRPr="00F00945" w:rsidRDefault="00864732" w:rsidP="00864732">
            <w:pPr>
              <w:ind w:left="142"/>
              <w:contextualSpacing/>
              <w:rPr>
                <w:rFonts w:cs="Arial"/>
                <w:szCs w:val="22"/>
              </w:rPr>
            </w:pPr>
            <w:r w:rsidRPr="00F00945">
              <w:rPr>
                <w:rFonts w:cs="Arial"/>
                <w:szCs w:val="22"/>
              </w:rPr>
              <w:t>(249,019)</w:t>
            </w:r>
          </w:p>
        </w:tc>
        <w:tc>
          <w:tcPr>
            <w:tcW w:w="1680" w:type="dxa"/>
            <w:noWrap/>
            <w:hideMark/>
          </w:tcPr>
          <w:p w14:paraId="671ED534" w14:textId="77777777" w:rsidR="00864732" w:rsidRPr="00F00945" w:rsidRDefault="00864732" w:rsidP="00864732">
            <w:pPr>
              <w:ind w:left="142"/>
              <w:contextualSpacing/>
              <w:rPr>
                <w:rFonts w:cs="Arial"/>
                <w:szCs w:val="22"/>
              </w:rPr>
            </w:pPr>
            <w:r w:rsidRPr="00F00945">
              <w:rPr>
                <w:rFonts w:cs="Arial"/>
                <w:szCs w:val="22"/>
              </w:rPr>
              <w:t>(2,564,855)</w:t>
            </w:r>
          </w:p>
        </w:tc>
        <w:tc>
          <w:tcPr>
            <w:tcW w:w="1680" w:type="dxa"/>
          </w:tcPr>
          <w:p w14:paraId="24E6074E" w14:textId="77777777" w:rsidR="00864732" w:rsidRPr="00F00945" w:rsidRDefault="00864732" w:rsidP="00864732">
            <w:pPr>
              <w:ind w:left="142"/>
              <w:contextualSpacing/>
              <w:rPr>
                <w:rFonts w:cs="Arial"/>
                <w:szCs w:val="22"/>
              </w:rPr>
            </w:pPr>
            <w:r w:rsidRPr="00F00945">
              <w:rPr>
                <w:rFonts w:cs="Arial"/>
                <w:szCs w:val="22"/>
              </w:rPr>
              <w:t>(2,307,805)</w:t>
            </w:r>
          </w:p>
        </w:tc>
      </w:tr>
      <w:tr w:rsidR="00864732" w:rsidRPr="00F00945" w14:paraId="48726AAD" w14:textId="77777777" w:rsidTr="00637B2B">
        <w:trPr>
          <w:trHeight w:val="300"/>
        </w:trPr>
        <w:tc>
          <w:tcPr>
            <w:tcW w:w="492" w:type="dxa"/>
          </w:tcPr>
          <w:p w14:paraId="19F5CB68" w14:textId="77777777" w:rsidR="00864732" w:rsidRPr="00F00945" w:rsidRDefault="00864732" w:rsidP="00864732">
            <w:pPr>
              <w:ind w:left="142"/>
              <w:contextualSpacing/>
              <w:rPr>
                <w:rFonts w:cs="Arial"/>
                <w:szCs w:val="22"/>
              </w:rPr>
            </w:pPr>
            <w:r w:rsidRPr="00F00945">
              <w:rPr>
                <w:rFonts w:cs="Arial"/>
                <w:szCs w:val="22"/>
              </w:rPr>
              <w:t>2</w:t>
            </w:r>
          </w:p>
        </w:tc>
        <w:tc>
          <w:tcPr>
            <w:tcW w:w="2338" w:type="dxa"/>
            <w:noWrap/>
            <w:hideMark/>
          </w:tcPr>
          <w:p w14:paraId="05890484" w14:textId="77777777" w:rsidR="00864732" w:rsidRPr="00F00945" w:rsidRDefault="00864732" w:rsidP="00864732">
            <w:pPr>
              <w:ind w:left="142"/>
              <w:contextualSpacing/>
              <w:rPr>
                <w:rFonts w:cs="Arial"/>
                <w:szCs w:val="22"/>
              </w:rPr>
            </w:pPr>
            <w:r w:rsidRPr="00F00945">
              <w:rPr>
                <w:rFonts w:cs="Arial"/>
                <w:szCs w:val="22"/>
              </w:rPr>
              <w:t>Utility Payment</w:t>
            </w:r>
          </w:p>
        </w:tc>
        <w:tc>
          <w:tcPr>
            <w:tcW w:w="1488" w:type="dxa"/>
            <w:noWrap/>
            <w:hideMark/>
          </w:tcPr>
          <w:p w14:paraId="747EE41D" w14:textId="77777777" w:rsidR="00864732" w:rsidRPr="00F00945" w:rsidRDefault="00864732" w:rsidP="00864732">
            <w:pPr>
              <w:ind w:left="142"/>
              <w:contextualSpacing/>
              <w:rPr>
                <w:rFonts w:cs="Arial"/>
                <w:szCs w:val="22"/>
              </w:rPr>
            </w:pPr>
            <w:r w:rsidRPr="00F00945">
              <w:rPr>
                <w:rFonts w:cs="Arial"/>
                <w:szCs w:val="22"/>
              </w:rPr>
              <w:t>491,859</w:t>
            </w:r>
          </w:p>
        </w:tc>
        <w:tc>
          <w:tcPr>
            <w:tcW w:w="1489" w:type="dxa"/>
            <w:noWrap/>
            <w:hideMark/>
          </w:tcPr>
          <w:p w14:paraId="43021429" w14:textId="77777777" w:rsidR="00864732" w:rsidRPr="00F00945" w:rsidRDefault="00864732" w:rsidP="00864732">
            <w:pPr>
              <w:ind w:left="142"/>
              <w:contextualSpacing/>
              <w:rPr>
                <w:rFonts w:cs="Arial"/>
                <w:szCs w:val="22"/>
              </w:rPr>
            </w:pPr>
            <w:r w:rsidRPr="00F00945">
              <w:rPr>
                <w:rFonts w:cs="Arial"/>
                <w:szCs w:val="22"/>
              </w:rPr>
              <w:t>585,273</w:t>
            </w:r>
          </w:p>
        </w:tc>
        <w:tc>
          <w:tcPr>
            <w:tcW w:w="1680" w:type="dxa"/>
            <w:noWrap/>
            <w:hideMark/>
          </w:tcPr>
          <w:p w14:paraId="41CC4AD3" w14:textId="77777777" w:rsidR="00864732" w:rsidRPr="00F00945" w:rsidRDefault="00864732" w:rsidP="00864732">
            <w:pPr>
              <w:ind w:left="142"/>
              <w:contextualSpacing/>
              <w:rPr>
                <w:rFonts w:cs="Arial"/>
                <w:szCs w:val="22"/>
              </w:rPr>
            </w:pPr>
            <w:r w:rsidRPr="00F00945">
              <w:rPr>
                <w:rFonts w:cs="Arial"/>
                <w:szCs w:val="22"/>
              </w:rPr>
              <w:t>6,155,870</w:t>
            </w:r>
          </w:p>
        </w:tc>
        <w:tc>
          <w:tcPr>
            <w:tcW w:w="1680" w:type="dxa"/>
          </w:tcPr>
          <w:p w14:paraId="555F6A00" w14:textId="77777777" w:rsidR="00864732" w:rsidRPr="00F00945" w:rsidRDefault="00864732" w:rsidP="00864732">
            <w:pPr>
              <w:ind w:left="142"/>
              <w:contextualSpacing/>
              <w:rPr>
                <w:rFonts w:cs="Arial"/>
                <w:szCs w:val="22"/>
              </w:rPr>
            </w:pPr>
            <w:r w:rsidRPr="00F00945">
              <w:rPr>
                <w:rFonts w:cs="Arial"/>
                <w:szCs w:val="22"/>
              </w:rPr>
              <w:t>6,156,760</w:t>
            </w:r>
          </w:p>
        </w:tc>
      </w:tr>
      <w:tr w:rsidR="00864732" w:rsidRPr="00F00945" w14:paraId="6C9217A7" w14:textId="77777777" w:rsidTr="00637B2B">
        <w:trPr>
          <w:cnfStyle w:val="000000100000" w:firstRow="0" w:lastRow="0" w:firstColumn="0" w:lastColumn="0" w:oddVBand="0" w:evenVBand="0" w:oddHBand="1" w:evenHBand="0" w:firstRowFirstColumn="0" w:firstRowLastColumn="0" w:lastRowFirstColumn="0" w:lastRowLastColumn="0"/>
          <w:trHeight w:val="300"/>
        </w:trPr>
        <w:tc>
          <w:tcPr>
            <w:tcW w:w="492" w:type="dxa"/>
          </w:tcPr>
          <w:p w14:paraId="68733F2B" w14:textId="77777777" w:rsidR="00864732" w:rsidRPr="00F00945" w:rsidRDefault="00864732" w:rsidP="00864732">
            <w:pPr>
              <w:ind w:left="142"/>
              <w:contextualSpacing/>
              <w:rPr>
                <w:rFonts w:cs="Arial"/>
                <w:szCs w:val="22"/>
              </w:rPr>
            </w:pPr>
            <w:r w:rsidRPr="00F00945">
              <w:rPr>
                <w:rFonts w:cs="Arial"/>
                <w:szCs w:val="22"/>
              </w:rPr>
              <w:t>3</w:t>
            </w:r>
          </w:p>
        </w:tc>
        <w:tc>
          <w:tcPr>
            <w:tcW w:w="2338" w:type="dxa"/>
            <w:noWrap/>
            <w:hideMark/>
          </w:tcPr>
          <w:p w14:paraId="284B4A09" w14:textId="77777777" w:rsidR="00864732" w:rsidRPr="00F00945" w:rsidRDefault="00864732" w:rsidP="00864732">
            <w:pPr>
              <w:ind w:left="142"/>
              <w:contextualSpacing/>
              <w:rPr>
                <w:rFonts w:cs="Arial"/>
                <w:szCs w:val="22"/>
              </w:rPr>
            </w:pPr>
            <w:r w:rsidRPr="00F00945">
              <w:rPr>
                <w:rFonts w:cs="Arial"/>
                <w:szCs w:val="22"/>
              </w:rPr>
              <w:t>Utility Adjustment</w:t>
            </w:r>
          </w:p>
        </w:tc>
        <w:tc>
          <w:tcPr>
            <w:tcW w:w="1488" w:type="dxa"/>
            <w:noWrap/>
            <w:hideMark/>
          </w:tcPr>
          <w:p w14:paraId="6B6406F2" w14:textId="77777777" w:rsidR="00864732" w:rsidRPr="00F00945" w:rsidRDefault="00864732" w:rsidP="00864732">
            <w:pPr>
              <w:ind w:left="142"/>
              <w:contextualSpacing/>
              <w:rPr>
                <w:rFonts w:cs="Arial"/>
                <w:szCs w:val="22"/>
              </w:rPr>
            </w:pPr>
            <w:r w:rsidRPr="00F00945">
              <w:rPr>
                <w:rFonts w:cs="Arial"/>
                <w:szCs w:val="22"/>
              </w:rPr>
              <w:t>94,255</w:t>
            </w:r>
          </w:p>
        </w:tc>
        <w:tc>
          <w:tcPr>
            <w:tcW w:w="1489" w:type="dxa"/>
            <w:noWrap/>
            <w:hideMark/>
          </w:tcPr>
          <w:p w14:paraId="776B5D49" w14:textId="77777777" w:rsidR="00864732" w:rsidRPr="00F00945" w:rsidRDefault="00864732" w:rsidP="00864732">
            <w:pPr>
              <w:ind w:left="142"/>
              <w:contextualSpacing/>
              <w:rPr>
                <w:rFonts w:cs="Arial"/>
                <w:szCs w:val="22"/>
              </w:rPr>
            </w:pPr>
            <w:r w:rsidRPr="00F00945">
              <w:rPr>
                <w:rFonts w:cs="Arial"/>
                <w:szCs w:val="22"/>
              </w:rPr>
              <w:t>(4,194)</w:t>
            </w:r>
          </w:p>
        </w:tc>
        <w:tc>
          <w:tcPr>
            <w:tcW w:w="1680" w:type="dxa"/>
            <w:noWrap/>
            <w:hideMark/>
          </w:tcPr>
          <w:p w14:paraId="6CE69E98" w14:textId="77777777" w:rsidR="00864732" w:rsidRPr="00F00945" w:rsidRDefault="00864732" w:rsidP="00864732">
            <w:pPr>
              <w:ind w:left="142"/>
              <w:contextualSpacing/>
              <w:rPr>
                <w:rFonts w:cs="Arial"/>
                <w:szCs w:val="22"/>
              </w:rPr>
            </w:pPr>
            <w:r w:rsidRPr="00F00945">
              <w:rPr>
                <w:rFonts w:cs="Arial"/>
                <w:szCs w:val="22"/>
              </w:rPr>
              <w:t>1,344,974</w:t>
            </w:r>
          </w:p>
        </w:tc>
        <w:tc>
          <w:tcPr>
            <w:tcW w:w="1680" w:type="dxa"/>
          </w:tcPr>
          <w:p w14:paraId="665F2EC5" w14:textId="77777777" w:rsidR="00864732" w:rsidRPr="00F00945" w:rsidRDefault="00864732" w:rsidP="00864732">
            <w:pPr>
              <w:ind w:left="142"/>
              <w:contextualSpacing/>
              <w:rPr>
                <w:rFonts w:cs="Arial"/>
                <w:szCs w:val="22"/>
              </w:rPr>
            </w:pPr>
            <w:r w:rsidRPr="00F00945">
              <w:rPr>
                <w:rFonts w:cs="Arial"/>
                <w:szCs w:val="22"/>
              </w:rPr>
              <w:t>-</w:t>
            </w:r>
          </w:p>
        </w:tc>
      </w:tr>
      <w:tr w:rsidR="00864732" w:rsidRPr="00F00945" w14:paraId="6CA69464" w14:textId="77777777" w:rsidTr="00637B2B">
        <w:trPr>
          <w:trHeight w:val="300"/>
        </w:trPr>
        <w:tc>
          <w:tcPr>
            <w:tcW w:w="492" w:type="dxa"/>
            <w:shd w:val="clear" w:color="auto" w:fill="000000" w:themeFill="text1"/>
          </w:tcPr>
          <w:p w14:paraId="3BA24493" w14:textId="77777777" w:rsidR="00864732" w:rsidRPr="00F00945" w:rsidRDefault="00864732" w:rsidP="00864732">
            <w:pPr>
              <w:ind w:left="142"/>
              <w:contextualSpacing/>
              <w:rPr>
                <w:rFonts w:cs="Arial"/>
                <w:b/>
                <w:bCs/>
                <w:color w:val="FFFFFF"/>
                <w:szCs w:val="22"/>
              </w:rPr>
            </w:pPr>
            <w:r w:rsidRPr="00F00945">
              <w:rPr>
                <w:rFonts w:cs="Arial"/>
                <w:b/>
                <w:bCs/>
                <w:color w:val="FFFFFF"/>
                <w:szCs w:val="22"/>
              </w:rPr>
              <w:t>4</w:t>
            </w:r>
          </w:p>
        </w:tc>
        <w:tc>
          <w:tcPr>
            <w:tcW w:w="2338" w:type="dxa"/>
            <w:shd w:val="clear" w:color="auto" w:fill="000000" w:themeFill="text1"/>
            <w:noWrap/>
            <w:hideMark/>
          </w:tcPr>
          <w:p w14:paraId="5B2D8C40" w14:textId="77777777" w:rsidR="00864732" w:rsidRPr="00F00945" w:rsidRDefault="00864732" w:rsidP="00864732">
            <w:pPr>
              <w:ind w:left="142"/>
              <w:contextualSpacing/>
              <w:rPr>
                <w:rFonts w:cs="Arial"/>
                <w:b/>
                <w:bCs/>
                <w:color w:val="FFFFFF"/>
                <w:szCs w:val="22"/>
              </w:rPr>
            </w:pPr>
            <w:r w:rsidRPr="00F00945">
              <w:rPr>
                <w:rFonts w:cs="Arial"/>
                <w:b/>
                <w:bCs/>
                <w:color w:val="FFFFFF"/>
                <w:szCs w:val="22"/>
              </w:rPr>
              <w:t>Total cost</w:t>
            </w:r>
          </w:p>
        </w:tc>
        <w:tc>
          <w:tcPr>
            <w:tcW w:w="1488" w:type="dxa"/>
            <w:shd w:val="clear" w:color="auto" w:fill="000000" w:themeFill="text1"/>
            <w:noWrap/>
            <w:hideMark/>
          </w:tcPr>
          <w:p w14:paraId="7D6A4CB6" w14:textId="77777777" w:rsidR="00864732" w:rsidRPr="00F00945" w:rsidRDefault="00864732" w:rsidP="00864732">
            <w:pPr>
              <w:ind w:left="142"/>
              <w:contextualSpacing/>
              <w:rPr>
                <w:rFonts w:cs="Arial"/>
                <w:b/>
                <w:bCs/>
                <w:color w:val="FFFFFF"/>
                <w:szCs w:val="22"/>
              </w:rPr>
            </w:pPr>
            <w:r w:rsidRPr="00F00945">
              <w:rPr>
                <w:rFonts w:cs="Arial"/>
                <w:b/>
                <w:bCs/>
                <w:color w:val="FFFFFF"/>
                <w:szCs w:val="22"/>
              </w:rPr>
              <w:t>343,168</w:t>
            </w:r>
          </w:p>
        </w:tc>
        <w:tc>
          <w:tcPr>
            <w:tcW w:w="1489" w:type="dxa"/>
            <w:shd w:val="clear" w:color="auto" w:fill="000000" w:themeFill="text1"/>
            <w:noWrap/>
            <w:hideMark/>
          </w:tcPr>
          <w:p w14:paraId="720DDDAC" w14:textId="77777777" w:rsidR="00864732" w:rsidRPr="00F00945" w:rsidRDefault="00864732" w:rsidP="00864732">
            <w:pPr>
              <w:ind w:left="142"/>
              <w:contextualSpacing/>
              <w:rPr>
                <w:rFonts w:cs="Arial"/>
                <w:b/>
                <w:bCs/>
                <w:color w:val="FFFFFF"/>
                <w:szCs w:val="22"/>
              </w:rPr>
            </w:pPr>
            <w:r w:rsidRPr="00F00945">
              <w:rPr>
                <w:rFonts w:cs="Arial"/>
                <w:b/>
                <w:bCs/>
                <w:color w:val="FFFFFF"/>
                <w:szCs w:val="22"/>
              </w:rPr>
              <w:t>332,060</w:t>
            </w:r>
          </w:p>
        </w:tc>
        <w:tc>
          <w:tcPr>
            <w:tcW w:w="1680" w:type="dxa"/>
            <w:shd w:val="clear" w:color="auto" w:fill="000000" w:themeFill="text1"/>
            <w:noWrap/>
            <w:hideMark/>
          </w:tcPr>
          <w:p w14:paraId="18FDFD8F" w14:textId="77777777" w:rsidR="00864732" w:rsidRPr="00F00945" w:rsidRDefault="00864732" w:rsidP="00864732">
            <w:pPr>
              <w:ind w:left="142"/>
              <w:contextualSpacing/>
              <w:rPr>
                <w:rFonts w:cs="Arial"/>
                <w:b/>
                <w:bCs/>
                <w:color w:val="FFFFFF"/>
                <w:szCs w:val="22"/>
              </w:rPr>
            </w:pPr>
            <w:r w:rsidRPr="00F00945">
              <w:rPr>
                <w:rFonts w:cs="Arial"/>
                <w:b/>
                <w:bCs/>
                <w:color w:val="FFFFFF"/>
                <w:szCs w:val="22"/>
              </w:rPr>
              <w:t>4,935,989</w:t>
            </w:r>
          </w:p>
        </w:tc>
        <w:tc>
          <w:tcPr>
            <w:tcW w:w="1680" w:type="dxa"/>
            <w:shd w:val="clear" w:color="auto" w:fill="000000" w:themeFill="text1"/>
          </w:tcPr>
          <w:p w14:paraId="62F503FB" w14:textId="77777777" w:rsidR="00864732" w:rsidRPr="00F00945" w:rsidRDefault="00864732" w:rsidP="00864732">
            <w:pPr>
              <w:ind w:left="142"/>
              <w:contextualSpacing/>
              <w:rPr>
                <w:rFonts w:cs="Arial"/>
                <w:b/>
                <w:bCs/>
                <w:color w:val="FFFFFF"/>
                <w:szCs w:val="22"/>
              </w:rPr>
            </w:pPr>
            <w:r w:rsidRPr="00F00945">
              <w:rPr>
                <w:rFonts w:cs="Arial"/>
                <w:b/>
                <w:bCs/>
                <w:color w:val="FFFFFF"/>
                <w:szCs w:val="22"/>
              </w:rPr>
              <w:t>3,848,955</w:t>
            </w:r>
          </w:p>
        </w:tc>
      </w:tr>
    </w:tbl>
    <w:p w14:paraId="4D97A2DC" w14:textId="77777777" w:rsidR="00864732" w:rsidRPr="00F00945" w:rsidRDefault="00864732" w:rsidP="00864732">
      <w:pPr>
        <w:pStyle w:val="ListParagraph"/>
        <w:ind w:left="142"/>
        <w:rPr>
          <w:rFonts w:cs="Arial"/>
        </w:rPr>
      </w:pPr>
    </w:p>
    <w:p w14:paraId="4D4FA65E" w14:textId="77777777" w:rsidR="00864732" w:rsidRPr="00F00945" w:rsidRDefault="00864732" w:rsidP="00864732">
      <w:pPr>
        <w:pStyle w:val="ListParagraph"/>
        <w:ind w:left="142"/>
        <w:rPr>
          <w:rFonts w:cs="Arial"/>
        </w:rPr>
      </w:pPr>
    </w:p>
    <w:p w14:paraId="03AE32D4" w14:textId="77777777" w:rsidR="00864732" w:rsidRPr="00F00945" w:rsidRDefault="00864732" w:rsidP="00864732">
      <w:pPr>
        <w:pStyle w:val="ListParagraph"/>
        <w:ind w:left="142"/>
        <w:rPr>
          <w:rFonts w:cs="Arial"/>
        </w:rPr>
      </w:pPr>
      <w:r w:rsidRPr="00F00945">
        <w:rPr>
          <w:rFonts w:cs="Arial"/>
        </w:rPr>
        <w:t>Points to note:</w:t>
      </w:r>
    </w:p>
    <w:p w14:paraId="4CE097DA" w14:textId="2E3EA94F" w:rsidR="00864732" w:rsidRPr="00F00945" w:rsidRDefault="00864732" w:rsidP="00864732">
      <w:pPr>
        <w:pStyle w:val="ListParagraph"/>
        <w:numPr>
          <w:ilvl w:val="0"/>
          <w:numId w:val="13"/>
        </w:numPr>
        <w:suppressAutoHyphens w:val="0"/>
        <w:autoSpaceDN/>
        <w:textAlignment w:val="auto"/>
        <w:rPr>
          <w:rFonts w:cs="Arial"/>
        </w:rPr>
      </w:pPr>
      <w:r w:rsidRPr="00F00945">
        <w:rPr>
          <w:rFonts w:cs="Arial"/>
        </w:rPr>
        <w:t xml:space="preserve">The base payment </w:t>
      </w:r>
      <w:r w:rsidR="0000228A">
        <w:rPr>
          <w:rFonts w:cs="Arial"/>
        </w:rPr>
        <w:t>wa</w:t>
      </w:r>
      <w:r w:rsidRPr="00F00945">
        <w:rPr>
          <w:rFonts w:cs="Arial"/>
        </w:rPr>
        <w:t>s actually in favour of the Council, not the contractor. Over the 10 years this totalled £2.5M (line 1).  The difference in the contract schedule and the 10 year total relate</w:t>
      </w:r>
      <w:r w:rsidR="0000228A">
        <w:rPr>
          <w:rFonts w:cs="Arial"/>
        </w:rPr>
        <w:t>d</w:t>
      </w:r>
      <w:r w:rsidRPr="00F00945">
        <w:rPr>
          <w:rFonts w:cs="Arial"/>
        </w:rPr>
        <w:t xml:space="preserve"> to inflationary uplifts.</w:t>
      </w:r>
    </w:p>
    <w:p w14:paraId="5F2E5FCF" w14:textId="5D885DE6" w:rsidR="00864732" w:rsidRPr="00F00945" w:rsidRDefault="00864732" w:rsidP="00864732">
      <w:pPr>
        <w:pStyle w:val="ListParagraph"/>
        <w:numPr>
          <w:ilvl w:val="0"/>
          <w:numId w:val="13"/>
        </w:numPr>
        <w:suppressAutoHyphens w:val="0"/>
        <w:autoSpaceDN/>
        <w:textAlignment w:val="auto"/>
        <w:rPr>
          <w:rFonts w:cs="Arial"/>
        </w:rPr>
      </w:pPr>
      <w:r w:rsidRPr="00F00945">
        <w:rPr>
          <w:rFonts w:cs="Arial"/>
        </w:rPr>
        <w:t>The utility payment overall show</w:t>
      </w:r>
      <w:r w:rsidR="0000228A">
        <w:rPr>
          <w:rFonts w:cs="Arial"/>
        </w:rPr>
        <w:t>ed</w:t>
      </w:r>
      <w:r w:rsidRPr="00F00945">
        <w:rPr>
          <w:rFonts w:cs="Arial"/>
        </w:rPr>
        <w:t xml:space="preserve"> minimal difference between the contract schedule and the ten year cost. The reduction in consumption by the contractor offset the unit price increase</w:t>
      </w:r>
      <w:r w:rsidR="0000228A">
        <w:rPr>
          <w:rFonts w:cs="Arial"/>
        </w:rPr>
        <w:t>d</w:t>
      </w:r>
      <w:r w:rsidRPr="00F00945">
        <w:rPr>
          <w:rFonts w:cs="Arial"/>
        </w:rPr>
        <w:t xml:space="preserve"> over the contract period.</w:t>
      </w:r>
    </w:p>
    <w:p w14:paraId="111E6B55" w14:textId="694CAC41" w:rsidR="00864732" w:rsidRDefault="00864732" w:rsidP="00624CC4">
      <w:pPr>
        <w:pStyle w:val="ListParagraph"/>
        <w:numPr>
          <w:ilvl w:val="0"/>
          <w:numId w:val="13"/>
        </w:numPr>
        <w:suppressAutoHyphens w:val="0"/>
        <w:autoSpaceDN/>
        <w:textAlignment w:val="auto"/>
        <w:rPr>
          <w:rFonts w:cs="Arial"/>
        </w:rPr>
      </w:pPr>
      <w:r w:rsidRPr="00F00945">
        <w:rPr>
          <w:rFonts w:cs="Arial"/>
        </w:rPr>
        <w:t xml:space="preserve">The utility adjustment of £1.3m </w:t>
      </w:r>
      <w:r w:rsidR="0000228A">
        <w:rPr>
          <w:rFonts w:cs="Arial"/>
        </w:rPr>
        <w:t>wa</w:t>
      </w:r>
      <w:r w:rsidRPr="00F00945">
        <w:rPr>
          <w:rFonts w:cs="Arial"/>
        </w:rPr>
        <w:t>s driven partly by the cost increase associated with energy price volatility during the period and would have been incurred by Council under any operating model.  It also include</w:t>
      </w:r>
      <w:r w:rsidR="0000228A">
        <w:rPr>
          <w:rFonts w:cs="Arial"/>
        </w:rPr>
        <w:t>d</w:t>
      </w:r>
      <w:r w:rsidRPr="00F00945">
        <w:rPr>
          <w:rFonts w:cs="Arial"/>
        </w:rPr>
        <w:t xml:space="preserve"> the reduced levels of consumption (equivalent to c.£600k) noted in the audit report.</w:t>
      </w:r>
    </w:p>
    <w:p w14:paraId="622F8451" w14:textId="77777777" w:rsidR="00624CC4" w:rsidRDefault="00624CC4" w:rsidP="00624CC4">
      <w:pPr>
        <w:pStyle w:val="ListParagraph"/>
        <w:suppressAutoHyphens w:val="0"/>
        <w:autoSpaceDN/>
        <w:textAlignment w:val="auto"/>
        <w:rPr>
          <w:rFonts w:cs="Arial"/>
        </w:rPr>
      </w:pPr>
    </w:p>
    <w:p w14:paraId="76A2332A" w14:textId="77777777" w:rsidR="00864732" w:rsidRPr="002229F6" w:rsidRDefault="00864732" w:rsidP="002229F6">
      <w:pPr>
        <w:pStyle w:val="Normal0"/>
        <w:rPr>
          <w:sz w:val="24"/>
          <w:szCs w:val="24"/>
        </w:rPr>
      </w:pPr>
      <w:r w:rsidRPr="002229F6">
        <w:rPr>
          <w:sz w:val="24"/>
          <w:szCs w:val="24"/>
        </w:rPr>
        <w:t>Consumption Targets</w:t>
      </w:r>
    </w:p>
    <w:p w14:paraId="4791CEF0" w14:textId="77777777" w:rsidR="00864732" w:rsidRPr="00F00945" w:rsidRDefault="00864732" w:rsidP="00624CC4">
      <w:pPr>
        <w:rPr>
          <w:rFonts w:cs="Arial"/>
        </w:rPr>
      </w:pPr>
    </w:p>
    <w:p w14:paraId="3FBCB09E" w14:textId="77777777" w:rsidR="00864732" w:rsidRPr="00F00945" w:rsidRDefault="00864732" w:rsidP="00624CC4">
      <w:pPr>
        <w:rPr>
          <w:rFonts w:cs="Arial"/>
        </w:rPr>
      </w:pPr>
      <w:r w:rsidRPr="00F00945">
        <w:rPr>
          <w:rFonts w:cs="Arial"/>
        </w:rPr>
        <w:t>As this was a new centre of a major scale that had never been operational before, no data existed on energy consumption.  Consumption targets were set based on estimates leveraging advice from industry experts.  A mechanism was included within the contract that allowed for review after the first two years to allow targets to be reset once operational needs were better understood.  This review resulted in a 6% reduction in the gas target and a 25% reduction in the electricity target.</w:t>
      </w:r>
    </w:p>
    <w:p w14:paraId="44D078A9" w14:textId="77777777" w:rsidR="00864732" w:rsidRPr="00F00945" w:rsidRDefault="00864732" w:rsidP="00624CC4">
      <w:pPr>
        <w:rPr>
          <w:rFonts w:cs="Arial"/>
        </w:rPr>
      </w:pPr>
    </w:p>
    <w:p w14:paraId="0CB1CE61" w14:textId="4FB2D2C3" w:rsidR="00864732" w:rsidRPr="00F00945" w:rsidRDefault="00864732" w:rsidP="00624CC4">
      <w:pPr>
        <w:rPr>
          <w:rFonts w:cs="Arial"/>
        </w:rPr>
      </w:pPr>
      <w:r w:rsidRPr="00F00945">
        <w:rPr>
          <w:rFonts w:cs="Arial"/>
        </w:rPr>
        <w:t>The finding within the report to those charged with governance state</w:t>
      </w:r>
      <w:r w:rsidR="0000228A">
        <w:rPr>
          <w:rFonts w:cs="Arial"/>
        </w:rPr>
        <w:t xml:space="preserve">d </w:t>
      </w:r>
      <w:r w:rsidRPr="00F00945">
        <w:rPr>
          <w:rFonts w:cs="Arial"/>
        </w:rPr>
        <w:t>that “Serco never had to bear additional energy costs in any year of the contract and the council had to pay this additional amount over the period of the contract.”</w:t>
      </w:r>
    </w:p>
    <w:p w14:paraId="1C4710B2" w14:textId="77777777" w:rsidR="00864732" w:rsidRPr="002229F6" w:rsidRDefault="00864732" w:rsidP="00624CC4">
      <w:pPr>
        <w:rPr>
          <w:rFonts w:cs="Arial"/>
        </w:rPr>
      </w:pPr>
    </w:p>
    <w:p w14:paraId="6D582BA4" w14:textId="352009AA" w:rsidR="00864732" w:rsidRPr="002229F6" w:rsidRDefault="00864732" w:rsidP="002229F6">
      <w:pPr>
        <w:pStyle w:val="Normal0"/>
        <w:rPr>
          <w:sz w:val="24"/>
          <w:szCs w:val="24"/>
        </w:rPr>
      </w:pPr>
      <w:r w:rsidRPr="002229F6">
        <w:rPr>
          <w:sz w:val="24"/>
          <w:szCs w:val="24"/>
        </w:rPr>
        <w:t xml:space="preserve">While overall, NCLT did not bear additional charges, that </w:t>
      </w:r>
      <w:r w:rsidR="0000228A" w:rsidRPr="002229F6">
        <w:rPr>
          <w:sz w:val="24"/>
          <w:szCs w:val="24"/>
        </w:rPr>
        <w:t>wa</w:t>
      </w:r>
      <w:r w:rsidRPr="002229F6">
        <w:rPr>
          <w:sz w:val="24"/>
          <w:szCs w:val="24"/>
        </w:rPr>
        <w:t xml:space="preserve">s not correct in terms of electricity consumption where in </w:t>
      </w:r>
      <w:r w:rsidR="0000228A" w:rsidRPr="002229F6">
        <w:rPr>
          <w:sz w:val="24"/>
          <w:szCs w:val="24"/>
        </w:rPr>
        <w:t>five</w:t>
      </w:r>
      <w:r w:rsidRPr="002229F6">
        <w:rPr>
          <w:sz w:val="24"/>
          <w:szCs w:val="24"/>
        </w:rPr>
        <w:t xml:space="preserve"> of the 10 years the contractor exceeded the target and had deductions made from the annual adjustment payment. In addition, the benefit received by the contractor in those particular years was also curtailed.</w:t>
      </w:r>
    </w:p>
    <w:p w14:paraId="40A82B52" w14:textId="77777777" w:rsidR="00624CC4" w:rsidRPr="002229F6" w:rsidRDefault="00624CC4" w:rsidP="002229F6">
      <w:pPr>
        <w:pStyle w:val="Normal0"/>
        <w:rPr>
          <w:sz w:val="24"/>
          <w:szCs w:val="24"/>
        </w:rPr>
      </w:pPr>
    </w:p>
    <w:p w14:paraId="11F81BDA" w14:textId="0E94BD94" w:rsidR="00864732" w:rsidRPr="002229F6" w:rsidRDefault="00864732" w:rsidP="002229F6">
      <w:pPr>
        <w:pStyle w:val="Normal0"/>
        <w:rPr>
          <w:b/>
          <w:bCs/>
          <w:sz w:val="24"/>
          <w:szCs w:val="24"/>
        </w:rPr>
      </w:pPr>
      <w:r w:rsidRPr="002229F6">
        <w:rPr>
          <w:b/>
          <w:bCs/>
          <w:sz w:val="24"/>
          <w:szCs w:val="24"/>
        </w:rPr>
        <w:t>Contract Variation</w:t>
      </w:r>
    </w:p>
    <w:p w14:paraId="76513FE0" w14:textId="77777777" w:rsidR="00864732" w:rsidRPr="002229F6" w:rsidRDefault="00864732" w:rsidP="00624CC4">
      <w:pPr>
        <w:rPr>
          <w:rFonts w:cs="Arial"/>
        </w:rPr>
      </w:pPr>
      <w:r w:rsidRPr="002229F6">
        <w:rPr>
          <w:rFonts w:cs="Arial"/>
        </w:rPr>
        <w:t>When the contract was first put in place in 2012, the contractor was obliged to procure the utilities on the understanding that they would be able to achieve a better price than Council.</w:t>
      </w:r>
    </w:p>
    <w:p w14:paraId="260C71BB" w14:textId="77777777" w:rsidR="00864732" w:rsidRPr="00F00945" w:rsidRDefault="00864732" w:rsidP="00624CC4">
      <w:pPr>
        <w:rPr>
          <w:rFonts w:cs="Arial"/>
        </w:rPr>
      </w:pPr>
    </w:p>
    <w:p w14:paraId="4673E86D" w14:textId="77777777" w:rsidR="00864732" w:rsidRDefault="00864732" w:rsidP="00624CC4">
      <w:pPr>
        <w:rPr>
          <w:rFonts w:cs="Arial"/>
        </w:rPr>
      </w:pPr>
      <w:r w:rsidRPr="00F00945">
        <w:rPr>
          <w:rFonts w:cs="Arial"/>
        </w:rPr>
        <w:t>However, by the time extension discussions were undertaken in 2022, there were a number of interlinked factors that had come to the fore for the operator:</w:t>
      </w:r>
    </w:p>
    <w:p w14:paraId="5B91FB3E" w14:textId="77777777" w:rsidR="0000228A" w:rsidRPr="00F00945" w:rsidRDefault="0000228A" w:rsidP="00624CC4">
      <w:pPr>
        <w:rPr>
          <w:rFonts w:cs="Arial"/>
        </w:rPr>
      </w:pPr>
    </w:p>
    <w:p w14:paraId="67A8811A" w14:textId="2D3363D4" w:rsidR="00864732" w:rsidRPr="00F00945" w:rsidRDefault="00864732" w:rsidP="00624CC4">
      <w:pPr>
        <w:pStyle w:val="ListParagraph"/>
        <w:numPr>
          <w:ilvl w:val="0"/>
          <w:numId w:val="12"/>
        </w:numPr>
        <w:suppressAutoHyphens w:val="0"/>
        <w:autoSpaceDN/>
        <w:textAlignment w:val="auto"/>
        <w:rPr>
          <w:rFonts w:cs="Arial"/>
        </w:rPr>
      </w:pPr>
      <w:r w:rsidRPr="00F00945">
        <w:rPr>
          <w:rFonts w:cs="Arial"/>
        </w:rPr>
        <w:t xml:space="preserve">Utility prices had increased very </w:t>
      </w:r>
      <w:r w:rsidR="00624CC4" w:rsidRPr="00F00945">
        <w:rPr>
          <w:rFonts w:cs="Arial"/>
        </w:rPr>
        <w:t>substantially.</w:t>
      </w:r>
    </w:p>
    <w:p w14:paraId="466DA4AD" w14:textId="77777777" w:rsidR="00864732" w:rsidRPr="00F00945" w:rsidRDefault="00864732" w:rsidP="00624CC4">
      <w:pPr>
        <w:pStyle w:val="ListParagraph"/>
        <w:numPr>
          <w:ilvl w:val="0"/>
          <w:numId w:val="12"/>
        </w:numPr>
        <w:suppressAutoHyphens w:val="0"/>
        <w:autoSpaceDN/>
        <w:textAlignment w:val="auto"/>
        <w:rPr>
          <w:rFonts w:cs="Arial"/>
        </w:rPr>
      </w:pPr>
      <w:r w:rsidRPr="00F00945">
        <w:rPr>
          <w:rFonts w:cs="Arial"/>
        </w:rPr>
        <w:t>This increase was having a negative effect of the operators’ irrecoverable VAT position.</w:t>
      </w:r>
    </w:p>
    <w:p w14:paraId="77535FB4" w14:textId="2EF5ADA6" w:rsidR="00864732" w:rsidRPr="00F00945" w:rsidRDefault="00864732" w:rsidP="00624CC4">
      <w:pPr>
        <w:pStyle w:val="ListParagraph"/>
        <w:numPr>
          <w:ilvl w:val="0"/>
          <w:numId w:val="12"/>
        </w:numPr>
        <w:suppressAutoHyphens w:val="0"/>
        <w:autoSpaceDN/>
        <w:textAlignment w:val="auto"/>
        <w:rPr>
          <w:rFonts w:cs="Arial"/>
        </w:rPr>
      </w:pPr>
      <w:r w:rsidRPr="00F00945">
        <w:rPr>
          <w:rFonts w:cs="Arial"/>
        </w:rPr>
        <w:t xml:space="preserve">Council had joined a consortium with other </w:t>
      </w:r>
      <w:r w:rsidR="0000228A">
        <w:rPr>
          <w:rFonts w:cs="Arial"/>
        </w:rPr>
        <w:t>C</w:t>
      </w:r>
      <w:r w:rsidRPr="00F00945">
        <w:rPr>
          <w:rFonts w:cs="Arial"/>
        </w:rPr>
        <w:t>ouncils and w</w:t>
      </w:r>
      <w:r w:rsidR="008C6786">
        <w:rPr>
          <w:rFonts w:cs="Arial"/>
        </w:rPr>
        <w:t>as</w:t>
      </w:r>
      <w:r w:rsidRPr="00F00945">
        <w:rPr>
          <w:rFonts w:cs="Arial"/>
        </w:rPr>
        <w:t xml:space="preserve"> able to achieve more competitive prices than the contractor. </w:t>
      </w:r>
    </w:p>
    <w:p w14:paraId="548B7AF2" w14:textId="77777777" w:rsidR="00864732" w:rsidRPr="00F00945" w:rsidRDefault="00864732" w:rsidP="00624CC4">
      <w:pPr>
        <w:rPr>
          <w:rFonts w:cs="Arial"/>
        </w:rPr>
      </w:pPr>
    </w:p>
    <w:p w14:paraId="05F867D1" w14:textId="77777777" w:rsidR="00864732" w:rsidRPr="00F00945" w:rsidRDefault="00864732" w:rsidP="00624CC4">
      <w:pPr>
        <w:rPr>
          <w:rFonts w:cs="Arial"/>
        </w:rPr>
      </w:pPr>
      <w:r w:rsidRPr="00F00945">
        <w:rPr>
          <w:rFonts w:cs="Arial"/>
        </w:rPr>
        <w:t>The Council procuring utilities partially addressed the first issue, however as the contract stood it would not solve the second issue in connection with VAT. Following professional advice the operator therefore requested a contract variation which would resolve this issue. This was agreed to following the Council consulting its own VAT advisors, and results in the operator’s fixed contribution to utilities being deducted from the agreed contract payment.  This results in the operator contributing to the cost of utilities, as shown in the table below:</w:t>
      </w:r>
    </w:p>
    <w:p w14:paraId="25B35E7F" w14:textId="77777777" w:rsidR="00864732" w:rsidRPr="00F00945" w:rsidRDefault="00864732" w:rsidP="00864732">
      <w:pPr>
        <w:rPr>
          <w:rFonts w:cs="Arial"/>
        </w:rPr>
      </w:pPr>
    </w:p>
    <w:p w14:paraId="6D3CEFFF" w14:textId="77777777" w:rsidR="00864732" w:rsidRPr="00F00945" w:rsidRDefault="00864732" w:rsidP="00864732">
      <w:pPr>
        <w:shd w:val="clear" w:color="auto" w:fill="FFFFFF"/>
        <w:rPr>
          <w:rFonts w:cs="Arial"/>
          <w14:ligatures w14:val="standardContextual"/>
        </w:rPr>
      </w:pPr>
      <w:r>
        <w:rPr>
          <w:rFonts w:cs="Arial"/>
          <w14:ligatures w14:val="standardContextual"/>
        </w:rPr>
        <w:t>Table 8</w:t>
      </w:r>
    </w:p>
    <w:tbl>
      <w:tblPr>
        <w:tblStyle w:val="ListTable3-Accent42"/>
        <w:tblW w:w="0" w:type="auto"/>
        <w:tblLook w:val="0420" w:firstRow="1" w:lastRow="0" w:firstColumn="0" w:lastColumn="0" w:noHBand="0" w:noVBand="1"/>
      </w:tblPr>
      <w:tblGrid>
        <w:gridCol w:w="3943"/>
        <w:gridCol w:w="1466"/>
        <w:gridCol w:w="1733"/>
        <w:gridCol w:w="1874"/>
      </w:tblGrid>
      <w:tr w:rsidR="00864732" w:rsidRPr="00F00945" w14:paraId="3D68EDCC" w14:textId="77777777" w:rsidTr="00637B2B">
        <w:trPr>
          <w:cnfStyle w:val="100000000000" w:firstRow="1" w:lastRow="0" w:firstColumn="0" w:lastColumn="0" w:oddVBand="0" w:evenVBand="0" w:oddHBand="0" w:evenHBand="0" w:firstRowFirstColumn="0" w:firstRowLastColumn="0" w:lastRowFirstColumn="0" w:lastRowLastColumn="0"/>
          <w:trHeight w:val="397"/>
        </w:trPr>
        <w:tc>
          <w:tcPr>
            <w:tcW w:w="4072" w:type="dxa"/>
          </w:tcPr>
          <w:p w14:paraId="55CFFCE0" w14:textId="77777777" w:rsidR="00864732" w:rsidRPr="00F00945" w:rsidRDefault="00864732" w:rsidP="00864732">
            <w:pPr>
              <w:rPr>
                <w:rFonts w:cs="Arial"/>
                <w:szCs w:val="22"/>
              </w:rPr>
            </w:pPr>
          </w:p>
        </w:tc>
        <w:tc>
          <w:tcPr>
            <w:tcW w:w="1504" w:type="dxa"/>
          </w:tcPr>
          <w:p w14:paraId="2725054D" w14:textId="77777777" w:rsidR="00864732" w:rsidRPr="00F00945" w:rsidRDefault="00864732" w:rsidP="00864732">
            <w:pPr>
              <w:rPr>
                <w:rFonts w:cs="Arial"/>
                <w:szCs w:val="22"/>
              </w:rPr>
            </w:pPr>
            <w:r w:rsidRPr="00F00945">
              <w:rPr>
                <w:rFonts w:cs="Arial"/>
                <w:szCs w:val="22"/>
              </w:rPr>
              <w:t>Note</w:t>
            </w:r>
          </w:p>
        </w:tc>
        <w:tc>
          <w:tcPr>
            <w:tcW w:w="1759" w:type="dxa"/>
          </w:tcPr>
          <w:p w14:paraId="52493257" w14:textId="77777777" w:rsidR="00864732" w:rsidRPr="00F00945" w:rsidRDefault="00864732" w:rsidP="00864732">
            <w:pPr>
              <w:rPr>
                <w:rFonts w:cs="Arial"/>
                <w:szCs w:val="22"/>
              </w:rPr>
            </w:pPr>
            <w:r w:rsidRPr="00F00945">
              <w:rPr>
                <w:rFonts w:cs="Arial"/>
                <w:szCs w:val="22"/>
              </w:rPr>
              <w:t>2023/24</w:t>
            </w:r>
          </w:p>
        </w:tc>
        <w:tc>
          <w:tcPr>
            <w:tcW w:w="1907" w:type="dxa"/>
          </w:tcPr>
          <w:p w14:paraId="5D1D0580" w14:textId="77777777" w:rsidR="00864732" w:rsidRPr="00F00945" w:rsidRDefault="00864732" w:rsidP="00864732">
            <w:pPr>
              <w:rPr>
                <w:rFonts w:cs="Arial"/>
                <w:szCs w:val="22"/>
              </w:rPr>
            </w:pPr>
            <w:r w:rsidRPr="00F00945">
              <w:rPr>
                <w:rFonts w:cs="Arial"/>
                <w:szCs w:val="22"/>
              </w:rPr>
              <w:t>2024/25</w:t>
            </w:r>
          </w:p>
        </w:tc>
      </w:tr>
      <w:tr w:rsidR="00864732" w:rsidRPr="00F00945" w14:paraId="18C53BCA" w14:textId="77777777" w:rsidTr="00637B2B">
        <w:trPr>
          <w:cnfStyle w:val="000000100000" w:firstRow="0" w:lastRow="0" w:firstColumn="0" w:lastColumn="0" w:oddVBand="0" w:evenVBand="0" w:oddHBand="1" w:evenHBand="0" w:firstRowFirstColumn="0" w:firstRowLastColumn="0" w:lastRowFirstColumn="0" w:lastRowLastColumn="0"/>
          <w:trHeight w:val="397"/>
        </w:trPr>
        <w:tc>
          <w:tcPr>
            <w:tcW w:w="4072" w:type="dxa"/>
          </w:tcPr>
          <w:p w14:paraId="7D776CF8" w14:textId="77777777" w:rsidR="00864732" w:rsidRPr="00F00945" w:rsidRDefault="00864732" w:rsidP="00864732">
            <w:pPr>
              <w:rPr>
                <w:rFonts w:cs="Arial"/>
                <w:szCs w:val="22"/>
              </w:rPr>
            </w:pPr>
            <w:r w:rsidRPr="00F00945">
              <w:rPr>
                <w:rFonts w:cs="Arial"/>
                <w:szCs w:val="22"/>
              </w:rPr>
              <w:t>Contract Payment</w:t>
            </w:r>
          </w:p>
        </w:tc>
        <w:tc>
          <w:tcPr>
            <w:tcW w:w="1504" w:type="dxa"/>
          </w:tcPr>
          <w:p w14:paraId="699C5955" w14:textId="77777777" w:rsidR="00864732" w:rsidRPr="00F00945" w:rsidRDefault="00864732" w:rsidP="00864732">
            <w:pPr>
              <w:rPr>
                <w:rFonts w:cs="Arial"/>
                <w:szCs w:val="22"/>
              </w:rPr>
            </w:pPr>
            <w:r w:rsidRPr="00F00945">
              <w:rPr>
                <w:rFonts w:cs="Arial"/>
                <w:szCs w:val="22"/>
              </w:rPr>
              <w:t>1</w:t>
            </w:r>
          </w:p>
        </w:tc>
        <w:tc>
          <w:tcPr>
            <w:tcW w:w="1759" w:type="dxa"/>
          </w:tcPr>
          <w:p w14:paraId="2E1BF9CE" w14:textId="77777777" w:rsidR="00864732" w:rsidRPr="00F00945" w:rsidRDefault="00864732" w:rsidP="00864732">
            <w:pPr>
              <w:rPr>
                <w:rFonts w:cs="Arial"/>
                <w:szCs w:val="22"/>
              </w:rPr>
            </w:pPr>
            <w:r w:rsidRPr="00F00945">
              <w:rPr>
                <w:rFonts w:cs="Arial"/>
                <w:szCs w:val="22"/>
              </w:rPr>
              <w:t>£       527,669</w:t>
            </w:r>
          </w:p>
        </w:tc>
        <w:tc>
          <w:tcPr>
            <w:tcW w:w="1907" w:type="dxa"/>
          </w:tcPr>
          <w:p w14:paraId="024B2B35" w14:textId="77777777" w:rsidR="00864732" w:rsidRPr="00F00945" w:rsidRDefault="00864732" w:rsidP="00864732">
            <w:pPr>
              <w:rPr>
                <w:rFonts w:cs="Arial"/>
                <w:szCs w:val="22"/>
              </w:rPr>
            </w:pPr>
            <w:r w:rsidRPr="00F00945">
              <w:rPr>
                <w:rFonts w:cs="Arial"/>
                <w:szCs w:val="22"/>
              </w:rPr>
              <w:t>£       435,928</w:t>
            </w:r>
          </w:p>
        </w:tc>
      </w:tr>
      <w:tr w:rsidR="00864732" w:rsidRPr="00F00945" w14:paraId="2802572A" w14:textId="77777777" w:rsidTr="00637B2B">
        <w:trPr>
          <w:trHeight w:val="397"/>
        </w:trPr>
        <w:tc>
          <w:tcPr>
            <w:tcW w:w="4072" w:type="dxa"/>
          </w:tcPr>
          <w:p w14:paraId="61937C51" w14:textId="77777777" w:rsidR="00864732" w:rsidRPr="00F00945" w:rsidRDefault="00864732" w:rsidP="00864732">
            <w:pPr>
              <w:rPr>
                <w:rFonts w:cs="Arial"/>
                <w:szCs w:val="22"/>
              </w:rPr>
            </w:pPr>
            <w:r w:rsidRPr="00F00945">
              <w:rPr>
                <w:rFonts w:cs="Arial"/>
                <w:szCs w:val="22"/>
              </w:rPr>
              <w:t>Utility Contribution</w:t>
            </w:r>
          </w:p>
        </w:tc>
        <w:tc>
          <w:tcPr>
            <w:tcW w:w="1504" w:type="dxa"/>
          </w:tcPr>
          <w:p w14:paraId="7215084A" w14:textId="77777777" w:rsidR="00864732" w:rsidRPr="00F00945" w:rsidRDefault="00864732" w:rsidP="00864732">
            <w:pPr>
              <w:rPr>
                <w:rFonts w:cs="Arial"/>
                <w:szCs w:val="22"/>
              </w:rPr>
            </w:pPr>
            <w:r w:rsidRPr="00F00945">
              <w:rPr>
                <w:rFonts w:cs="Arial"/>
                <w:szCs w:val="22"/>
              </w:rPr>
              <w:t>2</w:t>
            </w:r>
          </w:p>
        </w:tc>
        <w:tc>
          <w:tcPr>
            <w:tcW w:w="1759" w:type="dxa"/>
          </w:tcPr>
          <w:p w14:paraId="2BEBE90F" w14:textId="77777777" w:rsidR="00864732" w:rsidRPr="00F00945" w:rsidRDefault="00864732" w:rsidP="00864732">
            <w:pPr>
              <w:rPr>
                <w:rFonts w:cs="Arial"/>
                <w:szCs w:val="22"/>
              </w:rPr>
            </w:pPr>
            <w:r w:rsidRPr="00F00945">
              <w:rPr>
                <w:rFonts w:cs="Arial"/>
                <w:szCs w:val="22"/>
              </w:rPr>
              <w:t>£    (701,615)</w:t>
            </w:r>
          </w:p>
        </w:tc>
        <w:tc>
          <w:tcPr>
            <w:tcW w:w="1907" w:type="dxa"/>
          </w:tcPr>
          <w:p w14:paraId="1458A6C4" w14:textId="77777777" w:rsidR="00864732" w:rsidRPr="00F00945" w:rsidRDefault="00864732" w:rsidP="00864732">
            <w:pPr>
              <w:rPr>
                <w:rFonts w:cs="Arial"/>
                <w:szCs w:val="22"/>
              </w:rPr>
            </w:pPr>
            <w:r w:rsidRPr="00F00945">
              <w:rPr>
                <w:rFonts w:cs="Arial"/>
                <w:szCs w:val="22"/>
              </w:rPr>
              <w:t>£     (728,276)</w:t>
            </w:r>
          </w:p>
        </w:tc>
      </w:tr>
      <w:tr w:rsidR="00864732" w:rsidRPr="00F00945" w14:paraId="7CA4E0C0" w14:textId="77777777" w:rsidTr="00637B2B">
        <w:trPr>
          <w:cnfStyle w:val="000000100000" w:firstRow="0" w:lastRow="0" w:firstColumn="0" w:lastColumn="0" w:oddVBand="0" w:evenVBand="0" w:oddHBand="1" w:evenHBand="0" w:firstRowFirstColumn="0" w:firstRowLastColumn="0" w:lastRowFirstColumn="0" w:lastRowLastColumn="0"/>
          <w:trHeight w:val="397"/>
        </w:trPr>
        <w:tc>
          <w:tcPr>
            <w:tcW w:w="4072" w:type="dxa"/>
            <w:shd w:val="clear" w:color="auto" w:fill="000000"/>
          </w:tcPr>
          <w:p w14:paraId="7CD6B54E" w14:textId="77777777" w:rsidR="00864732" w:rsidRPr="00F00945" w:rsidRDefault="00864732" w:rsidP="00864732">
            <w:pPr>
              <w:rPr>
                <w:rFonts w:cs="Arial"/>
                <w:b/>
                <w:bCs/>
                <w:szCs w:val="22"/>
              </w:rPr>
            </w:pPr>
            <w:r w:rsidRPr="00F00945">
              <w:rPr>
                <w:rFonts w:cs="Arial"/>
                <w:b/>
                <w:bCs/>
                <w:szCs w:val="22"/>
              </w:rPr>
              <w:t xml:space="preserve">Base Payment </w:t>
            </w:r>
          </w:p>
        </w:tc>
        <w:tc>
          <w:tcPr>
            <w:tcW w:w="1504" w:type="dxa"/>
            <w:shd w:val="clear" w:color="auto" w:fill="000000"/>
          </w:tcPr>
          <w:p w14:paraId="53F66360" w14:textId="77777777" w:rsidR="00864732" w:rsidRPr="00F00945" w:rsidRDefault="00864732" w:rsidP="00864732">
            <w:pPr>
              <w:rPr>
                <w:rFonts w:cs="Arial"/>
                <w:b/>
                <w:bCs/>
                <w:szCs w:val="22"/>
              </w:rPr>
            </w:pPr>
            <w:r w:rsidRPr="00F00945">
              <w:rPr>
                <w:rFonts w:cs="Arial"/>
                <w:b/>
                <w:bCs/>
                <w:szCs w:val="22"/>
              </w:rPr>
              <w:t>3</w:t>
            </w:r>
          </w:p>
        </w:tc>
        <w:tc>
          <w:tcPr>
            <w:tcW w:w="1759" w:type="dxa"/>
            <w:shd w:val="clear" w:color="auto" w:fill="000000"/>
          </w:tcPr>
          <w:p w14:paraId="2E4F4566" w14:textId="77777777" w:rsidR="00864732" w:rsidRPr="00F00945" w:rsidRDefault="00864732" w:rsidP="00864732">
            <w:pPr>
              <w:rPr>
                <w:rFonts w:cs="Arial"/>
                <w:b/>
                <w:bCs/>
                <w:szCs w:val="22"/>
              </w:rPr>
            </w:pPr>
            <w:r w:rsidRPr="00F00945">
              <w:rPr>
                <w:rFonts w:cs="Arial"/>
                <w:b/>
                <w:bCs/>
                <w:szCs w:val="22"/>
              </w:rPr>
              <w:t>£    (173,946)</w:t>
            </w:r>
          </w:p>
        </w:tc>
        <w:tc>
          <w:tcPr>
            <w:tcW w:w="1907" w:type="dxa"/>
            <w:shd w:val="clear" w:color="auto" w:fill="000000"/>
          </w:tcPr>
          <w:p w14:paraId="322626A2" w14:textId="77777777" w:rsidR="00864732" w:rsidRPr="00F00945" w:rsidRDefault="00864732" w:rsidP="00864732">
            <w:pPr>
              <w:rPr>
                <w:rFonts w:cs="Arial"/>
                <w:b/>
                <w:bCs/>
                <w:szCs w:val="22"/>
              </w:rPr>
            </w:pPr>
            <w:r w:rsidRPr="00F00945">
              <w:rPr>
                <w:rFonts w:cs="Arial"/>
                <w:b/>
                <w:bCs/>
                <w:szCs w:val="22"/>
              </w:rPr>
              <w:t>£     (292,349)</w:t>
            </w:r>
          </w:p>
        </w:tc>
      </w:tr>
    </w:tbl>
    <w:p w14:paraId="5C4F2607" w14:textId="77777777" w:rsidR="00864732" w:rsidRPr="00F00945" w:rsidRDefault="00864732" w:rsidP="00864732">
      <w:pPr>
        <w:shd w:val="clear" w:color="auto" w:fill="FFFFFF"/>
        <w:rPr>
          <w:rFonts w:cs="Arial"/>
          <w14:ligatures w14:val="standardContextual"/>
        </w:rPr>
      </w:pPr>
    </w:p>
    <w:p w14:paraId="1982AA0C" w14:textId="77777777" w:rsidR="003D2CB6" w:rsidRDefault="003D2CB6" w:rsidP="00864732">
      <w:pPr>
        <w:shd w:val="clear" w:color="auto" w:fill="FFFFFF"/>
        <w:rPr>
          <w:rFonts w:cs="Arial"/>
          <w14:ligatures w14:val="standardContextual"/>
        </w:rPr>
      </w:pPr>
    </w:p>
    <w:p w14:paraId="6372B32E" w14:textId="6D6A13B3" w:rsidR="00864732" w:rsidRPr="00F00945" w:rsidRDefault="00864732" w:rsidP="00864732">
      <w:pPr>
        <w:shd w:val="clear" w:color="auto" w:fill="FFFFFF"/>
        <w:rPr>
          <w:rFonts w:cs="Arial"/>
          <w14:ligatures w14:val="standardContextual"/>
        </w:rPr>
      </w:pPr>
      <w:r w:rsidRPr="00F00945">
        <w:rPr>
          <w:rFonts w:cs="Arial"/>
          <w14:ligatures w14:val="standardContextual"/>
        </w:rPr>
        <w:lastRenderedPageBreak/>
        <w:t>Notes:</w:t>
      </w:r>
    </w:p>
    <w:p w14:paraId="4250E758" w14:textId="77777777" w:rsidR="00864732" w:rsidRPr="00F00945" w:rsidRDefault="00864732" w:rsidP="00864732">
      <w:pPr>
        <w:numPr>
          <w:ilvl w:val="0"/>
          <w:numId w:val="14"/>
        </w:numPr>
        <w:shd w:val="clear" w:color="auto" w:fill="FFFFFF"/>
        <w:suppressAutoHyphens w:val="0"/>
        <w:autoSpaceDN/>
        <w:contextualSpacing/>
        <w:textAlignment w:val="auto"/>
        <w:rPr>
          <w:rFonts w:cs="Arial"/>
          <w14:ligatures w14:val="standardContextual"/>
        </w:rPr>
      </w:pPr>
      <w:r w:rsidRPr="00F00945">
        <w:rPr>
          <w:rFonts w:cs="Arial"/>
          <w14:ligatures w14:val="standardContextual"/>
        </w:rPr>
        <w:t>Contract extension fee plus inflation</w:t>
      </w:r>
    </w:p>
    <w:p w14:paraId="34C7E992" w14:textId="77777777" w:rsidR="00864732" w:rsidRPr="00F00945" w:rsidRDefault="00864732" w:rsidP="00864732">
      <w:pPr>
        <w:numPr>
          <w:ilvl w:val="0"/>
          <w:numId w:val="14"/>
        </w:numPr>
        <w:shd w:val="clear" w:color="auto" w:fill="FFFFFF"/>
        <w:suppressAutoHyphens w:val="0"/>
        <w:autoSpaceDN/>
        <w:contextualSpacing/>
        <w:textAlignment w:val="auto"/>
        <w:rPr>
          <w:rFonts w:cs="Arial"/>
          <w14:ligatures w14:val="standardContextual"/>
        </w:rPr>
      </w:pPr>
      <w:r w:rsidRPr="00F00945">
        <w:rPr>
          <w:rFonts w:cs="Arial"/>
          <w14:ligatures w14:val="standardContextual"/>
        </w:rPr>
        <w:t>Utility contribution by operator plus inflation</w:t>
      </w:r>
    </w:p>
    <w:p w14:paraId="1209CDF1" w14:textId="77777777" w:rsidR="002229F6" w:rsidRDefault="00864732" w:rsidP="002229F6">
      <w:pPr>
        <w:numPr>
          <w:ilvl w:val="0"/>
          <w:numId w:val="14"/>
        </w:numPr>
        <w:shd w:val="clear" w:color="auto" w:fill="FFFFFF"/>
        <w:suppressAutoHyphens w:val="0"/>
        <w:autoSpaceDN/>
        <w:contextualSpacing/>
        <w:textAlignment w:val="auto"/>
        <w:rPr>
          <w:rFonts w:cs="Arial"/>
          <w14:ligatures w14:val="standardContextual"/>
        </w:rPr>
      </w:pPr>
      <w:r w:rsidRPr="00F00945">
        <w:rPr>
          <w:rFonts w:cs="Arial"/>
          <w14:ligatures w14:val="standardContextual"/>
        </w:rPr>
        <w:t>Net payment to Council to be offset against utilities paid.</w:t>
      </w:r>
    </w:p>
    <w:p w14:paraId="130750EC" w14:textId="77777777" w:rsidR="002229F6" w:rsidRDefault="002229F6" w:rsidP="002229F6">
      <w:pPr>
        <w:shd w:val="clear" w:color="auto" w:fill="FFFFFF"/>
        <w:suppressAutoHyphens w:val="0"/>
        <w:autoSpaceDN/>
        <w:contextualSpacing/>
        <w:textAlignment w:val="auto"/>
        <w:rPr>
          <w:rFonts w:cs="Arial"/>
          <w14:ligatures w14:val="standardContextual"/>
        </w:rPr>
      </w:pPr>
    </w:p>
    <w:p w14:paraId="3237234B" w14:textId="5481CFA2" w:rsidR="00864732" w:rsidRPr="002229F6" w:rsidRDefault="00864732" w:rsidP="002229F6">
      <w:pPr>
        <w:shd w:val="clear" w:color="auto" w:fill="FFFFFF"/>
        <w:suppressAutoHyphens w:val="0"/>
        <w:autoSpaceDN/>
        <w:contextualSpacing/>
        <w:textAlignment w:val="auto"/>
        <w:rPr>
          <w:rFonts w:cs="Arial"/>
          <w14:ligatures w14:val="standardContextual"/>
        </w:rPr>
      </w:pPr>
      <w:r w:rsidRPr="002229F6">
        <w:t>Management Response to Audit Finding</w:t>
      </w:r>
    </w:p>
    <w:p w14:paraId="0851B271" w14:textId="77777777" w:rsidR="00864732" w:rsidRPr="002229F6" w:rsidRDefault="00864732" w:rsidP="002229F6">
      <w:pPr>
        <w:pStyle w:val="Normal0"/>
        <w:rPr>
          <w:sz w:val="24"/>
          <w:szCs w:val="24"/>
        </w:rPr>
      </w:pPr>
    </w:p>
    <w:p w14:paraId="41374363" w14:textId="77777777" w:rsidR="00864732" w:rsidRPr="002229F6" w:rsidRDefault="00864732" w:rsidP="002229F6">
      <w:pPr>
        <w:pStyle w:val="Normal0"/>
        <w:rPr>
          <w:sz w:val="24"/>
          <w:szCs w:val="24"/>
        </w:rPr>
      </w:pPr>
      <w:r w:rsidRPr="002229F6">
        <w:rPr>
          <w:sz w:val="24"/>
          <w:szCs w:val="24"/>
        </w:rPr>
        <w:t>The draft report to those charged with governance presented by the NIAO to the September 2024 Audit Committee contained the following recommendation:</w:t>
      </w:r>
    </w:p>
    <w:p w14:paraId="0020F87F" w14:textId="77777777" w:rsidR="00864732" w:rsidRPr="00F00945" w:rsidRDefault="00864732" w:rsidP="00864732">
      <w:pPr>
        <w:rPr>
          <w:rFonts w:cs="Arial"/>
        </w:rPr>
      </w:pPr>
    </w:p>
    <w:p w14:paraId="0BE9D736" w14:textId="77777777" w:rsidR="00864732" w:rsidRPr="00F00945" w:rsidRDefault="00864732" w:rsidP="00864732">
      <w:pPr>
        <w:rPr>
          <w:rFonts w:cs="Arial"/>
        </w:rPr>
      </w:pPr>
      <w:r w:rsidRPr="00F00945">
        <w:rPr>
          <w:rFonts w:cs="Arial"/>
        </w:rPr>
        <w:t>“Contracts should not include clauses that result in 3</w:t>
      </w:r>
      <w:r w:rsidRPr="00F00945">
        <w:rPr>
          <w:rFonts w:cs="Arial"/>
          <w:vertAlign w:val="superscript"/>
        </w:rPr>
        <w:t>rd</w:t>
      </w:r>
      <w:r w:rsidRPr="00F00945">
        <w:rPr>
          <w:rFonts w:cs="Arial"/>
        </w:rPr>
        <w:t xml:space="preserve"> parties receiving payments over and above that which is paid by the Council for services provided.  Any incentives within service contracts should ensure that reasonable limits are in place to cap the amounts that the council may pay out.  In this case, where the council was paying energy costs, payments should have been based on actual usage, with conditions in place to ensure that the usage is reasonable.”</w:t>
      </w:r>
    </w:p>
    <w:p w14:paraId="24F1F981" w14:textId="77777777" w:rsidR="00864732" w:rsidRPr="00F00945" w:rsidRDefault="00864732" w:rsidP="00864732">
      <w:pPr>
        <w:rPr>
          <w:rFonts w:cs="Arial"/>
        </w:rPr>
      </w:pPr>
    </w:p>
    <w:p w14:paraId="71FD8545" w14:textId="3996AC94" w:rsidR="00864732" w:rsidRPr="00F00945" w:rsidRDefault="00864732" w:rsidP="00864732">
      <w:pPr>
        <w:rPr>
          <w:rFonts w:cs="Arial"/>
        </w:rPr>
      </w:pPr>
      <w:r w:rsidRPr="00F00945">
        <w:rPr>
          <w:rFonts w:cs="Arial"/>
        </w:rPr>
        <w:t xml:space="preserve">Management’s response </w:t>
      </w:r>
      <w:r w:rsidR="0000228A">
        <w:rPr>
          <w:rFonts w:cs="Arial"/>
        </w:rPr>
        <w:t>wa</w:t>
      </w:r>
      <w:r w:rsidRPr="00F00945">
        <w:rPr>
          <w:rFonts w:cs="Arial"/>
        </w:rPr>
        <w:t>s as follows:</w:t>
      </w:r>
    </w:p>
    <w:p w14:paraId="25EE9A99" w14:textId="77777777" w:rsidR="00864732" w:rsidRPr="00F00945" w:rsidRDefault="00864732" w:rsidP="00864732">
      <w:pPr>
        <w:rPr>
          <w:rFonts w:cs="Arial"/>
        </w:rPr>
      </w:pPr>
    </w:p>
    <w:p w14:paraId="4DAD9874" w14:textId="77777777" w:rsidR="00864732" w:rsidRDefault="00864732" w:rsidP="00864732">
      <w:pPr>
        <w:rPr>
          <w:rFonts w:cs="Arial"/>
          <w:b/>
          <w:bCs/>
        </w:rPr>
      </w:pPr>
      <w:r w:rsidRPr="00F00945">
        <w:rPr>
          <w:rFonts w:cs="Arial"/>
          <w:b/>
          <w:bCs/>
        </w:rPr>
        <w:t>Contractual overview</w:t>
      </w:r>
    </w:p>
    <w:p w14:paraId="17BE6ED0" w14:textId="77777777" w:rsidR="00864732" w:rsidRPr="00F00945" w:rsidRDefault="00864732" w:rsidP="00864732">
      <w:pPr>
        <w:rPr>
          <w:rFonts w:cs="Arial"/>
        </w:rPr>
      </w:pPr>
      <w:r w:rsidRPr="00F00945">
        <w:rPr>
          <w:rFonts w:cs="Arial"/>
        </w:rPr>
        <w:t xml:space="preserve">In August 2012, North Down Borough Council let a contract for the provision of leisure services to the operator who was assessed as providing the most economically advantageous tender.  This recommendation only considers one aspect of the payment mechanism associated with this contract, without reference to the contract as a whole and therefore management feel misrepresents the benefits of the deal obtained by Council, </w:t>
      </w:r>
      <w:r w:rsidRPr="005E4C75">
        <w:rPr>
          <w:rFonts w:cs="Arial"/>
        </w:rPr>
        <w:t>which per the original business case projected a saving of approximately £10M over the contract period versus the in-house model</w:t>
      </w:r>
      <w:r w:rsidRPr="00F00945">
        <w:rPr>
          <w:rFonts w:cs="Arial"/>
        </w:rPr>
        <w:t>.</w:t>
      </w:r>
    </w:p>
    <w:p w14:paraId="7FADDEC6" w14:textId="77777777" w:rsidR="00864732" w:rsidRDefault="00864732" w:rsidP="00864732">
      <w:pPr>
        <w:rPr>
          <w:rFonts w:cs="Arial"/>
          <w:b/>
          <w:bCs/>
        </w:rPr>
      </w:pPr>
    </w:p>
    <w:p w14:paraId="4C48617E" w14:textId="77777777" w:rsidR="00864732" w:rsidRPr="00F00945" w:rsidRDefault="00864732" w:rsidP="00864732">
      <w:pPr>
        <w:rPr>
          <w:rFonts w:cs="Arial"/>
          <w:b/>
          <w:bCs/>
        </w:rPr>
      </w:pPr>
      <w:r w:rsidRPr="00F00945">
        <w:rPr>
          <w:rFonts w:cs="Arial"/>
          <w:b/>
          <w:bCs/>
        </w:rPr>
        <w:t>Contract stipulation</w:t>
      </w:r>
    </w:p>
    <w:p w14:paraId="0FD0F984" w14:textId="77777777" w:rsidR="00864732" w:rsidRPr="00F00945" w:rsidRDefault="00864732" w:rsidP="00864732">
      <w:pPr>
        <w:rPr>
          <w:rFonts w:cs="Arial"/>
        </w:rPr>
      </w:pPr>
      <w:r w:rsidRPr="00F00945">
        <w:rPr>
          <w:rFonts w:cs="Arial"/>
        </w:rPr>
        <w:t>It is our understanding that the energy consumption element of the contract is a reasonably standard clause adopted by leisure services operators across the industry</w:t>
      </w:r>
      <w:r>
        <w:rPr>
          <w:rFonts w:cs="Arial"/>
        </w:rPr>
        <w:t xml:space="preserve"> for this type of facility</w:t>
      </w:r>
      <w:r w:rsidRPr="00F00945">
        <w:rPr>
          <w:rFonts w:cs="Arial"/>
        </w:rPr>
        <w:t xml:space="preserve">. </w:t>
      </w:r>
    </w:p>
    <w:p w14:paraId="5F00EF27" w14:textId="77777777" w:rsidR="00864732" w:rsidRPr="00F00945" w:rsidRDefault="00864732" w:rsidP="00864732">
      <w:pPr>
        <w:rPr>
          <w:rFonts w:cs="Arial"/>
        </w:rPr>
      </w:pPr>
    </w:p>
    <w:p w14:paraId="41E39FD5" w14:textId="77777777" w:rsidR="00864732" w:rsidRPr="00F00945" w:rsidRDefault="00864732" w:rsidP="00864732">
      <w:pPr>
        <w:rPr>
          <w:rFonts w:cs="Arial"/>
          <w:b/>
          <w:bCs/>
        </w:rPr>
      </w:pPr>
      <w:r w:rsidRPr="00F00945">
        <w:rPr>
          <w:rFonts w:cs="Arial"/>
          <w:b/>
          <w:bCs/>
        </w:rPr>
        <w:t>Energy usage</w:t>
      </w:r>
    </w:p>
    <w:p w14:paraId="54778119" w14:textId="77777777" w:rsidR="00864732" w:rsidRPr="00F00945" w:rsidRDefault="00864732" w:rsidP="00864732">
      <w:pPr>
        <w:rPr>
          <w:rFonts w:cs="Arial"/>
        </w:rPr>
      </w:pPr>
      <w:r w:rsidRPr="00F00945">
        <w:rPr>
          <w:rFonts w:cs="Arial"/>
        </w:rPr>
        <w:t>In compiling their bid each bidder will have considered the whole contract, both from expenditure and income aspects and will have pitched their management fee to Council on that basis.  Should the utility mechanism have been based on actuals only (rather than both targets and actuals), the bidders would have had a reduced incentive to minimise consumption.  The Council would therefore have been exposed to more risk, which is counter to the Council’s initial objectives for outsourcing.</w:t>
      </w:r>
    </w:p>
    <w:p w14:paraId="07A08A4E" w14:textId="77777777" w:rsidR="00864732" w:rsidRPr="00F00945" w:rsidRDefault="00864732" w:rsidP="00864732">
      <w:pPr>
        <w:rPr>
          <w:rFonts w:cs="Arial"/>
        </w:rPr>
      </w:pPr>
    </w:p>
    <w:p w14:paraId="34E68D3B" w14:textId="77777777" w:rsidR="00864732" w:rsidRPr="00F00945" w:rsidRDefault="00864732" w:rsidP="00864732">
      <w:pPr>
        <w:rPr>
          <w:rFonts w:cs="Arial"/>
          <w:b/>
          <w:bCs/>
        </w:rPr>
      </w:pPr>
      <w:r w:rsidRPr="00F00945">
        <w:rPr>
          <w:rFonts w:cs="Arial"/>
          <w:b/>
          <w:bCs/>
        </w:rPr>
        <w:t>Value proposition</w:t>
      </w:r>
    </w:p>
    <w:p w14:paraId="0BC4E16F" w14:textId="77777777" w:rsidR="00864732" w:rsidRPr="00F00945" w:rsidRDefault="00864732" w:rsidP="00864732">
      <w:pPr>
        <w:rPr>
          <w:rFonts w:cs="Arial"/>
        </w:rPr>
      </w:pPr>
      <w:r w:rsidRPr="00F00945">
        <w:rPr>
          <w:rFonts w:cs="Arial"/>
        </w:rPr>
        <w:t>It is management’s view that a change to one stipulation in the contract should not be viewed as having an isolated impact, but rather had a different contractual clause been used for energy consumption, that the value propositions in the initial bids received would have been different.</w:t>
      </w:r>
    </w:p>
    <w:p w14:paraId="1B09205D" w14:textId="77777777" w:rsidR="00864732" w:rsidRPr="00F00945" w:rsidRDefault="00864732" w:rsidP="00864732">
      <w:pPr>
        <w:rPr>
          <w:rFonts w:cs="Arial"/>
        </w:rPr>
      </w:pPr>
    </w:p>
    <w:p w14:paraId="482B5CBD" w14:textId="77777777" w:rsidR="00864732" w:rsidRPr="00F00945" w:rsidRDefault="00864732" w:rsidP="00864732">
      <w:pPr>
        <w:rPr>
          <w:rFonts w:cs="Arial"/>
          <w:b/>
          <w:bCs/>
        </w:rPr>
      </w:pPr>
      <w:r w:rsidRPr="00F00945">
        <w:rPr>
          <w:rFonts w:cs="Arial"/>
          <w:b/>
          <w:bCs/>
        </w:rPr>
        <w:t>Investment</w:t>
      </w:r>
    </w:p>
    <w:p w14:paraId="4291870B" w14:textId="77777777" w:rsidR="00864732" w:rsidRPr="00F00945" w:rsidRDefault="00864732" w:rsidP="00864732">
      <w:pPr>
        <w:rPr>
          <w:rFonts w:cs="Arial"/>
        </w:rPr>
      </w:pPr>
      <w:r w:rsidRPr="00F00945">
        <w:rPr>
          <w:rFonts w:cs="Arial"/>
        </w:rPr>
        <w:t xml:space="preserve">The analysis does not account for any investments made by </w:t>
      </w:r>
      <w:r>
        <w:rPr>
          <w:rFonts w:cs="Arial"/>
        </w:rPr>
        <w:t>Northern Community Leisure Trust</w:t>
      </w:r>
      <w:r w:rsidRPr="00F00945">
        <w:rPr>
          <w:rFonts w:cs="Arial"/>
        </w:rPr>
        <w:t xml:space="preserve"> to drive down energy consumption.</w:t>
      </w:r>
    </w:p>
    <w:p w14:paraId="63F6764E" w14:textId="77777777" w:rsidR="00864732" w:rsidRPr="00F00945" w:rsidRDefault="00864732" w:rsidP="00864732">
      <w:pPr>
        <w:rPr>
          <w:rFonts w:cs="Arial"/>
        </w:rPr>
      </w:pPr>
    </w:p>
    <w:p w14:paraId="012568DA" w14:textId="262F1D23" w:rsidR="00864732" w:rsidRPr="00F00945" w:rsidRDefault="00864732" w:rsidP="00864732">
      <w:pPr>
        <w:rPr>
          <w:rFonts w:cs="Arial"/>
        </w:rPr>
      </w:pPr>
      <w:r w:rsidRPr="00F00945">
        <w:rPr>
          <w:rFonts w:cs="Arial"/>
        </w:rPr>
        <w:t>Management w</w:t>
      </w:r>
      <w:r w:rsidR="008C6786">
        <w:rPr>
          <w:rFonts w:cs="Arial"/>
        </w:rPr>
        <w:t>ould</w:t>
      </w:r>
      <w:r w:rsidRPr="00F00945">
        <w:rPr>
          <w:rFonts w:cs="Arial"/>
        </w:rPr>
        <w:t xml:space="preserve"> consider the recommendation made by the NIAO should the Council decide to tender for similar services in the future, </w:t>
      </w:r>
      <w:r w:rsidR="008C6786" w:rsidRPr="00F00945">
        <w:rPr>
          <w:rFonts w:cs="Arial"/>
        </w:rPr>
        <w:t>however,</w:t>
      </w:r>
      <w:r w:rsidRPr="00F00945">
        <w:rPr>
          <w:rFonts w:cs="Arial"/>
        </w:rPr>
        <w:t xml:space="preserve"> w</w:t>
      </w:r>
      <w:r w:rsidR="008C6786">
        <w:rPr>
          <w:rFonts w:cs="Arial"/>
        </w:rPr>
        <w:t>ould</w:t>
      </w:r>
      <w:r w:rsidRPr="00F00945">
        <w:rPr>
          <w:rFonts w:cs="Arial"/>
        </w:rPr>
        <w:t xml:space="preserve"> ultimately make the decision based on what the Council s</w:t>
      </w:r>
      <w:r w:rsidR="008C6786">
        <w:rPr>
          <w:rFonts w:cs="Arial"/>
        </w:rPr>
        <w:t>aw</w:t>
      </w:r>
      <w:r w:rsidRPr="00F00945">
        <w:rPr>
          <w:rFonts w:cs="Arial"/>
        </w:rPr>
        <w:t xml:space="preserve"> as the contractual stipulations which </w:t>
      </w:r>
      <w:r w:rsidR="008C6786">
        <w:rPr>
          <w:rFonts w:cs="Arial"/>
        </w:rPr>
        <w:t>we</w:t>
      </w:r>
      <w:r w:rsidRPr="00F00945">
        <w:rPr>
          <w:rFonts w:cs="Arial"/>
        </w:rPr>
        <w:t>re mostly like to provide the Council with the best overall commercial deal.</w:t>
      </w:r>
    </w:p>
    <w:p w14:paraId="0FFB2BF5" w14:textId="77777777" w:rsidR="00CA048D" w:rsidRPr="00F00945" w:rsidRDefault="00CA048D" w:rsidP="00864732">
      <w:pPr>
        <w:rPr>
          <w:rFonts w:cs="Arial"/>
        </w:rPr>
      </w:pPr>
    </w:p>
    <w:p w14:paraId="31D21BFD" w14:textId="5052A485" w:rsidR="00CA048D" w:rsidRPr="00F00945" w:rsidRDefault="002E4785" w:rsidP="00864732">
      <w:pPr>
        <w:rPr>
          <w:rFonts w:cs="Arial"/>
        </w:rPr>
      </w:pPr>
      <w:r>
        <w:rPr>
          <w:rFonts w:cs="Arial"/>
        </w:rPr>
        <w:t>RECOMMENDED that Council notes the report.</w:t>
      </w:r>
    </w:p>
    <w:p w14:paraId="29B1E516" w14:textId="4576C71F" w:rsidR="00CA048D" w:rsidRPr="00F00945" w:rsidRDefault="00CA048D" w:rsidP="00864732">
      <w:pPr>
        <w:rPr>
          <w:rFonts w:cs="Arial"/>
        </w:rPr>
      </w:pPr>
    </w:p>
    <w:p w14:paraId="28AE5542" w14:textId="2AC23BA9" w:rsidR="00CA048D" w:rsidRDefault="00BD4582" w:rsidP="00864732">
      <w:r>
        <w:t xml:space="preserve">At this stage the Director </w:t>
      </w:r>
      <w:r w:rsidR="00FE1DE1">
        <w:t xml:space="preserve">of Corporate Services </w:t>
      </w:r>
      <w:r>
        <w:t xml:space="preserve">provided members with an overview of the report which had been circulated. </w:t>
      </w:r>
    </w:p>
    <w:p w14:paraId="1A0F3B56" w14:textId="77777777" w:rsidR="00053102" w:rsidRDefault="00053102" w:rsidP="00864732"/>
    <w:p w14:paraId="785BFF9A" w14:textId="55CC0EEE" w:rsidR="00053102" w:rsidRDefault="00053102" w:rsidP="00864732">
      <w:r>
        <w:t>Questions were sought from members at this stage.</w:t>
      </w:r>
    </w:p>
    <w:p w14:paraId="265E7C51" w14:textId="77777777" w:rsidR="00053102" w:rsidRDefault="00053102" w:rsidP="00864732"/>
    <w:p w14:paraId="0C1E6247" w14:textId="5F7D9EDA" w:rsidR="00053102" w:rsidRDefault="00053102" w:rsidP="00864732">
      <w:r>
        <w:t xml:space="preserve">Councillor McCollum expressed her thanks to officers for accommodating Audit Committee members by having this special meeting. She felt that it </w:t>
      </w:r>
      <w:r w:rsidR="00701D92">
        <w:t>had been</w:t>
      </w:r>
      <w:r>
        <w:t xml:space="preserve"> a worthwhile exercise and</w:t>
      </w:r>
      <w:r w:rsidR="001661C9">
        <w:t xml:space="preserve"> as a result she</w:t>
      </w:r>
      <w:r>
        <w:t xml:space="preserve"> now had a better understanding of the matter in question. Continuing she referred to </w:t>
      </w:r>
      <w:r w:rsidR="00701D92">
        <w:t>P</w:t>
      </w:r>
      <w:r>
        <w:t xml:space="preserve">age two of the report stating that the extract of the 2012 minutes had been helpful </w:t>
      </w:r>
      <w:r w:rsidR="000F3E6D">
        <w:t>and sought further comment from officers around the section which refer</w:t>
      </w:r>
      <w:r w:rsidR="001661C9">
        <w:t>red</w:t>
      </w:r>
      <w:r w:rsidR="000F3E6D">
        <w:t xml:space="preserve"> to the need for potential bidders to offer proposals which maximised income, controlled expenditure and transferred the commercial risk to contractor.</w:t>
      </w:r>
    </w:p>
    <w:p w14:paraId="534A7CC0" w14:textId="77777777" w:rsidR="000F3E6D" w:rsidRDefault="000F3E6D" w:rsidP="00864732"/>
    <w:p w14:paraId="3F4ED271" w14:textId="475536AF" w:rsidR="000F3E6D" w:rsidRDefault="000F3E6D" w:rsidP="00864732">
      <w:r>
        <w:t xml:space="preserve">The Director </w:t>
      </w:r>
      <w:r w:rsidR="001661C9">
        <w:t xml:space="preserve">of Corporate Services </w:t>
      </w:r>
      <w:r>
        <w:t xml:space="preserve">reminded members that none of the current members of the Council’s Corporate Leadership Team (CLT) were part of the CLT in 2012 hence the extract of the minutes which had </w:t>
      </w:r>
      <w:r w:rsidR="001661C9">
        <w:t xml:space="preserve">been </w:t>
      </w:r>
      <w:r>
        <w:t>provided for members. What was clear from those minutes was that one of the key issues had been</w:t>
      </w:r>
      <w:r w:rsidR="001661C9">
        <w:t xml:space="preserve"> to transfer </w:t>
      </w:r>
      <w:r>
        <w:t>as much risk as possible and that he stated related to income as well as utility consumption in a brand</w:t>
      </w:r>
      <w:r w:rsidR="00624CC4">
        <w:t xml:space="preserve"> </w:t>
      </w:r>
      <w:r>
        <w:t xml:space="preserve">new facility which had never been previously operated by anyone before. </w:t>
      </w:r>
    </w:p>
    <w:p w14:paraId="14ADCEAA" w14:textId="77777777" w:rsidR="00D25C92" w:rsidRDefault="00D25C92" w:rsidP="00864732"/>
    <w:p w14:paraId="66453764" w14:textId="7BE2CA49" w:rsidR="00D25C92" w:rsidRDefault="00D25C92" w:rsidP="00864732">
      <w:r>
        <w:t xml:space="preserve">Turning to </w:t>
      </w:r>
      <w:r w:rsidR="00624CC4">
        <w:t>p</w:t>
      </w:r>
      <w:r>
        <w:t xml:space="preserve">age </w:t>
      </w:r>
      <w:r w:rsidR="00240C28">
        <w:t>three</w:t>
      </w:r>
      <w:r>
        <w:t xml:space="preserve"> Councillor McCollum referred to the £1M difference </w:t>
      </w:r>
      <w:r w:rsidR="0040110E">
        <w:t xml:space="preserve">between the lowest management fee and in-house cost and sought clarification around whether or not that was the in-house comparator. </w:t>
      </w:r>
    </w:p>
    <w:p w14:paraId="6DA280B0" w14:textId="7F119C4B" w:rsidR="0040110E" w:rsidRDefault="0040110E" w:rsidP="00864732"/>
    <w:p w14:paraId="5CBD5D14" w14:textId="4C8045C7" w:rsidR="0040110E" w:rsidRDefault="0040110E" w:rsidP="00864732">
      <w:r>
        <w:t xml:space="preserve">The Director advised that at that time there would not have been any in-house cost </w:t>
      </w:r>
      <w:r w:rsidR="001661C9">
        <w:t xml:space="preserve">comparator </w:t>
      </w:r>
      <w:r>
        <w:t xml:space="preserve">because the facility was not functioning and therefore this was a comparison of the expected costs associated with an in-house delivery model.  </w:t>
      </w:r>
    </w:p>
    <w:p w14:paraId="4B9EF4A3" w14:textId="77777777" w:rsidR="0040110E" w:rsidRDefault="0040110E" w:rsidP="00864732"/>
    <w:p w14:paraId="34E5935B" w14:textId="5D936397" w:rsidR="0040110E" w:rsidRDefault="0040110E" w:rsidP="00864732">
      <w:r>
        <w:t xml:space="preserve">In response to a further query from Councillor McCollum around obtaining an in-house comparator, the Head of Finance advised that this was based upon the economic appraisal for the construction of the facility. It was assumed that would have been a significant document which would have gone through the Government Gateway process, </w:t>
      </w:r>
      <w:r w:rsidR="001661C9">
        <w:t xml:space="preserve">been </w:t>
      </w:r>
      <w:r>
        <w:t xml:space="preserve">assessed by DCAL and </w:t>
      </w:r>
      <w:r w:rsidR="001661C9">
        <w:t xml:space="preserve">subject to </w:t>
      </w:r>
      <w:r>
        <w:t>a full Treasury Green Book Appraisal</w:t>
      </w:r>
      <w:r w:rsidR="00A76DAA">
        <w:t xml:space="preserve">. </w:t>
      </w:r>
    </w:p>
    <w:p w14:paraId="7C38B9EC" w14:textId="19783552" w:rsidR="00A76DAA" w:rsidRDefault="00A76DAA" w:rsidP="00864732"/>
    <w:p w14:paraId="7266A66F" w14:textId="47EA1FCA" w:rsidR="00A76DAA" w:rsidRDefault="00A76DAA" w:rsidP="00864732">
      <w:r>
        <w:t xml:space="preserve">Councillor McCollum stated that it was nonetheless a very significant piece of information upon which a lot of assumptions had been made and a lot of decisions depended. </w:t>
      </w:r>
      <w:r w:rsidR="00F73D4D">
        <w:t xml:space="preserve">In relation to the value for money element which members had been so concerned about </w:t>
      </w:r>
      <w:r w:rsidR="001661C9">
        <w:t xml:space="preserve">previously </w:t>
      </w:r>
      <w:r w:rsidR="00F73D4D">
        <w:t>she asked if the in-house comparator had been what the value for money had been based upon.</w:t>
      </w:r>
    </w:p>
    <w:p w14:paraId="0B60E65D" w14:textId="77777777" w:rsidR="00F73D4D" w:rsidRDefault="00F73D4D" w:rsidP="00864732"/>
    <w:p w14:paraId="78E47F83" w14:textId="6A7F1E82" w:rsidR="00F73D4D" w:rsidRDefault="00F73D4D" w:rsidP="00864732">
      <w:r>
        <w:t>The Head of Finance confirmed that to be the case</w:t>
      </w:r>
      <w:r w:rsidR="00B7561B">
        <w:t xml:space="preserve">, as well as the other bids received.  </w:t>
      </w:r>
    </w:p>
    <w:p w14:paraId="11C3130F" w14:textId="77777777" w:rsidR="00F73D4D" w:rsidRDefault="00F73D4D" w:rsidP="00864732"/>
    <w:p w14:paraId="4DA3D4C9" w14:textId="51FD8BA5" w:rsidR="00F73D4D" w:rsidRDefault="00136A71" w:rsidP="00864732">
      <w:r>
        <w:t xml:space="preserve">Continuing Councillor McCollum referred to </w:t>
      </w:r>
      <w:r w:rsidR="00F3182E">
        <w:t>p</w:t>
      </w:r>
      <w:r>
        <w:t xml:space="preserve">age six of the report which detailed a review to be undertaken after two years which resulted in </w:t>
      </w:r>
      <w:r w:rsidR="00701D92">
        <w:t xml:space="preserve">a </w:t>
      </w:r>
      <w:r>
        <w:t>6% reduction in the gas target and a 25% reduction in the electricity target and sought further explanation from officers.</w:t>
      </w:r>
    </w:p>
    <w:p w14:paraId="3E3376A7" w14:textId="77777777" w:rsidR="00136A71" w:rsidRDefault="00136A71" w:rsidP="00864732"/>
    <w:p w14:paraId="7266B866" w14:textId="7BF08276" w:rsidR="00136A71" w:rsidRDefault="00FD65E6" w:rsidP="00864732">
      <w:r>
        <w:t xml:space="preserve">The Head of Finance reiterated that this had been a new facility at that time and targets had been set based upon the professional advice received. After two years of operation the contractor would have had the opportunity to get a feel for the building and </w:t>
      </w:r>
      <w:r w:rsidR="00D333EF">
        <w:t xml:space="preserve">how it </w:t>
      </w:r>
      <w:r w:rsidR="001661C9">
        <w:t>operated</w:t>
      </w:r>
      <w:r w:rsidR="00D333EF">
        <w:t xml:space="preserve"> enabling those targets to then be revised. When those revisions were made it resulted in the reductions quoted by the member. He added that it was also important to remember that those two utilities were linked due to high gas consumption resulting in low electricity consumption. As such that review was undertaken after two years of operation and the reduction would remain in place for the </w:t>
      </w:r>
      <w:r w:rsidR="00240C28">
        <w:t>remaining</w:t>
      </w:r>
      <w:r w:rsidR="00D333EF">
        <w:t xml:space="preserve"> eight years. </w:t>
      </w:r>
    </w:p>
    <w:p w14:paraId="6AA45DF0" w14:textId="77777777" w:rsidR="00D333EF" w:rsidRDefault="00D333EF" w:rsidP="00864732"/>
    <w:p w14:paraId="6CEC9603" w14:textId="77777777" w:rsidR="00BD0A4B" w:rsidRDefault="00BD0A4B" w:rsidP="00864732">
      <w:r>
        <w:t>Councillor McKee referred to the proposed management response and the line which stated that:</w:t>
      </w:r>
    </w:p>
    <w:p w14:paraId="07AC6616" w14:textId="77777777" w:rsidR="00BD0A4B" w:rsidRDefault="00BD0A4B" w:rsidP="00864732"/>
    <w:p w14:paraId="34DA8424" w14:textId="1E2314E8" w:rsidR="00BD0A4B" w:rsidRDefault="00BD0A4B" w:rsidP="00BD0A4B">
      <w:pPr>
        <w:rPr>
          <w:rFonts w:cs="Arial"/>
        </w:rPr>
      </w:pPr>
      <w:r>
        <w:t>“</w:t>
      </w:r>
      <w:r w:rsidRPr="00F00945">
        <w:rPr>
          <w:rFonts w:cs="Arial"/>
        </w:rPr>
        <w:t>It is our understanding that the energy consumption element of the contract is a reasonably standard clause adopted by leisure services operators across the industry</w:t>
      </w:r>
      <w:r>
        <w:rPr>
          <w:rFonts w:cs="Arial"/>
        </w:rPr>
        <w:t xml:space="preserve"> for this type of facility</w:t>
      </w:r>
      <w:r w:rsidRPr="00F00945">
        <w:rPr>
          <w:rFonts w:cs="Arial"/>
        </w:rPr>
        <w:t>.</w:t>
      </w:r>
      <w:r>
        <w:rPr>
          <w:rFonts w:cs="Arial"/>
        </w:rPr>
        <w:t>”</w:t>
      </w:r>
    </w:p>
    <w:p w14:paraId="01AB0A9E" w14:textId="77777777" w:rsidR="00BD0A4B" w:rsidRDefault="00BD0A4B" w:rsidP="00BD0A4B">
      <w:pPr>
        <w:rPr>
          <w:rFonts w:cs="Arial"/>
        </w:rPr>
      </w:pPr>
    </w:p>
    <w:p w14:paraId="682CEA3D" w14:textId="6345E2AB" w:rsidR="00BD0A4B" w:rsidRDefault="00BD0A4B" w:rsidP="00BD0A4B">
      <w:pPr>
        <w:rPr>
          <w:rFonts w:cs="Arial"/>
        </w:rPr>
      </w:pPr>
      <w:r>
        <w:rPr>
          <w:rFonts w:cs="Arial"/>
        </w:rPr>
        <w:t>He asked if officers could provide any evidence or steer on this conclusion.</w:t>
      </w:r>
    </w:p>
    <w:p w14:paraId="592A0FE3" w14:textId="77777777" w:rsidR="00BD0A4B" w:rsidRDefault="00BD0A4B" w:rsidP="00BD0A4B">
      <w:pPr>
        <w:rPr>
          <w:rFonts w:cs="Arial"/>
        </w:rPr>
      </w:pPr>
    </w:p>
    <w:p w14:paraId="078CF4AD" w14:textId="109FC673" w:rsidR="001409C1" w:rsidRDefault="00BD0A4B" w:rsidP="00BD0A4B">
      <w:pPr>
        <w:rPr>
          <w:rFonts w:cs="Arial"/>
        </w:rPr>
      </w:pPr>
      <w:r>
        <w:rPr>
          <w:rFonts w:cs="Arial"/>
        </w:rPr>
        <w:t xml:space="preserve">The Head of Finance reiterated that this was a new facility at the time </w:t>
      </w:r>
      <w:r w:rsidR="001409C1">
        <w:rPr>
          <w:rFonts w:cs="Arial"/>
        </w:rPr>
        <w:t xml:space="preserve">and therefore in terms of benchmarking because there were so few facilities of a similar nature it would have </w:t>
      </w:r>
      <w:r w:rsidR="001661C9">
        <w:rPr>
          <w:rFonts w:cs="Arial"/>
        </w:rPr>
        <w:t xml:space="preserve">been </w:t>
      </w:r>
      <w:r w:rsidR="001409C1">
        <w:rPr>
          <w:rFonts w:cs="Arial"/>
        </w:rPr>
        <w:t>difficult to carry that out. As such each facility was unique and the approach of setting targets was not unusual across the country</w:t>
      </w:r>
      <w:r w:rsidR="001661C9">
        <w:rPr>
          <w:rFonts w:cs="Arial"/>
        </w:rPr>
        <w:t>. H</w:t>
      </w:r>
      <w:r w:rsidR="001409C1">
        <w:rPr>
          <w:rFonts w:cs="Arial"/>
        </w:rPr>
        <w:t>e added that they were</w:t>
      </w:r>
      <w:r w:rsidR="001661C9">
        <w:rPr>
          <w:rFonts w:cs="Arial"/>
        </w:rPr>
        <w:t xml:space="preserve"> not </w:t>
      </w:r>
      <w:r w:rsidR="001409C1">
        <w:rPr>
          <w:rFonts w:cs="Arial"/>
        </w:rPr>
        <w:t>aware of specific facilities but confirmed that advice had been taken which suggested that this was not uncommon.</w:t>
      </w:r>
    </w:p>
    <w:p w14:paraId="5370299C" w14:textId="77777777" w:rsidR="001409C1" w:rsidRDefault="001409C1" w:rsidP="00BD0A4B">
      <w:pPr>
        <w:rPr>
          <w:rFonts w:cs="Arial"/>
        </w:rPr>
      </w:pPr>
    </w:p>
    <w:p w14:paraId="43039630" w14:textId="0FA64A97" w:rsidR="001409C1" w:rsidRDefault="001409C1" w:rsidP="00BD0A4B">
      <w:pPr>
        <w:rPr>
          <w:rFonts w:cs="Arial"/>
        </w:rPr>
      </w:pPr>
      <w:r>
        <w:rPr>
          <w:rFonts w:cs="Arial"/>
        </w:rPr>
        <w:t>Councillor McKee referred to comment within the report which asked if the utility measures should have been based on actuals rather than targets. He added that he was mindful the NIAO had taken a very different view</w:t>
      </w:r>
      <w:r w:rsidR="001661C9">
        <w:rPr>
          <w:rFonts w:cs="Arial"/>
        </w:rPr>
        <w:t>point</w:t>
      </w:r>
      <w:r>
        <w:rPr>
          <w:rFonts w:cs="Arial"/>
        </w:rPr>
        <w:t xml:space="preserve"> and he asked what benefit there was to the ratepayer</w:t>
      </w:r>
      <w:r w:rsidR="001661C9">
        <w:rPr>
          <w:rFonts w:cs="Arial"/>
        </w:rPr>
        <w:t xml:space="preserve"> through</w:t>
      </w:r>
      <w:r>
        <w:rPr>
          <w:rFonts w:cs="Arial"/>
        </w:rPr>
        <w:t xml:space="preserve"> reduced consumption of electricity.</w:t>
      </w:r>
    </w:p>
    <w:p w14:paraId="3590A441" w14:textId="77777777" w:rsidR="001409C1" w:rsidRDefault="001409C1" w:rsidP="00BD0A4B">
      <w:pPr>
        <w:rPr>
          <w:rFonts w:cs="Arial"/>
        </w:rPr>
      </w:pPr>
    </w:p>
    <w:p w14:paraId="7CEC7AA4" w14:textId="545949F9" w:rsidR="001409C1" w:rsidRDefault="001409C1" w:rsidP="00BD0A4B">
      <w:pPr>
        <w:rPr>
          <w:rFonts w:cs="Arial"/>
        </w:rPr>
      </w:pPr>
      <w:r>
        <w:rPr>
          <w:rFonts w:cs="Arial"/>
        </w:rPr>
        <w:t xml:space="preserve">In response the Head of Finance </w:t>
      </w:r>
      <w:r w:rsidR="001661C9">
        <w:rPr>
          <w:rFonts w:cs="Arial"/>
        </w:rPr>
        <w:t>advised</w:t>
      </w:r>
      <w:r>
        <w:rPr>
          <w:rFonts w:cs="Arial"/>
        </w:rPr>
        <w:t xml:space="preserve"> that would result in a lower management fee. He added that the objective of the contract was to transfer commercial risk which involved maximising income and </w:t>
      </w:r>
      <w:r w:rsidR="00C4093C">
        <w:rPr>
          <w:rFonts w:cs="Arial"/>
        </w:rPr>
        <w:t xml:space="preserve">controlling costs. </w:t>
      </w:r>
    </w:p>
    <w:p w14:paraId="1B945275" w14:textId="77777777" w:rsidR="00C4093C" w:rsidRDefault="00C4093C" w:rsidP="00BD0A4B">
      <w:pPr>
        <w:rPr>
          <w:rFonts w:cs="Arial"/>
        </w:rPr>
      </w:pPr>
    </w:p>
    <w:p w14:paraId="487839A6" w14:textId="1D5D9A66" w:rsidR="00C4093C" w:rsidRDefault="00C4093C" w:rsidP="00BD0A4B">
      <w:pPr>
        <w:rPr>
          <w:rFonts w:cs="Arial"/>
        </w:rPr>
      </w:pPr>
      <w:r>
        <w:rPr>
          <w:rFonts w:cs="Arial"/>
        </w:rPr>
        <w:t>Continuing Councillor McKee</w:t>
      </w:r>
      <w:r w:rsidR="00A32CFD">
        <w:rPr>
          <w:rFonts w:cs="Arial"/>
        </w:rPr>
        <w:t xml:space="preserve"> welcomed the information provided in the report adding that one thing that had occurred to him which had not been mentioned in the report</w:t>
      </w:r>
      <w:r w:rsidR="001661C9">
        <w:rPr>
          <w:rFonts w:cs="Arial"/>
        </w:rPr>
        <w:t xml:space="preserve"> </w:t>
      </w:r>
      <w:r w:rsidR="00A32CFD">
        <w:rPr>
          <w:rFonts w:cs="Arial"/>
        </w:rPr>
        <w:t xml:space="preserve">was the Covid 19 pandemic during 2021/2022. During that period there would have been an energy payment made at the same time a large piece of funding had been received from DfC and paid to the operator as Covid relief. He therefore had some concerns that the Council had not been fully informed of all the money which had </w:t>
      </w:r>
      <w:r w:rsidR="00A32CFD">
        <w:rPr>
          <w:rFonts w:cs="Arial"/>
        </w:rPr>
        <w:lastRenderedPageBreak/>
        <w:t>been assigned to the operator</w:t>
      </w:r>
      <w:r w:rsidR="00585914">
        <w:rPr>
          <w:rFonts w:cs="Arial"/>
        </w:rPr>
        <w:t>.</w:t>
      </w:r>
      <w:r w:rsidR="00A32CFD">
        <w:rPr>
          <w:rFonts w:cs="Arial"/>
        </w:rPr>
        <w:t xml:space="preserve"> A</w:t>
      </w:r>
      <w:r w:rsidR="00585914">
        <w:rPr>
          <w:rFonts w:cs="Arial"/>
        </w:rPr>
        <w:t>s</w:t>
      </w:r>
      <w:r w:rsidR="00A32CFD">
        <w:rPr>
          <w:rFonts w:cs="Arial"/>
        </w:rPr>
        <w:t xml:space="preserve"> such he </w:t>
      </w:r>
      <w:r w:rsidR="001661C9">
        <w:rPr>
          <w:rFonts w:cs="Arial"/>
        </w:rPr>
        <w:t>w</w:t>
      </w:r>
      <w:r w:rsidR="00A32CFD">
        <w:rPr>
          <w:rFonts w:cs="Arial"/>
        </w:rPr>
        <w:t>as keen to get some more information around that</w:t>
      </w:r>
      <w:r w:rsidR="00585914">
        <w:rPr>
          <w:rFonts w:cs="Arial"/>
        </w:rPr>
        <w:t xml:space="preserve"> particularly as it could be the case that the operator had profited twice. </w:t>
      </w:r>
    </w:p>
    <w:p w14:paraId="2C9CF5E4" w14:textId="77777777" w:rsidR="00585914" w:rsidRDefault="00585914" w:rsidP="00BD0A4B">
      <w:pPr>
        <w:rPr>
          <w:rFonts w:cs="Arial"/>
        </w:rPr>
      </w:pPr>
    </w:p>
    <w:p w14:paraId="26E51A55" w14:textId="42DF0248" w:rsidR="00585914" w:rsidRDefault="003A4FC6" w:rsidP="00BD0A4B">
      <w:pPr>
        <w:rPr>
          <w:rFonts w:cs="Arial"/>
        </w:rPr>
      </w:pPr>
      <w:r>
        <w:rPr>
          <w:rFonts w:cs="Arial"/>
        </w:rPr>
        <w:t>The Head of Finance commented that detail had not been included as it would only have added further complication to the report. However</w:t>
      </w:r>
      <w:r w:rsidR="00F3182E">
        <w:rPr>
          <w:rFonts w:cs="Arial"/>
        </w:rPr>
        <w:t>,</w:t>
      </w:r>
      <w:r>
        <w:rPr>
          <w:rFonts w:cs="Arial"/>
        </w:rPr>
        <w:t xml:space="preserve"> he proceeded to confirm that the operator did get support from </w:t>
      </w:r>
      <w:r w:rsidR="00F3182E">
        <w:rPr>
          <w:rFonts w:cs="Arial"/>
        </w:rPr>
        <w:t xml:space="preserve">the </w:t>
      </w:r>
      <w:r>
        <w:rPr>
          <w:rFonts w:cs="Arial"/>
        </w:rPr>
        <w:t xml:space="preserve">Council through the Covid support mechanisms as well as an energy payment as based </w:t>
      </w:r>
      <w:r w:rsidR="00E24FB8">
        <w:rPr>
          <w:rFonts w:cs="Arial"/>
        </w:rPr>
        <w:t>within</w:t>
      </w:r>
      <w:r>
        <w:rPr>
          <w:rFonts w:cs="Arial"/>
        </w:rPr>
        <w:t xml:space="preserve"> the contract.</w:t>
      </w:r>
      <w:r w:rsidR="00904871">
        <w:rPr>
          <w:rFonts w:cs="Arial"/>
        </w:rPr>
        <w:t xml:space="preserve"> He advised that mitigation factors had been taken into account by the contractor to minimise the burden </w:t>
      </w:r>
      <w:r w:rsidR="001661C9">
        <w:rPr>
          <w:rFonts w:cs="Arial"/>
        </w:rPr>
        <w:t xml:space="preserve">placed </w:t>
      </w:r>
      <w:r w:rsidR="00904871">
        <w:rPr>
          <w:rFonts w:cs="Arial"/>
        </w:rPr>
        <w:t>upon the public purse. Internal Auditors were also employed to carry out due diligence work on two of the four claims which had been submitted and that had resulted in some minor changes to the support</w:t>
      </w:r>
      <w:r w:rsidR="001661C9">
        <w:rPr>
          <w:rFonts w:cs="Arial"/>
        </w:rPr>
        <w:t xml:space="preserve"> provided</w:t>
      </w:r>
      <w:r w:rsidR="00904871">
        <w:rPr>
          <w:rFonts w:cs="Arial"/>
        </w:rPr>
        <w:t>.  He stated that in his view that merely illustrated that if the contractor had not received the energy payment those would have been additional costs which they would have claimed through the Covid mechanism.</w:t>
      </w:r>
      <w:r w:rsidR="00323E8E">
        <w:rPr>
          <w:rFonts w:cs="Arial"/>
        </w:rPr>
        <w:t xml:space="preserve"> </w:t>
      </w:r>
    </w:p>
    <w:p w14:paraId="6D8018E9" w14:textId="77777777" w:rsidR="002D6DB9" w:rsidRDefault="002D6DB9" w:rsidP="00BD0A4B">
      <w:pPr>
        <w:rPr>
          <w:rFonts w:cs="Arial"/>
        </w:rPr>
      </w:pPr>
    </w:p>
    <w:p w14:paraId="0C14EB27" w14:textId="13D7DA5B" w:rsidR="002D6DB9" w:rsidRDefault="002D6DB9" w:rsidP="00BD0A4B">
      <w:pPr>
        <w:rPr>
          <w:rFonts w:cs="Arial"/>
        </w:rPr>
      </w:pPr>
      <w:r>
        <w:rPr>
          <w:rFonts w:cs="Arial"/>
        </w:rPr>
        <w:t>At this stage Councillor Wray</w:t>
      </w:r>
      <w:r w:rsidR="004B30A2">
        <w:rPr>
          <w:rFonts w:cs="Arial"/>
        </w:rPr>
        <w:t xml:space="preserve"> referred to </w:t>
      </w:r>
      <w:r w:rsidR="00F3182E">
        <w:rPr>
          <w:rFonts w:cs="Arial"/>
        </w:rPr>
        <w:t>p</w:t>
      </w:r>
      <w:r w:rsidR="004B30A2">
        <w:rPr>
          <w:rFonts w:cs="Arial"/>
        </w:rPr>
        <w:t xml:space="preserve">age </w:t>
      </w:r>
      <w:r w:rsidR="00240C28">
        <w:rPr>
          <w:rFonts w:cs="Arial"/>
        </w:rPr>
        <w:t>four</w:t>
      </w:r>
      <w:r w:rsidR="004B30A2">
        <w:rPr>
          <w:rFonts w:cs="Arial"/>
        </w:rPr>
        <w:t xml:space="preserve"> of the report and the analysis of the 2012 decision where it state</w:t>
      </w:r>
      <w:r w:rsidR="00E24FB8">
        <w:rPr>
          <w:rFonts w:cs="Arial"/>
        </w:rPr>
        <w:t>d</w:t>
      </w:r>
      <w:r w:rsidR="004B30A2">
        <w:rPr>
          <w:rFonts w:cs="Arial"/>
        </w:rPr>
        <w:t xml:space="preserve"> that </w:t>
      </w:r>
      <w:r w:rsidR="00F3182E">
        <w:rPr>
          <w:rFonts w:cs="Arial"/>
        </w:rPr>
        <w:t xml:space="preserve">the </w:t>
      </w:r>
      <w:r w:rsidR="004B30A2">
        <w:rPr>
          <w:rFonts w:cs="Arial"/>
        </w:rPr>
        <w:t>Council had certainty over energy consumption level</w:t>
      </w:r>
      <w:r w:rsidR="00E24FB8">
        <w:rPr>
          <w:rFonts w:cs="Arial"/>
        </w:rPr>
        <w:t>s, indicating that he would</w:t>
      </w:r>
      <w:r w:rsidR="004B30A2">
        <w:rPr>
          <w:rFonts w:cs="Arial"/>
        </w:rPr>
        <w:t xml:space="preserve"> struggle with the element around the certainty. He believed in that situation the Council would not have had certainty no matter what because those costs were unknown. </w:t>
      </w:r>
      <w:r w:rsidR="00E24FB8">
        <w:rPr>
          <w:rFonts w:cs="Arial"/>
        </w:rPr>
        <w:t>O</w:t>
      </w:r>
      <w:r w:rsidR="004B30A2">
        <w:rPr>
          <w:rFonts w:cs="Arial"/>
        </w:rPr>
        <w:t xml:space="preserve">n reading over the minutes </w:t>
      </w:r>
      <w:r w:rsidR="00E24FB8">
        <w:rPr>
          <w:rFonts w:cs="Arial"/>
        </w:rPr>
        <w:t xml:space="preserve">of the September Audit Committee meeting </w:t>
      </w:r>
      <w:r w:rsidR="004B30A2">
        <w:rPr>
          <w:rFonts w:cs="Arial"/>
        </w:rPr>
        <w:t xml:space="preserve">he felt that he had not got direct comment to his question around the time of the drafting of the contract he had asked if </w:t>
      </w:r>
      <w:r w:rsidR="00F3182E">
        <w:rPr>
          <w:rFonts w:cs="Arial"/>
        </w:rPr>
        <w:t xml:space="preserve">the </w:t>
      </w:r>
      <w:r w:rsidR="004B30A2">
        <w:rPr>
          <w:rFonts w:cs="Arial"/>
        </w:rPr>
        <w:t>Council was of the opinion that £600,000 would likely be paid to the winning bidder</w:t>
      </w:r>
      <w:r w:rsidR="00342D90">
        <w:rPr>
          <w:rFonts w:cs="Arial"/>
        </w:rPr>
        <w:t xml:space="preserve"> through the energy cost arrangement.  Continuing he also asked that in terms of the winning bidder</w:t>
      </w:r>
      <w:r w:rsidR="00E24FB8">
        <w:rPr>
          <w:rFonts w:cs="Arial"/>
        </w:rPr>
        <w:t>,</w:t>
      </w:r>
      <w:r w:rsidR="00342D90">
        <w:rPr>
          <w:rFonts w:cs="Arial"/>
        </w:rPr>
        <w:t xml:space="preserve"> did all of the bidders believe that if they had written the contract in that way that they would have got £600,000.</w:t>
      </w:r>
    </w:p>
    <w:p w14:paraId="1C82035D" w14:textId="77777777" w:rsidR="00342D90" w:rsidRDefault="00342D90" w:rsidP="00BD0A4B">
      <w:pPr>
        <w:rPr>
          <w:rFonts w:cs="Arial"/>
        </w:rPr>
      </w:pPr>
    </w:p>
    <w:p w14:paraId="03D6E74A" w14:textId="0F24B946" w:rsidR="00342D90" w:rsidRDefault="005B21B0" w:rsidP="00BD0A4B">
      <w:pPr>
        <w:rPr>
          <w:rFonts w:cs="Arial"/>
        </w:rPr>
      </w:pPr>
      <w:r>
        <w:rPr>
          <w:rFonts w:cs="Arial"/>
        </w:rPr>
        <w:t>In response the Head of Finance stated that the contract had been written on the assumption that there would be no price rises. As such there would have been no perceived benefit to the contractor. In terms of certainty</w:t>
      </w:r>
      <w:r w:rsidR="00F3182E">
        <w:rPr>
          <w:rFonts w:cs="Arial"/>
        </w:rPr>
        <w:t>,</w:t>
      </w:r>
      <w:r>
        <w:rPr>
          <w:rFonts w:cs="Arial"/>
        </w:rPr>
        <w:t xml:space="preserve"> he confirmed that </w:t>
      </w:r>
      <w:r w:rsidR="00F3182E">
        <w:rPr>
          <w:rFonts w:cs="Arial"/>
        </w:rPr>
        <w:t xml:space="preserve">the </w:t>
      </w:r>
      <w:r>
        <w:rPr>
          <w:rFonts w:cs="Arial"/>
        </w:rPr>
        <w:t xml:space="preserve">Council had obtained certainty in that it was aware that it would not pay utilities in excess of the thresholds </w:t>
      </w:r>
      <w:r w:rsidR="00FA47AC">
        <w:rPr>
          <w:rFonts w:cs="Arial"/>
        </w:rPr>
        <w:t>with</w:t>
      </w:r>
      <w:r>
        <w:rPr>
          <w:rFonts w:cs="Arial"/>
        </w:rPr>
        <w:t xml:space="preserve">in the contract. </w:t>
      </w:r>
      <w:r w:rsidR="00F3182E">
        <w:rPr>
          <w:rFonts w:cs="Arial"/>
        </w:rPr>
        <w:t xml:space="preserve"> </w:t>
      </w:r>
      <w:r w:rsidR="007C09D6">
        <w:rPr>
          <w:rFonts w:cs="Arial"/>
        </w:rPr>
        <w:t xml:space="preserve">Continuing he stated </w:t>
      </w:r>
      <w:r w:rsidR="00B7561B">
        <w:rPr>
          <w:rFonts w:cs="Arial"/>
        </w:rPr>
        <w:t xml:space="preserve">the management fee and utilities </w:t>
      </w:r>
      <w:r w:rsidR="007C09D6">
        <w:rPr>
          <w:rFonts w:cs="Arial"/>
        </w:rPr>
        <w:t>calculations were linked. He added that it also needed to be understood that the Trust was contributing £2.5m throughout the life of the contract to the cost of utilities and as such the £600,000 could not be considered a benefit</w:t>
      </w:r>
      <w:r w:rsidR="00B7561B">
        <w:rPr>
          <w:rFonts w:cs="Arial"/>
        </w:rPr>
        <w:t xml:space="preserve"> in isolation</w:t>
      </w:r>
      <w:r w:rsidR="007C09D6">
        <w:rPr>
          <w:rFonts w:cs="Arial"/>
        </w:rPr>
        <w:t xml:space="preserve">. He added that </w:t>
      </w:r>
      <w:r w:rsidR="00094796">
        <w:rPr>
          <w:rFonts w:cs="Arial"/>
        </w:rPr>
        <w:t xml:space="preserve">it </w:t>
      </w:r>
      <w:r w:rsidR="007C09D6">
        <w:rPr>
          <w:rFonts w:cs="Arial"/>
        </w:rPr>
        <w:t xml:space="preserve">was management’s view that the </w:t>
      </w:r>
      <w:r w:rsidR="00B7561B">
        <w:rPr>
          <w:rFonts w:cs="Arial"/>
        </w:rPr>
        <w:t xml:space="preserve">recommendation therefore </w:t>
      </w:r>
      <w:r w:rsidR="007C09D6">
        <w:rPr>
          <w:rFonts w:cs="Arial"/>
        </w:rPr>
        <w:t>misrepresent</w:t>
      </w:r>
      <w:r w:rsidR="00094796">
        <w:rPr>
          <w:rFonts w:cs="Arial"/>
        </w:rPr>
        <w:t>ed</w:t>
      </w:r>
      <w:r w:rsidR="007C09D6">
        <w:rPr>
          <w:rFonts w:cs="Arial"/>
        </w:rPr>
        <w:t xml:space="preserve"> the commercial deal which Council had obtained</w:t>
      </w:r>
      <w:r w:rsidR="00094796">
        <w:rPr>
          <w:rFonts w:cs="Arial"/>
        </w:rPr>
        <w:t xml:space="preserve"> at that time.</w:t>
      </w:r>
    </w:p>
    <w:p w14:paraId="42489333" w14:textId="77777777" w:rsidR="00C867D1" w:rsidRDefault="00C867D1" w:rsidP="00BD0A4B">
      <w:pPr>
        <w:rPr>
          <w:rFonts w:cs="Arial"/>
        </w:rPr>
      </w:pPr>
    </w:p>
    <w:p w14:paraId="4CB47250" w14:textId="55F69F62" w:rsidR="005618D9" w:rsidRDefault="005618D9" w:rsidP="00BD0A4B">
      <w:pPr>
        <w:rPr>
          <w:rFonts w:cs="Arial"/>
        </w:rPr>
      </w:pPr>
      <w:r>
        <w:rPr>
          <w:rFonts w:cs="Arial"/>
        </w:rPr>
        <w:t>In response to a further query from Councillor Wray around energy costs</w:t>
      </w:r>
      <w:r w:rsidR="00240C28">
        <w:rPr>
          <w:rFonts w:cs="Arial"/>
        </w:rPr>
        <w:t>,</w:t>
      </w:r>
      <w:r>
        <w:rPr>
          <w:rFonts w:cs="Arial"/>
        </w:rPr>
        <w:t xml:space="preserve"> how the Council was now paying that and if it was an actual cost</w:t>
      </w:r>
      <w:r w:rsidR="00094796">
        <w:rPr>
          <w:rFonts w:cs="Arial"/>
        </w:rPr>
        <w:t>, t</w:t>
      </w:r>
      <w:r>
        <w:rPr>
          <w:rFonts w:cs="Arial"/>
        </w:rPr>
        <w:t xml:space="preserve">he Head of Finance stated that the Auditor had made an assumption that the rest of the management fee would not have changed and therefore they had stated that this was an additional cost. Management’s contention was that if this benefit had not been received the management fee would have changed.  Section 2.3 of the report advised why the contract varied as the result of a number of things which </w:t>
      </w:r>
      <w:r w:rsidR="00094796">
        <w:rPr>
          <w:rFonts w:cs="Arial"/>
        </w:rPr>
        <w:t xml:space="preserve">had </w:t>
      </w:r>
      <w:r>
        <w:rPr>
          <w:rFonts w:cs="Arial"/>
        </w:rPr>
        <w:t xml:space="preserve">happened over the course of ten years. Following reorganisation the Council </w:t>
      </w:r>
      <w:r w:rsidR="00094796">
        <w:rPr>
          <w:rFonts w:cs="Arial"/>
        </w:rPr>
        <w:t xml:space="preserve">had </w:t>
      </w:r>
      <w:r>
        <w:rPr>
          <w:rFonts w:cs="Arial"/>
        </w:rPr>
        <w:t xml:space="preserve">joined with other Councils to form a tendering process to collaborate on energy provision and as such it </w:t>
      </w:r>
      <w:r w:rsidR="00094796">
        <w:rPr>
          <w:rFonts w:cs="Arial"/>
        </w:rPr>
        <w:t xml:space="preserve">had </w:t>
      </w:r>
      <w:r w:rsidR="00FA47AC">
        <w:rPr>
          <w:rFonts w:cs="Arial"/>
        </w:rPr>
        <w:t>become</w:t>
      </w:r>
      <w:r>
        <w:rPr>
          <w:rFonts w:cs="Arial"/>
        </w:rPr>
        <w:t xml:space="preserve"> the case that Council could procure utilities at more competitive rates than the operator. Continuing he also referred to the hike in utility costs during Covid</w:t>
      </w:r>
      <w:r w:rsidR="00F3182E">
        <w:rPr>
          <w:rFonts w:cs="Arial"/>
        </w:rPr>
        <w:t xml:space="preserve"> </w:t>
      </w:r>
      <w:r>
        <w:rPr>
          <w:rFonts w:cs="Arial"/>
        </w:rPr>
        <w:lastRenderedPageBreak/>
        <w:t>19 and as the contractor was a partially exempt VAT operator, they were unable to recover all the VAT which they paid out. The hike in utility prices had a detrimental effect on the contractors VAT position</w:t>
      </w:r>
      <w:r w:rsidR="00094796">
        <w:rPr>
          <w:rFonts w:cs="Arial"/>
        </w:rPr>
        <w:t>. T</w:t>
      </w:r>
      <w:r>
        <w:rPr>
          <w:rFonts w:cs="Arial"/>
        </w:rPr>
        <w:t xml:space="preserve">herefore it was in the Council’s interest to pay a lower price </w:t>
      </w:r>
      <w:r w:rsidR="00B7561B">
        <w:rPr>
          <w:rFonts w:cs="Arial"/>
        </w:rPr>
        <w:t>and</w:t>
      </w:r>
      <w:r>
        <w:rPr>
          <w:rFonts w:cs="Arial"/>
        </w:rPr>
        <w:t xml:space="preserve"> it was in the</w:t>
      </w:r>
      <w:r w:rsidR="00094796">
        <w:rPr>
          <w:rFonts w:cs="Arial"/>
        </w:rPr>
        <w:t xml:space="preserve"> contractor’s </w:t>
      </w:r>
      <w:r>
        <w:rPr>
          <w:rFonts w:cs="Arial"/>
        </w:rPr>
        <w:t xml:space="preserve"> interest to vary the contract to mitigate </w:t>
      </w:r>
      <w:r w:rsidR="00B7561B">
        <w:rPr>
          <w:rFonts w:cs="Arial"/>
        </w:rPr>
        <w:t xml:space="preserve">the </w:t>
      </w:r>
      <w:r>
        <w:rPr>
          <w:rFonts w:cs="Arial"/>
        </w:rPr>
        <w:t>issues around VAT liabilities, hence the contract variation which was put into place.</w:t>
      </w:r>
    </w:p>
    <w:p w14:paraId="0A39C214" w14:textId="77777777" w:rsidR="003722F2" w:rsidRDefault="003722F2" w:rsidP="00BD0A4B">
      <w:pPr>
        <w:rPr>
          <w:rFonts w:cs="Arial"/>
        </w:rPr>
      </w:pPr>
    </w:p>
    <w:p w14:paraId="2BD3FE1B" w14:textId="306F5439" w:rsidR="003722F2" w:rsidRDefault="003722F2" w:rsidP="00BD0A4B">
      <w:pPr>
        <w:rPr>
          <w:rFonts w:cs="Arial"/>
        </w:rPr>
      </w:pPr>
      <w:r>
        <w:rPr>
          <w:rFonts w:cs="Arial"/>
        </w:rPr>
        <w:t xml:space="preserve">Councillor Wray commented that as it currently stood there remained a maximum amount and </w:t>
      </w:r>
      <w:r w:rsidR="00094796">
        <w:rPr>
          <w:rFonts w:cs="Arial"/>
        </w:rPr>
        <w:t xml:space="preserve">asked </w:t>
      </w:r>
      <w:r>
        <w:rPr>
          <w:rFonts w:cs="Arial"/>
        </w:rPr>
        <w:t>if the contractor did not meet</w:t>
      </w:r>
      <w:r w:rsidR="00094796">
        <w:rPr>
          <w:rFonts w:cs="Arial"/>
        </w:rPr>
        <w:t xml:space="preserve"> that</w:t>
      </w:r>
      <w:r>
        <w:rPr>
          <w:rFonts w:cs="Arial"/>
        </w:rPr>
        <w:t xml:space="preserve"> </w:t>
      </w:r>
      <w:r w:rsidR="00094796">
        <w:rPr>
          <w:rFonts w:cs="Arial"/>
        </w:rPr>
        <w:t>would</w:t>
      </w:r>
      <w:r>
        <w:rPr>
          <w:rFonts w:cs="Arial"/>
        </w:rPr>
        <w:t xml:space="preserve"> the Council still pay that back.</w:t>
      </w:r>
    </w:p>
    <w:p w14:paraId="3A186956" w14:textId="77777777" w:rsidR="003722F2" w:rsidRDefault="003722F2" w:rsidP="00BD0A4B">
      <w:pPr>
        <w:rPr>
          <w:rFonts w:cs="Arial"/>
        </w:rPr>
      </w:pPr>
    </w:p>
    <w:p w14:paraId="3DCB40F3" w14:textId="5F797B20" w:rsidR="003722F2" w:rsidRDefault="003722F2" w:rsidP="00BD0A4B">
      <w:pPr>
        <w:rPr>
          <w:rFonts w:cs="Arial"/>
        </w:rPr>
      </w:pPr>
      <w:r>
        <w:rPr>
          <w:rFonts w:cs="Arial"/>
        </w:rPr>
        <w:t xml:space="preserve">In response the Head of Finance </w:t>
      </w:r>
      <w:r w:rsidR="007C2296">
        <w:rPr>
          <w:rFonts w:cs="Arial"/>
        </w:rPr>
        <w:t xml:space="preserve">confirmed there </w:t>
      </w:r>
      <w:r w:rsidR="00094796">
        <w:rPr>
          <w:rFonts w:cs="Arial"/>
        </w:rPr>
        <w:t xml:space="preserve">were </w:t>
      </w:r>
      <w:r w:rsidR="007C2296">
        <w:rPr>
          <w:rFonts w:cs="Arial"/>
        </w:rPr>
        <w:t xml:space="preserve">still consumption targets in place however it was the Council which paid the bills and as part of the arrangements the contractor fixed their contribution to utilities and therefore the contract fee would go in the favour of the Council. He added that the Council was monitoring consumption to ensure the targets were not exceeded. While there remained a control mechanism in place the difference now was that there was a history of how the building could be operated </w:t>
      </w:r>
      <w:r w:rsidR="00094796">
        <w:rPr>
          <w:rFonts w:cs="Arial"/>
        </w:rPr>
        <w:t xml:space="preserve">enabling </w:t>
      </w:r>
      <w:r w:rsidR="007C2296">
        <w:rPr>
          <w:rFonts w:cs="Arial"/>
        </w:rPr>
        <w:t xml:space="preserve">more appropriate energy targets may be set. </w:t>
      </w:r>
    </w:p>
    <w:p w14:paraId="54889061" w14:textId="77777777" w:rsidR="002A1E3F" w:rsidRDefault="002A1E3F" w:rsidP="00BD0A4B">
      <w:pPr>
        <w:rPr>
          <w:rFonts w:cs="Arial"/>
        </w:rPr>
      </w:pPr>
    </w:p>
    <w:p w14:paraId="26496E6D" w14:textId="2008D07C" w:rsidR="002A1E3F" w:rsidRDefault="002A1E3F" w:rsidP="00BD0A4B">
      <w:pPr>
        <w:rPr>
          <w:rFonts w:cs="Arial"/>
        </w:rPr>
      </w:pPr>
      <w:r>
        <w:rPr>
          <w:rFonts w:cs="Arial"/>
        </w:rPr>
        <w:t xml:space="preserve">At this stage Alderman Armstrong-Cotter acknowledged the difficulties around auditing something which had not previously been done. </w:t>
      </w:r>
      <w:r w:rsidR="00F06FEF">
        <w:rPr>
          <w:rFonts w:cs="Arial"/>
        </w:rPr>
        <w:t xml:space="preserve"> She referred to the NIAO opinion which was that this was something which should have been done differentl</w:t>
      </w:r>
      <w:r w:rsidR="00DD2D17">
        <w:rPr>
          <w:rFonts w:cs="Arial"/>
        </w:rPr>
        <w:t xml:space="preserve">y adding that it was difficult for a defence to be issued to something which had not been carried out by the current Council. As such she was keen to ensure that the management response to the NIAO was appropriate. She asked if documents referred to by officers </w:t>
      </w:r>
      <w:r w:rsidR="00094796">
        <w:rPr>
          <w:rFonts w:cs="Arial"/>
        </w:rPr>
        <w:t xml:space="preserve">earlier in the meeting </w:t>
      </w:r>
      <w:r w:rsidR="00DD2D17">
        <w:rPr>
          <w:rFonts w:cs="Arial"/>
        </w:rPr>
        <w:t>were available for members to view.</w:t>
      </w:r>
    </w:p>
    <w:p w14:paraId="28519A0C" w14:textId="77777777" w:rsidR="00DD2D17" w:rsidRDefault="00DD2D17" w:rsidP="00BD0A4B">
      <w:pPr>
        <w:rPr>
          <w:rFonts w:cs="Arial"/>
        </w:rPr>
      </w:pPr>
    </w:p>
    <w:p w14:paraId="654DD68C" w14:textId="56DC2D7C" w:rsidR="00DD2D17" w:rsidRDefault="00DD2D17" w:rsidP="00BD0A4B">
      <w:pPr>
        <w:rPr>
          <w:rFonts w:cs="Arial"/>
        </w:rPr>
      </w:pPr>
      <w:r>
        <w:rPr>
          <w:rFonts w:cs="Arial"/>
        </w:rPr>
        <w:t>The Director indicated that officers had not sought to go into that level of detail and instead at this stage it was the intention to draw out from th</w:t>
      </w:r>
      <w:r w:rsidR="00B7561B">
        <w:rPr>
          <w:rFonts w:cs="Arial"/>
        </w:rPr>
        <w:t>e</w:t>
      </w:r>
      <w:r>
        <w:rPr>
          <w:rFonts w:cs="Arial"/>
        </w:rPr>
        <w:t xml:space="preserve"> historic minutes of 2012 the decisions which had been taken at that time. </w:t>
      </w:r>
    </w:p>
    <w:p w14:paraId="3D262457" w14:textId="77777777" w:rsidR="00DD2D17" w:rsidRDefault="00DD2D17" w:rsidP="00BD0A4B">
      <w:pPr>
        <w:rPr>
          <w:rFonts w:cs="Arial"/>
        </w:rPr>
      </w:pPr>
    </w:p>
    <w:p w14:paraId="53D195AB" w14:textId="645F1B78" w:rsidR="00DD2D17" w:rsidRDefault="00DD2D17" w:rsidP="00BD0A4B">
      <w:pPr>
        <w:rPr>
          <w:rFonts w:cs="Arial"/>
        </w:rPr>
      </w:pPr>
      <w:r>
        <w:rPr>
          <w:rFonts w:cs="Arial"/>
        </w:rPr>
        <w:t xml:space="preserve">Alderman Armstrong-Cotter stated that such documents concerning terms of reference would be useful to have going forward. She expressed the view that the initial report from the NIAO had come across quite differently to how things had been put </w:t>
      </w:r>
      <w:r w:rsidR="00FB2C77">
        <w:rPr>
          <w:rFonts w:cs="Arial"/>
        </w:rPr>
        <w:t>during</w:t>
      </w:r>
      <w:r>
        <w:rPr>
          <w:rFonts w:cs="Arial"/>
        </w:rPr>
        <w:t xml:space="preserve"> this meeting and as such her concern was </w:t>
      </w:r>
      <w:r w:rsidR="00FB2C77">
        <w:rPr>
          <w:rFonts w:cs="Arial"/>
        </w:rPr>
        <w:t>whether or not the</w:t>
      </w:r>
      <w:r>
        <w:rPr>
          <w:rFonts w:cs="Arial"/>
        </w:rPr>
        <w:t xml:space="preserve"> Audit Committee was content that it had appropriately address</w:t>
      </w:r>
      <w:r w:rsidR="00094796">
        <w:rPr>
          <w:rFonts w:cs="Arial"/>
        </w:rPr>
        <w:t>ed</w:t>
      </w:r>
      <w:r>
        <w:rPr>
          <w:rFonts w:cs="Arial"/>
        </w:rPr>
        <w:t xml:space="preserve"> the issue which had been raised. </w:t>
      </w:r>
    </w:p>
    <w:p w14:paraId="7453F202" w14:textId="77777777" w:rsidR="00291AF1" w:rsidRDefault="00291AF1" w:rsidP="00BD0A4B">
      <w:pPr>
        <w:rPr>
          <w:rFonts w:cs="Arial"/>
        </w:rPr>
      </w:pPr>
    </w:p>
    <w:p w14:paraId="46D18F58" w14:textId="0189D773" w:rsidR="00291AF1" w:rsidRDefault="00291AF1" w:rsidP="00BD0A4B">
      <w:pPr>
        <w:rPr>
          <w:rFonts w:cs="Arial"/>
        </w:rPr>
      </w:pPr>
      <w:r>
        <w:rPr>
          <w:rFonts w:cs="Arial"/>
        </w:rPr>
        <w:t xml:space="preserve">At this stage the Director </w:t>
      </w:r>
      <w:r w:rsidR="00FC3DD0">
        <w:rPr>
          <w:rFonts w:cs="Arial"/>
        </w:rPr>
        <w:t>remin</w:t>
      </w:r>
      <w:r w:rsidR="00FB2C77">
        <w:rPr>
          <w:rFonts w:cs="Arial"/>
        </w:rPr>
        <w:t>d</w:t>
      </w:r>
      <w:r w:rsidR="00FC3DD0">
        <w:rPr>
          <w:rFonts w:cs="Arial"/>
        </w:rPr>
        <w:t>ed members that the role of NIAO was to audit the Council and provide findings and recommendations, following which management ha</w:t>
      </w:r>
      <w:r w:rsidR="00094796">
        <w:rPr>
          <w:rFonts w:cs="Arial"/>
        </w:rPr>
        <w:t>d</w:t>
      </w:r>
      <w:r w:rsidR="00FC3DD0">
        <w:rPr>
          <w:rFonts w:cs="Arial"/>
        </w:rPr>
        <w:t xml:space="preserve"> the opportunity to provide a response to those recommendations. In the case of this particular recommendation management was providing a response to say </w:t>
      </w:r>
      <w:r w:rsidR="00094796">
        <w:rPr>
          <w:rFonts w:cs="Arial"/>
        </w:rPr>
        <w:t>that</w:t>
      </w:r>
      <w:r w:rsidR="00FC3DD0">
        <w:rPr>
          <w:rFonts w:cs="Arial"/>
        </w:rPr>
        <w:t xml:space="preserve"> the Council would view this differently to how the NIAO had viewed it. </w:t>
      </w:r>
    </w:p>
    <w:p w14:paraId="50681EE3" w14:textId="77777777" w:rsidR="00FC3DD0" w:rsidRDefault="00FC3DD0" w:rsidP="00BD0A4B">
      <w:pPr>
        <w:rPr>
          <w:rFonts w:cs="Arial"/>
        </w:rPr>
      </w:pPr>
    </w:p>
    <w:p w14:paraId="52B38D9A" w14:textId="49AFC26A" w:rsidR="00FC3DD0" w:rsidRDefault="00FC3DD0" w:rsidP="00BD0A4B">
      <w:pPr>
        <w:rPr>
          <w:rFonts w:cs="Arial"/>
        </w:rPr>
      </w:pPr>
      <w:r>
        <w:rPr>
          <w:rFonts w:cs="Arial"/>
        </w:rPr>
        <w:t xml:space="preserve">Alderman Armstrong-Cotter acknowledged the work which had gone into the report at Item 4 and asked for clarification if Item 5 would then form the basis of the </w:t>
      </w:r>
      <w:r w:rsidR="00FB2C77">
        <w:rPr>
          <w:rFonts w:cs="Arial"/>
        </w:rPr>
        <w:t>m</w:t>
      </w:r>
      <w:r>
        <w:rPr>
          <w:rFonts w:cs="Arial"/>
        </w:rPr>
        <w:t>anagement response.</w:t>
      </w:r>
    </w:p>
    <w:p w14:paraId="69F14E49" w14:textId="77777777" w:rsidR="00FC3DD0" w:rsidRDefault="00FC3DD0" w:rsidP="00BD0A4B">
      <w:pPr>
        <w:rPr>
          <w:rFonts w:cs="Arial"/>
        </w:rPr>
      </w:pPr>
    </w:p>
    <w:p w14:paraId="05A12EBD" w14:textId="2FADACC0" w:rsidR="00FC3DD0" w:rsidRDefault="00FC3DD0" w:rsidP="00BD0A4B">
      <w:pPr>
        <w:rPr>
          <w:rFonts w:cs="Arial"/>
        </w:rPr>
      </w:pPr>
      <w:r>
        <w:rPr>
          <w:rFonts w:cs="Arial"/>
        </w:rPr>
        <w:lastRenderedPageBreak/>
        <w:t xml:space="preserve">The Director indicated that in normal circumstances the NIAO would be get Item 5 however in this case Mr O’Neill </w:t>
      </w:r>
      <w:r w:rsidR="00094796">
        <w:rPr>
          <w:rFonts w:cs="Arial"/>
        </w:rPr>
        <w:t xml:space="preserve">also </w:t>
      </w:r>
      <w:r>
        <w:rPr>
          <w:rFonts w:cs="Arial"/>
        </w:rPr>
        <w:t xml:space="preserve">had access to Item 4. </w:t>
      </w:r>
      <w:r w:rsidR="008547EC">
        <w:rPr>
          <w:rFonts w:cs="Arial"/>
        </w:rPr>
        <w:t xml:space="preserve"> </w:t>
      </w:r>
      <w:r>
        <w:rPr>
          <w:rFonts w:cs="Arial"/>
        </w:rPr>
        <w:t xml:space="preserve">In many cases those recommendations would be around future work but in the case of this issue it was not something that was rectifiable or something the Council would be rectifying. </w:t>
      </w:r>
    </w:p>
    <w:p w14:paraId="66D10FF8" w14:textId="77777777" w:rsidR="00730831" w:rsidRDefault="00730831" w:rsidP="00BD0A4B">
      <w:pPr>
        <w:rPr>
          <w:rFonts w:cs="Arial"/>
        </w:rPr>
      </w:pPr>
    </w:p>
    <w:p w14:paraId="2DF6CA20" w14:textId="0F6DC417" w:rsidR="00730831" w:rsidRDefault="00730831" w:rsidP="00BD0A4B">
      <w:pPr>
        <w:rPr>
          <w:rFonts w:cs="Arial"/>
        </w:rPr>
      </w:pPr>
      <w:r>
        <w:rPr>
          <w:rFonts w:cs="Arial"/>
        </w:rPr>
        <w:t>Alderman Armstrong-Cotter acknowledged that this was a legacy issue which the Council had been left with and from which lessons could be learnt.</w:t>
      </w:r>
      <w:r w:rsidR="00BC43CD">
        <w:rPr>
          <w:rFonts w:cs="Arial"/>
        </w:rPr>
        <w:t xml:space="preserve"> She added that she was just keen to establish where a line would be drawn with this mat</w:t>
      </w:r>
      <w:r w:rsidR="00094796">
        <w:rPr>
          <w:rFonts w:cs="Arial"/>
        </w:rPr>
        <w:t>t</w:t>
      </w:r>
      <w:r w:rsidR="00BC43CD">
        <w:rPr>
          <w:rFonts w:cs="Arial"/>
        </w:rPr>
        <w:t>er given its uniqueness.</w:t>
      </w:r>
    </w:p>
    <w:p w14:paraId="7DE73330" w14:textId="77777777" w:rsidR="006130A3" w:rsidRDefault="006130A3" w:rsidP="00BD0A4B">
      <w:pPr>
        <w:rPr>
          <w:rFonts w:cs="Arial"/>
        </w:rPr>
      </w:pPr>
    </w:p>
    <w:p w14:paraId="1189F50B" w14:textId="5CA7B661" w:rsidR="006130A3" w:rsidRDefault="006130A3" w:rsidP="00BD0A4B">
      <w:pPr>
        <w:rPr>
          <w:rFonts w:cs="Arial"/>
        </w:rPr>
      </w:pPr>
      <w:r>
        <w:rPr>
          <w:rFonts w:cs="Arial"/>
        </w:rPr>
        <w:t>In response the Head of Finance referred members to the last paragraph of the proposed management response which was that management would consider the recommendation made by the NIAO but ultimately Council would do what it believe</w:t>
      </w:r>
      <w:r w:rsidR="00094796">
        <w:rPr>
          <w:rFonts w:cs="Arial"/>
        </w:rPr>
        <w:t>d</w:t>
      </w:r>
      <w:r>
        <w:rPr>
          <w:rFonts w:cs="Arial"/>
        </w:rPr>
        <w:t xml:space="preserve"> to be in the best interests of the Council. As such management w</w:t>
      </w:r>
      <w:r w:rsidR="008547EC">
        <w:rPr>
          <w:rFonts w:cs="Arial"/>
        </w:rPr>
        <w:t>as</w:t>
      </w:r>
      <w:r>
        <w:rPr>
          <w:rFonts w:cs="Arial"/>
        </w:rPr>
        <w:t xml:space="preserve"> content that the legacy Council had already done that and therefore this would remain a point of disagreement. He added that the Council would move on and take due consideration of what had been said. </w:t>
      </w:r>
    </w:p>
    <w:p w14:paraId="7DB33825" w14:textId="77777777" w:rsidR="006130A3" w:rsidRDefault="006130A3" w:rsidP="00BD0A4B">
      <w:pPr>
        <w:rPr>
          <w:rFonts w:cs="Arial"/>
        </w:rPr>
      </w:pPr>
    </w:p>
    <w:p w14:paraId="0AC0E861" w14:textId="61B527F2" w:rsidR="006130A3" w:rsidRPr="00F00945" w:rsidRDefault="008B7703" w:rsidP="00BD0A4B">
      <w:pPr>
        <w:rPr>
          <w:rFonts w:cs="Arial"/>
        </w:rPr>
      </w:pPr>
      <w:r>
        <w:rPr>
          <w:rFonts w:cs="Arial"/>
        </w:rPr>
        <w:t xml:space="preserve">At this stage Mr O’Neill from NIAO commented that the discussion which had taken place had been very helpful </w:t>
      </w:r>
      <w:r w:rsidR="00FB2C77">
        <w:rPr>
          <w:rFonts w:cs="Arial"/>
        </w:rPr>
        <w:t>when</w:t>
      </w:r>
      <w:r>
        <w:rPr>
          <w:rFonts w:cs="Arial"/>
        </w:rPr>
        <w:t xml:space="preserve"> going back to those elements which his office had looked at and subsequently raised </w:t>
      </w:r>
      <w:r w:rsidR="00FB2C77">
        <w:rPr>
          <w:rFonts w:cs="Arial"/>
        </w:rPr>
        <w:t xml:space="preserve">around </w:t>
      </w:r>
      <w:r>
        <w:rPr>
          <w:rFonts w:cs="Arial"/>
        </w:rPr>
        <w:t xml:space="preserve">the net benefit of over £600,000 </w:t>
      </w:r>
      <w:r w:rsidR="00FB2C77">
        <w:rPr>
          <w:rFonts w:cs="Arial"/>
        </w:rPr>
        <w:t>during</w:t>
      </w:r>
      <w:r>
        <w:rPr>
          <w:rFonts w:cs="Arial"/>
        </w:rPr>
        <w:t xml:space="preserve"> the term of the contract.  </w:t>
      </w:r>
      <w:r w:rsidR="00094796">
        <w:rPr>
          <w:rFonts w:cs="Arial"/>
        </w:rPr>
        <w:t>He advised that t</w:t>
      </w:r>
      <w:r>
        <w:rPr>
          <w:rFonts w:cs="Arial"/>
        </w:rPr>
        <w:t xml:space="preserve">he response submitted by management would </w:t>
      </w:r>
      <w:r w:rsidR="00FB2C77">
        <w:rPr>
          <w:rFonts w:cs="Arial"/>
        </w:rPr>
        <w:t>be included in</w:t>
      </w:r>
      <w:r>
        <w:rPr>
          <w:rFonts w:cs="Arial"/>
        </w:rPr>
        <w:t xml:space="preserve"> the Final Report to those Charged with Governance </w:t>
      </w:r>
      <w:r w:rsidR="00FB2C77">
        <w:rPr>
          <w:rFonts w:cs="Arial"/>
        </w:rPr>
        <w:t>which</w:t>
      </w:r>
      <w:r>
        <w:rPr>
          <w:rFonts w:cs="Arial"/>
        </w:rPr>
        <w:t xml:space="preserve"> would remain between </w:t>
      </w:r>
      <w:r w:rsidR="00094796">
        <w:rPr>
          <w:rFonts w:cs="Arial"/>
        </w:rPr>
        <w:t>the NIAO</w:t>
      </w:r>
      <w:r>
        <w:rPr>
          <w:rFonts w:cs="Arial"/>
        </w:rPr>
        <w:t xml:space="preserve">, the Council’s Chief Executive and Director of Corporate Services. </w:t>
      </w:r>
      <w:r w:rsidR="0054112D">
        <w:rPr>
          <w:rFonts w:cs="Arial"/>
        </w:rPr>
        <w:t xml:space="preserve"> </w:t>
      </w:r>
      <w:r>
        <w:rPr>
          <w:rFonts w:cs="Arial"/>
        </w:rPr>
        <w:t>He added that the main issue going forward was that management would look at issues which had been raised and identify what would be done in the future if something of this nature was ever to arise.</w:t>
      </w:r>
    </w:p>
    <w:p w14:paraId="33549B65" w14:textId="3E0C2B6D" w:rsidR="00D333EF" w:rsidRDefault="00D333EF" w:rsidP="00864732"/>
    <w:p w14:paraId="74EFFA32" w14:textId="3966DCB7" w:rsidR="00D1281B" w:rsidRDefault="00D1281B" w:rsidP="00D1281B">
      <w:pPr>
        <w:rPr>
          <w:b/>
        </w:rPr>
      </w:pPr>
      <w:r>
        <w:rPr>
          <w:b/>
        </w:rPr>
        <w:t xml:space="preserve">AGREED TO RECOMMEND, on the proposal of </w:t>
      </w:r>
      <w:r w:rsidR="008B7703">
        <w:rPr>
          <w:b/>
        </w:rPr>
        <w:t>Councillor McCollum</w:t>
      </w:r>
      <w:r>
        <w:rPr>
          <w:b/>
        </w:rPr>
        <w:t xml:space="preserve">, seconded by </w:t>
      </w:r>
      <w:r w:rsidR="008B7703">
        <w:rPr>
          <w:b/>
        </w:rPr>
        <w:t>Councillor Wray</w:t>
      </w:r>
      <w:r>
        <w:rPr>
          <w:b/>
        </w:rPr>
        <w:t xml:space="preserve">, that the recommendation be adopted. </w:t>
      </w:r>
    </w:p>
    <w:p w14:paraId="43CFD60C" w14:textId="77777777" w:rsidR="00CA048D" w:rsidRDefault="00CA048D" w:rsidP="0039767B">
      <w:pPr>
        <w:rPr>
          <w:rFonts w:cs="Arial"/>
          <w:b/>
          <w:bCs/>
          <w:sz w:val="28"/>
          <w:szCs w:val="28"/>
          <w:u w:val="single"/>
        </w:rPr>
      </w:pPr>
    </w:p>
    <w:p w14:paraId="7A79FE34" w14:textId="77777777" w:rsidR="00AE13D3" w:rsidRPr="00AE13D3" w:rsidRDefault="00CA048D" w:rsidP="00AE13D3">
      <w:pPr>
        <w:pStyle w:val="Heading1"/>
        <w:ind w:left="720" w:hanging="720"/>
        <w:rPr>
          <w:u w:val="single"/>
        </w:rPr>
      </w:pPr>
      <w:r>
        <w:t>5.</w:t>
      </w:r>
      <w:r>
        <w:tab/>
      </w:r>
      <w:r w:rsidRPr="00AE13D3">
        <w:rPr>
          <w:u w:val="single"/>
        </w:rPr>
        <w:t>MANAGEMENT RES</w:t>
      </w:r>
      <w:r w:rsidR="0054112D" w:rsidRPr="00AE13D3">
        <w:rPr>
          <w:u w:val="single"/>
        </w:rPr>
        <w:t>P</w:t>
      </w:r>
      <w:r w:rsidRPr="00AE13D3">
        <w:rPr>
          <w:u w:val="single"/>
        </w:rPr>
        <w:t>ON</w:t>
      </w:r>
      <w:r w:rsidR="0054112D" w:rsidRPr="00AE13D3">
        <w:rPr>
          <w:u w:val="single"/>
        </w:rPr>
        <w:t>S</w:t>
      </w:r>
      <w:r w:rsidRPr="00AE13D3">
        <w:rPr>
          <w:u w:val="single"/>
        </w:rPr>
        <w:t>E TO THE REPORT TO THOSE CHARGED WITH GOVERNANCE</w:t>
      </w:r>
      <w:r w:rsidR="008C6786" w:rsidRPr="00AE13D3">
        <w:rPr>
          <w:u w:val="single"/>
        </w:rPr>
        <w:t xml:space="preserve"> (FILE FIN65)</w:t>
      </w:r>
      <w:r w:rsidRPr="00AE13D3">
        <w:rPr>
          <w:u w:val="single"/>
        </w:rPr>
        <w:t xml:space="preserve"> </w:t>
      </w:r>
    </w:p>
    <w:p w14:paraId="758566B4" w14:textId="646B110D" w:rsidR="00CA048D" w:rsidRPr="008A014E" w:rsidRDefault="008A014E" w:rsidP="00AE13D3">
      <w:pPr>
        <w:ind w:left="720"/>
        <w:rPr>
          <w:rFonts w:cs="Arial"/>
        </w:rPr>
      </w:pPr>
      <w:r>
        <w:rPr>
          <w:rFonts w:cs="Arial"/>
        </w:rPr>
        <w:t xml:space="preserve">(Appendix </w:t>
      </w:r>
      <w:r w:rsidR="008C6786">
        <w:rPr>
          <w:rFonts w:cs="Arial"/>
        </w:rPr>
        <w:t>I</w:t>
      </w:r>
      <w:r>
        <w:rPr>
          <w:rFonts w:cs="Arial"/>
        </w:rPr>
        <w:t>)</w:t>
      </w:r>
    </w:p>
    <w:p w14:paraId="0283FBEB" w14:textId="77777777" w:rsidR="0039767B" w:rsidRDefault="0039767B" w:rsidP="0039767B">
      <w:pPr>
        <w:rPr>
          <w:rFonts w:ascii="Arial Bold" w:hAnsi="Arial Bold"/>
          <w:b/>
          <w:caps/>
          <w:sz w:val="28"/>
          <w:szCs w:val="28"/>
          <w:u w:val="single"/>
        </w:rPr>
      </w:pPr>
    </w:p>
    <w:p w14:paraId="6F643B65" w14:textId="29C2CE2E" w:rsidR="00FA0706" w:rsidRDefault="00CA048D" w:rsidP="00FA0706">
      <w:r w:rsidRPr="00B32EF2">
        <w:rPr>
          <w:caps/>
        </w:rPr>
        <w:t>Previously circulated</w:t>
      </w:r>
      <w:r>
        <w:t xml:space="preserve">:- Report from the Director of Corporate Services </w:t>
      </w:r>
      <w:r w:rsidR="00FA0706">
        <w:t xml:space="preserve">stating that the NI Audit Office provided a draft report to those charged with governance at the </w:t>
      </w:r>
      <w:r w:rsidR="008C6786">
        <w:t>C</w:t>
      </w:r>
      <w:r w:rsidR="00FA0706">
        <w:t>ommittee’s last meeting in September. This report detail</w:t>
      </w:r>
      <w:r w:rsidR="001B5FA2">
        <w:t xml:space="preserve">ed </w:t>
      </w:r>
      <w:r w:rsidR="00FA0706">
        <w:t>management’s responses to those recommendations that the Local Government Auditor made in that report for the Committee’s information.</w:t>
      </w:r>
    </w:p>
    <w:p w14:paraId="73478EAB" w14:textId="77777777" w:rsidR="00FA0706" w:rsidRDefault="00FA0706" w:rsidP="00FA0706"/>
    <w:p w14:paraId="1B39356D" w14:textId="2CAB03F1" w:rsidR="00FA0706" w:rsidRDefault="00FA0706" w:rsidP="00FA0706">
      <w:r>
        <w:t>Following the Committee meeting th</w:t>
      </w:r>
      <w:r w:rsidR="001B5FA2">
        <w:t>o</w:t>
      </w:r>
      <w:r>
        <w:t>se w</w:t>
      </w:r>
      <w:r w:rsidR="001B5FA2">
        <w:t xml:space="preserve">ould </w:t>
      </w:r>
      <w:r>
        <w:t xml:space="preserve">formally be issued to the NIAO and they </w:t>
      </w:r>
      <w:r w:rsidR="001B5FA2">
        <w:t>would</w:t>
      </w:r>
      <w:r>
        <w:t xml:space="preserve"> finalise their report.</w:t>
      </w:r>
    </w:p>
    <w:p w14:paraId="7CC36173" w14:textId="77777777" w:rsidR="00FA0706" w:rsidRDefault="00FA0706" w:rsidP="00FA0706"/>
    <w:p w14:paraId="4E8D050D" w14:textId="1F3D18BF" w:rsidR="00FA0706" w:rsidRPr="00556282" w:rsidRDefault="00FA0706" w:rsidP="00556282">
      <w:pPr>
        <w:spacing w:after="160" w:line="259" w:lineRule="auto"/>
        <w:rPr>
          <w:rFonts w:cs="Arial"/>
          <w:b/>
          <w:bCs/>
        </w:rPr>
      </w:pPr>
      <w:r w:rsidRPr="001B5FA2">
        <w:rPr>
          <w:rFonts w:cs="Arial"/>
          <w:b/>
          <w:bCs/>
        </w:rPr>
        <w:t>Recommendation 1</w:t>
      </w:r>
    </w:p>
    <w:p w14:paraId="13079BFE" w14:textId="3AD5C752" w:rsidR="00FA0706" w:rsidRPr="00F00945" w:rsidRDefault="00FA0706" w:rsidP="00FA0706">
      <w:pPr>
        <w:rPr>
          <w:rFonts w:cs="Arial"/>
        </w:rPr>
      </w:pPr>
      <w:r w:rsidRPr="00F00945">
        <w:rPr>
          <w:rFonts w:cs="Arial"/>
        </w:rPr>
        <w:t>“Contracts should not include clauses that result in 3</w:t>
      </w:r>
      <w:r w:rsidRPr="00F00945">
        <w:rPr>
          <w:rFonts w:cs="Arial"/>
          <w:vertAlign w:val="superscript"/>
        </w:rPr>
        <w:t>rd</w:t>
      </w:r>
      <w:r w:rsidRPr="00F00945">
        <w:rPr>
          <w:rFonts w:cs="Arial"/>
        </w:rPr>
        <w:t xml:space="preserve"> parties receiving payments over and above that which is paid by the Council for services provided.  Any incentives within service contracts should ensure that reasonable limits are in place to cap the amounts that the council may pay out.  In this case, where the </w:t>
      </w:r>
      <w:r w:rsidR="0054112D">
        <w:rPr>
          <w:rFonts w:cs="Arial"/>
        </w:rPr>
        <w:t>C</w:t>
      </w:r>
      <w:r w:rsidRPr="00F00945">
        <w:rPr>
          <w:rFonts w:cs="Arial"/>
        </w:rPr>
        <w:t xml:space="preserve">ouncil </w:t>
      </w:r>
      <w:r w:rsidRPr="00F00945">
        <w:rPr>
          <w:rFonts w:cs="Arial"/>
        </w:rPr>
        <w:lastRenderedPageBreak/>
        <w:t>was paying energy costs, payments should have been based on actual usage, with conditions in place to ensure that the usage is reasonable.”</w:t>
      </w:r>
    </w:p>
    <w:p w14:paraId="4E1B0118" w14:textId="77777777" w:rsidR="001034C6" w:rsidRDefault="001034C6" w:rsidP="001034C6">
      <w:pPr>
        <w:pStyle w:val="Normal0"/>
      </w:pPr>
    </w:p>
    <w:p w14:paraId="3C3E5B88" w14:textId="6C427F50" w:rsidR="00FA0706" w:rsidRPr="001034C6" w:rsidRDefault="00FA0706" w:rsidP="001034C6">
      <w:pPr>
        <w:pStyle w:val="Normal0"/>
        <w:rPr>
          <w:b/>
          <w:bCs/>
          <w:sz w:val="24"/>
          <w:szCs w:val="24"/>
        </w:rPr>
      </w:pPr>
      <w:r w:rsidRPr="001034C6">
        <w:rPr>
          <w:b/>
          <w:bCs/>
          <w:sz w:val="24"/>
          <w:szCs w:val="24"/>
        </w:rPr>
        <w:t>Management response</w:t>
      </w:r>
    </w:p>
    <w:p w14:paraId="3F4A3797" w14:textId="77777777" w:rsidR="00FA0706" w:rsidRPr="00F00945" w:rsidRDefault="00FA0706" w:rsidP="0054112D">
      <w:pPr>
        <w:rPr>
          <w:rFonts w:cs="Arial"/>
        </w:rPr>
      </w:pPr>
    </w:p>
    <w:p w14:paraId="1D4364C3" w14:textId="77777777" w:rsidR="00FA0706" w:rsidRPr="00F00945" w:rsidRDefault="00FA0706" w:rsidP="0054112D">
      <w:pPr>
        <w:rPr>
          <w:rFonts w:cs="Arial"/>
          <w:b/>
          <w:bCs/>
        </w:rPr>
      </w:pPr>
      <w:r w:rsidRPr="00F00945">
        <w:rPr>
          <w:rFonts w:cs="Arial"/>
          <w:b/>
          <w:bCs/>
        </w:rPr>
        <w:t>Contractual overview</w:t>
      </w:r>
    </w:p>
    <w:p w14:paraId="3D7D5C90" w14:textId="619CD6D3" w:rsidR="00FA0706" w:rsidRDefault="00FA0706" w:rsidP="0054112D">
      <w:pPr>
        <w:rPr>
          <w:rFonts w:cs="Arial"/>
        </w:rPr>
      </w:pPr>
      <w:r w:rsidRPr="00F00945">
        <w:rPr>
          <w:rFonts w:cs="Arial"/>
        </w:rPr>
        <w:t>In August 2012, North Down Borough Council let a contract for the provision of leisure services to the operator who was assessed as providing the most economically advantageous tender.  This recommendation only consider</w:t>
      </w:r>
      <w:r w:rsidR="001B5FA2">
        <w:rPr>
          <w:rFonts w:cs="Arial"/>
        </w:rPr>
        <w:t>ed</w:t>
      </w:r>
      <w:r w:rsidRPr="00F00945">
        <w:rPr>
          <w:rFonts w:cs="Arial"/>
        </w:rPr>
        <w:t xml:space="preserve"> one aspect of the payment mechanism associated with this contract, without reference to the contract as a whole and therefore management fe</w:t>
      </w:r>
      <w:r w:rsidR="001B5FA2">
        <w:rPr>
          <w:rFonts w:cs="Arial"/>
        </w:rPr>
        <w:t>lt</w:t>
      </w:r>
      <w:r w:rsidRPr="00F00945">
        <w:rPr>
          <w:rFonts w:cs="Arial"/>
        </w:rPr>
        <w:t xml:space="preserve"> misrepresent</w:t>
      </w:r>
      <w:r w:rsidR="001B5FA2">
        <w:rPr>
          <w:rFonts w:cs="Arial"/>
        </w:rPr>
        <w:t>ed</w:t>
      </w:r>
      <w:r w:rsidRPr="00F00945">
        <w:rPr>
          <w:rFonts w:cs="Arial"/>
        </w:rPr>
        <w:t xml:space="preserve"> the benefits of the deal obtained by Council, </w:t>
      </w:r>
      <w:r w:rsidRPr="00C84ADD">
        <w:rPr>
          <w:rFonts w:cs="Arial"/>
        </w:rPr>
        <w:t>which per the original business case projected a saving of approximately £10M over the contract period versus the in-house model</w:t>
      </w:r>
      <w:r w:rsidRPr="00F00945">
        <w:rPr>
          <w:rFonts w:cs="Arial"/>
        </w:rPr>
        <w:t>.</w:t>
      </w:r>
    </w:p>
    <w:p w14:paraId="0D54E458" w14:textId="77777777" w:rsidR="00FA0706" w:rsidRPr="00F00945" w:rsidRDefault="00FA0706" w:rsidP="0054112D">
      <w:pPr>
        <w:rPr>
          <w:rFonts w:cs="Arial"/>
        </w:rPr>
      </w:pPr>
    </w:p>
    <w:p w14:paraId="0CC8CA41" w14:textId="77777777" w:rsidR="00FA0706" w:rsidRPr="00F00945" w:rsidRDefault="00FA0706" w:rsidP="0054112D">
      <w:pPr>
        <w:rPr>
          <w:rFonts w:cs="Arial"/>
          <w:b/>
          <w:bCs/>
        </w:rPr>
      </w:pPr>
      <w:r w:rsidRPr="00F00945">
        <w:rPr>
          <w:rFonts w:cs="Arial"/>
          <w:b/>
          <w:bCs/>
        </w:rPr>
        <w:t>Contract stipulation</w:t>
      </w:r>
    </w:p>
    <w:p w14:paraId="0E03E1A1" w14:textId="3FCA7CF3" w:rsidR="00FA0706" w:rsidRPr="00F00945" w:rsidRDefault="00FA0706" w:rsidP="0054112D">
      <w:pPr>
        <w:rPr>
          <w:rFonts w:cs="Arial"/>
        </w:rPr>
      </w:pPr>
      <w:r w:rsidRPr="00F00945">
        <w:rPr>
          <w:rFonts w:cs="Arial"/>
        </w:rPr>
        <w:t xml:space="preserve">It </w:t>
      </w:r>
      <w:r w:rsidR="001B5FA2">
        <w:rPr>
          <w:rFonts w:cs="Arial"/>
        </w:rPr>
        <w:t>was the Council’s</w:t>
      </w:r>
      <w:r w:rsidRPr="00F00945">
        <w:rPr>
          <w:rFonts w:cs="Arial"/>
        </w:rPr>
        <w:t xml:space="preserve"> understanding that the energy consumption element of the contract </w:t>
      </w:r>
      <w:r w:rsidR="001B5FA2">
        <w:rPr>
          <w:rFonts w:cs="Arial"/>
        </w:rPr>
        <w:t>wa</w:t>
      </w:r>
      <w:r w:rsidRPr="00F00945">
        <w:rPr>
          <w:rFonts w:cs="Arial"/>
        </w:rPr>
        <w:t>s a reasonably standard clause adopted by leisure services operators across the industry</w:t>
      </w:r>
      <w:r>
        <w:rPr>
          <w:rFonts w:cs="Arial"/>
        </w:rPr>
        <w:t xml:space="preserve"> for this type of facility</w:t>
      </w:r>
      <w:r w:rsidRPr="00F00945">
        <w:rPr>
          <w:rFonts w:cs="Arial"/>
        </w:rPr>
        <w:t xml:space="preserve">. </w:t>
      </w:r>
    </w:p>
    <w:p w14:paraId="45F391F0" w14:textId="77777777" w:rsidR="00FA0706" w:rsidRPr="00F00945" w:rsidRDefault="00FA0706" w:rsidP="00FA0706">
      <w:pPr>
        <w:rPr>
          <w:rFonts w:cs="Arial"/>
        </w:rPr>
      </w:pPr>
    </w:p>
    <w:p w14:paraId="2C3283B9" w14:textId="77777777" w:rsidR="00FA0706" w:rsidRPr="00F00945" w:rsidRDefault="00FA0706" w:rsidP="00FA0706">
      <w:pPr>
        <w:rPr>
          <w:rFonts w:cs="Arial"/>
          <w:b/>
          <w:bCs/>
        </w:rPr>
      </w:pPr>
      <w:r w:rsidRPr="00F00945">
        <w:rPr>
          <w:rFonts w:cs="Arial"/>
          <w:b/>
          <w:bCs/>
        </w:rPr>
        <w:t>Energy usage</w:t>
      </w:r>
    </w:p>
    <w:p w14:paraId="28F41A63" w14:textId="7F4234FC" w:rsidR="00FA0706" w:rsidRPr="00F00945" w:rsidRDefault="00FA0706" w:rsidP="0054112D">
      <w:pPr>
        <w:rPr>
          <w:rFonts w:cs="Arial"/>
        </w:rPr>
      </w:pPr>
      <w:r w:rsidRPr="00F00945">
        <w:rPr>
          <w:rFonts w:cs="Arial"/>
        </w:rPr>
        <w:t>In compiling their bid</w:t>
      </w:r>
      <w:r>
        <w:rPr>
          <w:rFonts w:cs="Arial"/>
        </w:rPr>
        <w:t>,</w:t>
      </w:r>
      <w:r w:rsidRPr="00F00945">
        <w:rPr>
          <w:rFonts w:cs="Arial"/>
        </w:rPr>
        <w:t xml:space="preserve"> each bidder w</w:t>
      </w:r>
      <w:r w:rsidR="001B5FA2">
        <w:rPr>
          <w:rFonts w:cs="Arial"/>
        </w:rPr>
        <w:t>ould</w:t>
      </w:r>
      <w:r w:rsidRPr="00F00945">
        <w:rPr>
          <w:rFonts w:cs="Arial"/>
        </w:rPr>
        <w:t xml:space="preserve"> have considered the whole contract, both from expenditure and income aspects and w</w:t>
      </w:r>
      <w:r w:rsidR="001B5FA2">
        <w:rPr>
          <w:rFonts w:cs="Arial"/>
        </w:rPr>
        <w:t xml:space="preserve">ould </w:t>
      </w:r>
      <w:r w:rsidRPr="00F00945">
        <w:rPr>
          <w:rFonts w:cs="Arial"/>
        </w:rPr>
        <w:t xml:space="preserve">have pitched their management fee to Council on that basis.  Should the utility mechanism have been based on actuals only (rather than both targets and actuals), the bidders would have had a reduced incentive to minimise consumption.  The Council would therefore have been exposed to more risk, which </w:t>
      </w:r>
      <w:r w:rsidR="001B5FA2">
        <w:rPr>
          <w:rFonts w:cs="Arial"/>
        </w:rPr>
        <w:t>wa</w:t>
      </w:r>
      <w:r w:rsidRPr="00F00945">
        <w:rPr>
          <w:rFonts w:cs="Arial"/>
        </w:rPr>
        <w:t>s counter to the Council’s initial objectives for outsourcing.</w:t>
      </w:r>
    </w:p>
    <w:p w14:paraId="37A51B10" w14:textId="77777777" w:rsidR="00FA0706" w:rsidRPr="00F00945" w:rsidRDefault="00FA0706" w:rsidP="0054112D">
      <w:pPr>
        <w:rPr>
          <w:rFonts w:cs="Arial"/>
        </w:rPr>
      </w:pPr>
    </w:p>
    <w:p w14:paraId="540BF925" w14:textId="77777777" w:rsidR="00FA0706" w:rsidRPr="00F00945" w:rsidRDefault="00FA0706" w:rsidP="0054112D">
      <w:pPr>
        <w:rPr>
          <w:rFonts w:cs="Arial"/>
          <w:b/>
          <w:bCs/>
        </w:rPr>
      </w:pPr>
      <w:r w:rsidRPr="00F00945">
        <w:rPr>
          <w:rFonts w:cs="Arial"/>
          <w:b/>
          <w:bCs/>
        </w:rPr>
        <w:t>Value proposition</w:t>
      </w:r>
    </w:p>
    <w:p w14:paraId="6A61F374" w14:textId="5CF3EED4" w:rsidR="00FA0706" w:rsidRPr="00F00945" w:rsidRDefault="00FA0706" w:rsidP="0054112D">
      <w:pPr>
        <w:rPr>
          <w:rFonts w:cs="Arial"/>
        </w:rPr>
      </w:pPr>
      <w:r w:rsidRPr="00F00945">
        <w:rPr>
          <w:rFonts w:cs="Arial"/>
        </w:rPr>
        <w:t xml:space="preserve">It </w:t>
      </w:r>
      <w:r w:rsidR="001B5FA2">
        <w:rPr>
          <w:rFonts w:cs="Arial"/>
        </w:rPr>
        <w:t>wa</w:t>
      </w:r>
      <w:r w:rsidRPr="00F00945">
        <w:rPr>
          <w:rFonts w:cs="Arial"/>
        </w:rPr>
        <w:t>s management’s view that a change to one stipulation in the contract should not be viewed as having an isolated impact, but rather had a different contractual clause been used for energy consumption, that the value propositions in the initial bids received would have been different.</w:t>
      </w:r>
    </w:p>
    <w:p w14:paraId="4AC5A260" w14:textId="77777777" w:rsidR="00FA0706" w:rsidRPr="00F00945" w:rsidRDefault="00FA0706" w:rsidP="0054112D">
      <w:pPr>
        <w:rPr>
          <w:rFonts w:cs="Arial"/>
        </w:rPr>
      </w:pPr>
    </w:p>
    <w:p w14:paraId="1AF312AC" w14:textId="77777777" w:rsidR="00FA0706" w:rsidRPr="00F00945" w:rsidRDefault="00FA0706" w:rsidP="0054112D">
      <w:pPr>
        <w:rPr>
          <w:rFonts w:cs="Arial"/>
          <w:b/>
          <w:bCs/>
        </w:rPr>
      </w:pPr>
      <w:r w:rsidRPr="00F00945">
        <w:rPr>
          <w:rFonts w:cs="Arial"/>
          <w:b/>
          <w:bCs/>
        </w:rPr>
        <w:t>Investment</w:t>
      </w:r>
    </w:p>
    <w:p w14:paraId="7A200322" w14:textId="6243FD14" w:rsidR="00FA0706" w:rsidRPr="00F00945" w:rsidRDefault="00FA0706" w:rsidP="0054112D">
      <w:pPr>
        <w:rPr>
          <w:rFonts w:cs="Arial"/>
        </w:rPr>
      </w:pPr>
      <w:r w:rsidRPr="00F00945">
        <w:rPr>
          <w:rFonts w:cs="Arial"/>
        </w:rPr>
        <w:t>The analysis d</w:t>
      </w:r>
      <w:r w:rsidR="001B5FA2">
        <w:rPr>
          <w:rFonts w:cs="Arial"/>
        </w:rPr>
        <w:t>id</w:t>
      </w:r>
      <w:r w:rsidRPr="00F00945">
        <w:rPr>
          <w:rFonts w:cs="Arial"/>
        </w:rPr>
        <w:t xml:space="preserve"> not account for any investments made by </w:t>
      </w:r>
      <w:r>
        <w:rPr>
          <w:rFonts w:cs="Arial"/>
        </w:rPr>
        <w:t>Northern Community Leisure Trust</w:t>
      </w:r>
      <w:r w:rsidRPr="00F00945">
        <w:rPr>
          <w:rFonts w:cs="Arial"/>
        </w:rPr>
        <w:t xml:space="preserve"> to drive down energy consumption.</w:t>
      </w:r>
    </w:p>
    <w:p w14:paraId="39252776" w14:textId="77777777" w:rsidR="00FA0706" w:rsidRPr="00F00945" w:rsidRDefault="00FA0706" w:rsidP="0054112D">
      <w:pPr>
        <w:rPr>
          <w:rFonts w:cs="Arial"/>
        </w:rPr>
      </w:pPr>
    </w:p>
    <w:p w14:paraId="38C75B18" w14:textId="77777777" w:rsidR="002229F6" w:rsidRDefault="00FA0706" w:rsidP="002229F6">
      <w:pPr>
        <w:rPr>
          <w:rFonts w:cs="Arial"/>
        </w:rPr>
      </w:pPr>
      <w:r w:rsidRPr="00F00945">
        <w:rPr>
          <w:rFonts w:cs="Arial"/>
        </w:rPr>
        <w:t>Management w</w:t>
      </w:r>
      <w:r w:rsidR="001B5FA2">
        <w:rPr>
          <w:rFonts w:cs="Arial"/>
        </w:rPr>
        <w:t xml:space="preserve">ould </w:t>
      </w:r>
      <w:r w:rsidRPr="00F00945">
        <w:rPr>
          <w:rFonts w:cs="Arial"/>
        </w:rPr>
        <w:t>consider the recommendation made by the NIAO should the Council decide to tender for similar services in the future, however</w:t>
      </w:r>
      <w:r>
        <w:rPr>
          <w:rFonts w:cs="Arial"/>
        </w:rPr>
        <w:t>,</w:t>
      </w:r>
      <w:r w:rsidRPr="00F00945">
        <w:rPr>
          <w:rFonts w:cs="Arial"/>
        </w:rPr>
        <w:t xml:space="preserve"> w</w:t>
      </w:r>
      <w:r w:rsidR="001B5FA2">
        <w:rPr>
          <w:rFonts w:cs="Arial"/>
        </w:rPr>
        <w:t xml:space="preserve">ould </w:t>
      </w:r>
      <w:r w:rsidRPr="00F00945">
        <w:rPr>
          <w:rFonts w:cs="Arial"/>
        </w:rPr>
        <w:t>ultimately make the decision based on what the Council s</w:t>
      </w:r>
      <w:r w:rsidR="001B5FA2">
        <w:rPr>
          <w:rFonts w:cs="Arial"/>
        </w:rPr>
        <w:t>aw</w:t>
      </w:r>
      <w:r w:rsidRPr="00F00945">
        <w:rPr>
          <w:rFonts w:cs="Arial"/>
        </w:rPr>
        <w:t xml:space="preserve"> as the contractual stipulations which </w:t>
      </w:r>
      <w:r w:rsidR="001B5FA2">
        <w:rPr>
          <w:rFonts w:cs="Arial"/>
        </w:rPr>
        <w:t>we</w:t>
      </w:r>
      <w:r w:rsidRPr="00F00945">
        <w:rPr>
          <w:rFonts w:cs="Arial"/>
        </w:rPr>
        <w:t>re mostly like to provide the Council with the best overall commercial deal.</w:t>
      </w:r>
    </w:p>
    <w:p w14:paraId="0947166B" w14:textId="77777777" w:rsidR="002229F6" w:rsidRDefault="002229F6" w:rsidP="002229F6">
      <w:pPr>
        <w:rPr>
          <w:rFonts w:cs="Arial"/>
        </w:rPr>
      </w:pPr>
    </w:p>
    <w:p w14:paraId="652CAD5D" w14:textId="52FE8527" w:rsidR="00FA0706" w:rsidRPr="002229F6" w:rsidRDefault="00FA0706" w:rsidP="002229F6">
      <w:pPr>
        <w:rPr>
          <w:rFonts w:cs="Arial"/>
        </w:rPr>
      </w:pPr>
      <w:r w:rsidRPr="001B5FA2">
        <w:rPr>
          <w:rFonts w:cs="Arial"/>
          <w:b/>
          <w:bCs/>
        </w:rPr>
        <w:t>Recommendation 2</w:t>
      </w:r>
    </w:p>
    <w:p w14:paraId="7E03B7FA" w14:textId="77777777" w:rsidR="00FA0706" w:rsidRDefault="00FA0706" w:rsidP="00FA0706"/>
    <w:p w14:paraId="6FB5E0F0" w14:textId="77777777" w:rsidR="00FA0706" w:rsidRDefault="00FA0706" w:rsidP="00FA0706">
      <w:r>
        <w:t>We recommend that for any direct award art contracts, that meet the definition of regulation 32, the council documents the initial process for how the selected artist was chosen.</w:t>
      </w:r>
    </w:p>
    <w:p w14:paraId="2B8B55E6" w14:textId="77777777" w:rsidR="00556282" w:rsidRDefault="00556282" w:rsidP="001034C6">
      <w:pPr>
        <w:pStyle w:val="Normal0"/>
        <w:rPr>
          <w:rFonts w:cs="Arial"/>
          <w:sz w:val="24"/>
          <w:szCs w:val="24"/>
        </w:rPr>
      </w:pPr>
    </w:p>
    <w:p w14:paraId="6E94DBAF" w14:textId="77777777" w:rsidR="003D2CB6" w:rsidRDefault="003D2CB6" w:rsidP="001034C6">
      <w:pPr>
        <w:pStyle w:val="Normal0"/>
        <w:rPr>
          <w:rFonts w:cs="Arial"/>
          <w:sz w:val="24"/>
          <w:szCs w:val="24"/>
        </w:rPr>
      </w:pPr>
    </w:p>
    <w:p w14:paraId="6572AE70" w14:textId="77777777" w:rsidR="003D2CB6" w:rsidRDefault="003D2CB6" w:rsidP="001034C6">
      <w:pPr>
        <w:pStyle w:val="Normal0"/>
        <w:rPr>
          <w:rFonts w:cs="Arial"/>
          <w:sz w:val="24"/>
          <w:szCs w:val="24"/>
        </w:rPr>
      </w:pPr>
    </w:p>
    <w:p w14:paraId="59249275" w14:textId="5FBCB4D8" w:rsidR="00FA0706" w:rsidRPr="001034C6" w:rsidRDefault="00FA0706" w:rsidP="001034C6">
      <w:pPr>
        <w:pStyle w:val="Normal0"/>
        <w:rPr>
          <w:rFonts w:cs="Arial"/>
          <w:sz w:val="24"/>
          <w:szCs w:val="24"/>
        </w:rPr>
      </w:pPr>
      <w:r w:rsidRPr="001034C6">
        <w:rPr>
          <w:rFonts w:cs="Arial"/>
          <w:sz w:val="24"/>
          <w:szCs w:val="24"/>
        </w:rPr>
        <w:lastRenderedPageBreak/>
        <w:t>Management response</w:t>
      </w:r>
    </w:p>
    <w:p w14:paraId="6B13813F" w14:textId="77777777" w:rsidR="00FA0706" w:rsidRDefault="00FA0706" w:rsidP="00FA0706"/>
    <w:p w14:paraId="6652398F" w14:textId="64377E62" w:rsidR="00FA0706" w:rsidRDefault="00FA0706" w:rsidP="00FA0706">
      <w:r w:rsidRPr="00694AB5">
        <w:t>We note that the NIAO agree that a direct award is justifiable in line with regulation 32 of the Public Contracts Regulations 2015 and that the Council ha</w:t>
      </w:r>
      <w:r w:rsidR="00AC4C89">
        <w:t>d</w:t>
      </w:r>
      <w:r w:rsidRPr="00694AB5">
        <w:t xml:space="preserve"> prepared a business case to support the procurement method followed.  Management w</w:t>
      </w:r>
      <w:r w:rsidR="00AC4C89">
        <w:t xml:space="preserve">ould </w:t>
      </w:r>
      <w:r w:rsidRPr="00694AB5">
        <w:t>endeavour to further document the process followed on future projects of a similar nature, should the opportunity arise.</w:t>
      </w:r>
    </w:p>
    <w:p w14:paraId="28DA79A5" w14:textId="77777777" w:rsidR="001034C6" w:rsidRPr="001034C6" w:rsidRDefault="001034C6" w:rsidP="001034C6">
      <w:pPr>
        <w:pStyle w:val="Normal0"/>
        <w:rPr>
          <w:sz w:val="24"/>
          <w:szCs w:val="24"/>
        </w:rPr>
      </w:pPr>
    </w:p>
    <w:p w14:paraId="7B76FD89" w14:textId="0D7DA974" w:rsidR="00FA0706" w:rsidRPr="001034C6" w:rsidRDefault="00FA0706" w:rsidP="001034C6">
      <w:pPr>
        <w:pStyle w:val="Normal0"/>
        <w:rPr>
          <w:sz w:val="24"/>
          <w:szCs w:val="24"/>
        </w:rPr>
      </w:pPr>
      <w:r w:rsidRPr="001034C6">
        <w:rPr>
          <w:sz w:val="24"/>
          <w:szCs w:val="24"/>
        </w:rPr>
        <w:t>Recommendation 3</w:t>
      </w:r>
    </w:p>
    <w:p w14:paraId="1EE961C4" w14:textId="77777777" w:rsidR="00FA0706" w:rsidRPr="001034C6" w:rsidRDefault="00FA0706" w:rsidP="00FA0706"/>
    <w:p w14:paraId="7A584C61" w14:textId="77777777" w:rsidR="00FA0706" w:rsidRPr="001034C6" w:rsidRDefault="00FA0706" w:rsidP="00FA0706">
      <w:r w:rsidRPr="001034C6">
        <w:t>We recommend that:</w:t>
      </w:r>
    </w:p>
    <w:p w14:paraId="0F5BE63F" w14:textId="77777777" w:rsidR="001B5FA2" w:rsidRDefault="001B5FA2" w:rsidP="00FA0706"/>
    <w:p w14:paraId="28771D93" w14:textId="77777777" w:rsidR="00FA0706" w:rsidRDefault="00FA0706" w:rsidP="00FA0706">
      <w:pPr>
        <w:pStyle w:val="ListParagraph"/>
        <w:numPr>
          <w:ilvl w:val="0"/>
          <w:numId w:val="17"/>
        </w:numPr>
        <w:suppressAutoHyphens w:val="0"/>
        <w:autoSpaceDN/>
        <w:textAlignment w:val="auto"/>
      </w:pPr>
      <w:r>
        <w:t>The Council continues work to ensure that all policies are up to date and formally approved;</w:t>
      </w:r>
    </w:p>
    <w:p w14:paraId="7CB65F73" w14:textId="77777777" w:rsidR="00FA0706" w:rsidRDefault="00FA0706" w:rsidP="00FA0706">
      <w:pPr>
        <w:pStyle w:val="ListParagraph"/>
        <w:numPr>
          <w:ilvl w:val="0"/>
          <w:numId w:val="17"/>
        </w:numPr>
        <w:suppressAutoHyphens w:val="0"/>
        <w:autoSpaceDN/>
        <w:textAlignment w:val="auto"/>
      </w:pPr>
      <w:r>
        <w:t>Fraud training is provided to all Council staff and Members; and</w:t>
      </w:r>
    </w:p>
    <w:p w14:paraId="7B78B0D1" w14:textId="77777777" w:rsidR="00FA0706" w:rsidRDefault="00FA0706" w:rsidP="00FA0706">
      <w:pPr>
        <w:pStyle w:val="ListParagraph"/>
        <w:numPr>
          <w:ilvl w:val="0"/>
          <w:numId w:val="17"/>
        </w:numPr>
        <w:suppressAutoHyphens w:val="0"/>
        <w:autoSpaceDN/>
        <w:textAlignment w:val="auto"/>
      </w:pPr>
      <w:r>
        <w:t>The Council assesses the potential benefits of IT ISO 27001 accreditation.</w:t>
      </w:r>
    </w:p>
    <w:p w14:paraId="60242D72" w14:textId="77777777" w:rsidR="00FA0706" w:rsidRPr="001034C6" w:rsidRDefault="00FA0706" w:rsidP="00FA0706"/>
    <w:p w14:paraId="66F0616D" w14:textId="77777777" w:rsidR="00FA0706" w:rsidRPr="001034C6" w:rsidRDefault="00FA0706" w:rsidP="001034C6">
      <w:pPr>
        <w:pStyle w:val="Normal0"/>
        <w:rPr>
          <w:sz w:val="24"/>
          <w:szCs w:val="24"/>
        </w:rPr>
      </w:pPr>
      <w:r w:rsidRPr="001034C6">
        <w:rPr>
          <w:sz w:val="24"/>
          <w:szCs w:val="24"/>
        </w:rPr>
        <w:t>Management Response</w:t>
      </w:r>
    </w:p>
    <w:p w14:paraId="2ED68BD5" w14:textId="77777777" w:rsidR="00FA0706" w:rsidRDefault="00FA0706" w:rsidP="00FA0706"/>
    <w:p w14:paraId="77BF402B" w14:textId="78B3924C" w:rsidR="00FA0706" w:rsidRDefault="00FA0706" w:rsidP="00FA0706">
      <w:r>
        <w:t xml:space="preserve">A new policy register </w:t>
      </w:r>
      <w:r w:rsidR="00AC4C89">
        <w:t>wa</w:t>
      </w:r>
      <w:r>
        <w:t>s in the process of being rolled out to Heads of Service and Service Unit Managers. The updating of significant policies ha</w:t>
      </w:r>
      <w:r w:rsidR="00AC4C89">
        <w:t>d</w:t>
      </w:r>
      <w:r>
        <w:t xml:space="preserve"> been a particular focus over the past year with a number of important policies having been updated and related Internal Audit actions closed.  Work w</w:t>
      </w:r>
      <w:r w:rsidR="00AC4C89">
        <w:t xml:space="preserve">ould </w:t>
      </w:r>
      <w:r>
        <w:t>continue to address those which remain</w:t>
      </w:r>
      <w:r w:rsidR="00AC4C89">
        <w:t>ed</w:t>
      </w:r>
      <w:r>
        <w:t xml:space="preserve"> overdue.  Managers w</w:t>
      </w:r>
      <w:r w:rsidR="00AC4C89">
        <w:t>ould</w:t>
      </w:r>
      <w:r>
        <w:t xml:space="preserve"> be reminded to ensure that policies </w:t>
      </w:r>
      <w:r w:rsidR="00AC4C89">
        <w:t>we</w:t>
      </w:r>
      <w:r>
        <w:t xml:space="preserve">re updated in a timely manner.  </w:t>
      </w:r>
    </w:p>
    <w:p w14:paraId="7F0DB0FF" w14:textId="77777777" w:rsidR="00FA0706" w:rsidRDefault="00FA0706" w:rsidP="00FA0706"/>
    <w:p w14:paraId="4B4C1EBF" w14:textId="2D7DFD39" w:rsidR="00FA0706" w:rsidRDefault="00FA0706" w:rsidP="00FA0706">
      <w:r>
        <w:t xml:space="preserve">An updated Scheme of delegation was approved in July 2024 and </w:t>
      </w:r>
      <w:r w:rsidR="00AC4C89">
        <w:t>wa</w:t>
      </w:r>
      <w:r>
        <w:t>s now in operation. This w</w:t>
      </w:r>
      <w:r w:rsidR="00AC4C89">
        <w:t xml:space="preserve">ould </w:t>
      </w:r>
      <w:r>
        <w:t>now be reviewed on an annual basis.</w:t>
      </w:r>
    </w:p>
    <w:p w14:paraId="424465D2" w14:textId="77777777" w:rsidR="00FA0706" w:rsidRDefault="00FA0706" w:rsidP="00FA0706"/>
    <w:p w14:paraId="5502FA5C" w14:textId="523B9DBB" w:rsidR="00FA0706" w:rsidRDefault="00FA0706" w:rsidP="00FA0706">
      <w:r>
        <w:t>Council ha</w:t>
      </w:r>
      <w:r w:rsidR="00AC4C89">
        <w:t>d</w:t>
      </w:r>
      <w:r>
        <w:t xml:space="preserve"> assessed that it ha</w:t>
      </w:r>
      <w:r w:rsidR="00AC4C89">
        <w:t>d</w:t>
      </w:r>
      <w:r>
        <w:t xml:space="preserve"> a low risk of fraud and d</w:t>
      </w:r>
      <w:r w:rsidR="00AC4C89">
        <w:t>id</w:t>
      </w:r>
      <w:r>
        <w:t xml:space="preserve"> not, at this stage, intend to give training to all staff, however an online training module </w:t>
      </w:r>
      <w:r w:rsidR="00AC4C89">
        <w:t>wa</w:t>
      </w:r>
      <w:r>
        <w:t xml:space="preserve">s in development which </w:t>
      </w:r>
      <w:r w:rsidR="00AC4C89">
        <w:t xml:space="preserve">would </w:t>
      </w:r>
      <w:r>
        <w:t xml:space="preserve">be rolled out in a targeted fashion to those roles where risk </w:t>
      </w:r>
      <w:r w:rsidR="00AC4C89">
        <w:t>wa</w:t>
      </w:r>
      <w:r>
        <w:t>s greater.</w:t>
      </w:r>
    </w:p>
    <w:p w14:paraId="6E4B89CA" w14:textId="77777777" w:rsidR="00FA0706" w:rsidRDefault="00FA0706" w:rsidP="00FA0706"/>
    <w:p w14:paraId="62F1F993" w14:textId="48B46D35" w:rsidR="00FA0706" w:rsidRDefault="00FA0706" w:rsidP="00FA0706">
      <w:r>
        <w:t xml:space="preserve">Work </w:t>
      </w:r>
      <w:r w:rsidR="00AC4C89">
        <w:t>wa</w:t>
      </w:r>
      <w:r>
        <w:t xml:space="preserve">s currently underway to align Council's ICT systems to ISO27001, although accreditation </w:t>
      </w:r>
      <w:r w:rsidR="00AC4C89">
        <w:t>wa</w:t>
      </w:r>
      <w:r>
        <w:t xml:space="preserve">s not being actively considered at this time due to the cost and resources involved.  This </w:t>
      </w:r>
      <w:r w:rsidR="00AC4C89">
        <w:t xml:space="preserve">would </w:t>
      </w:r>
      <w:r>
        <w:t xml:space="preserve">be kept under review. Management </w:t>
      </w:r>
      <w:r w:rsidR="00AC4C89">
        <w:t>were</w:t>
      </w:r>
      <w:r>
        <w:t xml:space="preserve"> not aware of any Northern Ireland </w:t>
      </w:r>
      <w:r w:rsidR="00AC4C89">
        <w:t>C</w:t>
      </w:r>
      <w:r>
        <w:t xml:space="preserve">ouncil that </w:t>
      </w:r>
      <w:r w:rsidR="00AC4C89">
        <w:t>wa</w:t>
      </w:r>
      <w:r>
        <w:t xml:space="preserve">s accredited to ISO27001 standards. Council </w:t>
      </w:r>
      <w:r w:rsidR="00AC4C89">
        <w:t>would</w:t>
      </w:r>
      <w:r>
        <w:t xml:space="preserve"> continue to work through the implementation of the recommendations agreed with Internal Audit.</w:t>
      </w:r>
    </w:p>
    <w:p w14:paraId="332F1D90" w14:textId="77777777" w:rsidR="008A014E" w:rsidRPr="004146DB" w:rsidRDefault="008A014E" w:rsidP="00FA0706"/>
    <w:p w14:paraId="3BF2226A" w14:textId="2E0CACDA" w:rsidR="008A014E" w:rsidRDefault="008A014E" w:rsidP="00FA0706">
      <w:r>
        <w:t>RECOMMENDED that Council notes this update.</w:t>
      </w:r>
    </w:p>
    <w:p w14:paraId="6BFC9441" w14:textId="77777777" w:rsidR="00542DEC" w:rsidRDefault="00542DEC" w:rsidP="00FA0706"/>
    <w:p w14:paraId="0005ACC7" w14:textId="3A3C2F08" w:rsidR="00542DEC" w:rsidRDefault="00630737" w:rsidP="00FA0706">
      <w:r>
        <w:t>Councillor McCollum proposed, seconded by Councillor Wray, that the recommendation be adopted.</w:t>
      </w:r>
    </w:p>
    <w:p w14:paraId="3EEB6974" w14:textId="77777777" w:rsidR="00630737" w:rsidRDefault="00630737" w:rsidP="00FA0706"/>
    <w:p w14:paraId="7D52C2F4" w14:textId="7E67436A" w:rsidR="00630737" w:rsidRDefault="00630737" w:rsidP="00FA0706">
      <w:r>
        <w:t>The proposer, Councillor McCollum asked if it would be possible for the Director to elaborate on the proposed responses.</w:t>
      </w:r>
    </w:p>
    <w:p w14:paraId="38CAD546" w14:textId="77777777" w:rsidR="00630737" w:rsidRDefault="00630737" w:rsidP="00FA0706"/>
    <w:p w14:paraId="293AB50B" w14:textId="37E41C51" w:rsidR="00630737" w:rsidRDefault="00630737" w:rsidP="00FA0706">
      <w:r>
        <w:t xml:space="preserve">The Director </w:t>
      </w:r>
      <w:r w:rsidR="004B1119">
        <w:t xml:space="preserve">of Corporate Services </w:t>
      </w:r>
      <w:r>
        <w:t>stated that he</w:t>
      </w:r>
      <w:r w:rsidR="00A40F3F">
        <w:t xml:space="preserve"> had</w:t>
      </w:r>
      <w:r>
        <w:t xml:space="preserve"> nothing further to elaborate on in respect of Recommendation 1.</w:t>
      </w:r>
      <w:r w:rsidR="0081682C">
        <w:t xml:space="preserve"> </w:t>
      </w:r>
      <w:r>
        <w:t xml:space="preserve"> In relation to Recommendations 2 and 3 he </w:t>
      </w:r>
      <w:r>
        <w:lastRenderedPageBreak/>
        <w:t xml:space="preserve">reported that those related primarily to policy and training matters and as such a number of pieces of work </w:t>
      </w:r>
      <w:r w:rsidR="00B72B4F">
        <w:t>had been</w:t>
      </w:r>
      <w:r>
        <w:t xml:space="preserve"> undertaken by officer</w:t>
      </w:r>
      <w:r w:rsidR="00B72B4F">
        <w:t>s in order to minimize th</w:t>
      </w:r>
      <w:r w:rsidR="00A40F3F">
        <w:t>ose</w:t>
      </w:r>
      <w:r w:rsidR="00B72B4F">
        <w:t xml:space="preserve"> outstanding Audit actions.</w:t>
      </w:r>
    </w:p>
    <w:p w14:paraId="4ED25222" w14:textId="77777777" w:rsidR="00630737" w:rsidRDefault="00630737" w:rsidP="00FA0706"/>
    <w:p w14:paraId="74BB183E" w14:textId="4682A35B" w:rsidR="00630737" w:rsidRDefault="00630737" w:rsidP="00FA0706">
      <w:r>
        <w:t xml:space="preserve">Referring specifically to Recommendation 2, Councillor McCollum </w:t>
      </w:r>
      <w:r w:rsidR="00227C7A">
        <w:t>asked that when Management had indicated its intention to document the process further on any future projects of a similar nature how that would look at Committee level. She a</w:t>
      </w:r>
      <w:r w:rsidR="00A40F3F">
        <w:t>sked if</w:t>
      </w:r>
      <w:r w:rsidR="00227C7A">
        <w:t xml:space="preserve"> it </w:t>
      </w:r>
      <w:r w:rsidR="00A40F3F">
        <w:t xml:space="preserve">would be </w:t>
      </w:r>
      <w:r w:rsidR="00227C7A">
        <w:t>proposed that members would receive documents at an earlier stage given the tight deadlines which were in place at times.</w:t>
      </w:r>
    </w:p>
    <w:p w14:paraId="1AA92B1F" w14:textId="77777777" w:rsidR="00227C7A" w:rsidRDefault="00227C7A" w:rsidP="00FA0706"/>
    <w:p w14:paraId="6FFD5274" w14:textId="0A37EAF3" w:rsidR="00227C7A" w:rsidRDefault="001C5814" w:rsidP="00FA0706">
      <w:r>
        <w:t xml:space="preserve">In response the Director expressed the view that </w:t>
      </w:r>
      <w:r w:rsidR="0035093B">
        <w:t>exercises</w:t>
      </w:r>
      <w:r>
        <w:t xml:space="preserve"> such as this would be few in number</w:t>
      </w:r>
      <w:r w:rsidR="0035093B">
        <w:t xml:space="preserve"> and as such the likelihood of something like this occurring again was small</w:t>
      </w:r>
      <w:r w:rsidR="00A40F3F">
        <w:t>.</w:t>
      </w:r>
      <w:r w:rsidR="0081682C">
        <w:t xml:space="preserve"> </w:t>
      </w:r>
      <w:r w:rsidR="00A40F3F">
        <w:t xml:space="preserve"> T</w:t>
      </w:r>
      <w:r w:rsidR="0035093B">
        <w:t xml:space="preserve">herefore the need to carry out any action would be dependent upon the circumstances at that time. </w:t>
      </w:r>
      <w:r w:rsidR="0081682C">
        <w:t xml:space="preserve"> </w:t>
      </w:r>
      <w:r w:rsidR="0035093B">
        <w:t xml:space="preserve">Continuing he reiterated that Regulation 32 had been adhered to in this case and the process followed in relation to that was in keeping with that. </w:t>
      </w:r>
      <w:r w:rsidR="0081682C">
        <w:t xml:space="preserve"> </w:t>
      </w:r>
      <w:r w:rsidR="0035093B">
        <w:t xml:space="preserve">He added that a Business Case had been carried out to justify both the procurement route which had been followed and also the piece of art which had been chosen. </w:t>
      </w:r>
      <w:r w:rsidR="0081682C">
        <w:t xml:space="preserve"> </w:t>
      </w:r>
      <w:r w:rsidR="0035093B">
        <w:t>In relation to documenting the process further he indicated that if a similar situation was to arise in the fu</w:t>
      </w:r>
      <w:r w:rsidR="00A40F3F">
        <w:t xml:space="preserve">ture </w:t>
      </w:r>
      <w:r w:rsidR="00B7561B">
        <w:t>the Council would give consideration to how it could further document the decision</w:t>
      </w:r>
      <w:r w:rsidR="0081682C">
        <w:t>-</w:t>
      </w:r>
      <w:r w:rsidR="00B7561B">
        <w:t>making process</w:t>
      </w:r>
      <w:r w:rsidR="0035093B">
        <w:t>.</w:t>
      </w:r>
    </w:p>
    <w:p w14:paraId="2FE7AB6C" w14:textId="77777777" w:rsidR="00154614" w:rsidRDefault="00154614" w:rsidP="00FA0706"/>
    <w:p w14:paraId="7D7B2510" w14:textId="193E9DF0" w:rsidR="00154614" w:rsidRDefault="00154614" w:rsidP="00FA0706">
      <w:r>
        <w:t xml:space="preserve">At this stage Councillor McKee indicated that he still felt uncomfortable with </w:t>
      </w:r>
      <w:r w:rsidR="00A40F3F">
        <w:t xml:space="preserve">the </w:t>
      </w:r>
      <w:r>
        <w:t>management response to the Energy Costs matter.</w:t>
      </w:r>
      <w:r w:rsidR="00581B9D">
        <w:t xml:space="preserve"> </w:t>
      </w:r>
      <w:r w:rsidR="0081682C">
        <w:t xml:space="preserve"> </w:t>
      </w:r>
      <w:r w:rsidR="00581B9D">
        <w:t xml:space="preserve">He acknowledged that officers were doing the best they could with the information they had in the absence of those who had been present when the initial contract had been drawn up. </w:t>
      </w:r>
      <w:r w:rsidR="0081682C">
        <w:t xml:space="preserve"> </w:t>
      </w:r>
      <w:r w:rsidR="00581B9D">
        <w:t xml:space="preserve">A Priority 1 recommendation was a very serious matter and as such he felt the </w:t>
      </w:r>
      <w:r w:rsidR="00A40F3F">
        <w:t>m</w:t>
      </w:r>
      <w:r w:rsidR="00581B9D">
        <w:t>anagement</w:t>
      </w:r>
      <w:r w:rsidR="0081682C">
        <w:t>’</w:t>
      </w:r>
      <w:r w:rsidR="00581B9D">
        <w:t xml:space="preserve">s response could have been worded more strongly however he recognised that professional officers believed that response was appropriate. </w:t>
      </w:r>
      <w:r w:rsidR="0081682C">
        <w:t xml:space="preserve"> </w:t>
      </w:r>
      <w:r w:rsidR="00581B9D">
        <w:t xml:space="preserve">He asked to be recorded as </w:t>
      </w:r>
      <w:r w:rsidR="00A40F3F">
        <w:t xml:space="preserve">being </w:t>
      </w:r>
      <w:r w:rsidR="00581B9D">
        <w:t xml:space="preserve">against the </w:t>
      </w:r>
      <w:r w:rsidR="00A40F3F">
        <w:t>m</w:t>
      </w:r>
      <w:r w:rsidR="00581B9D">
        <w:t>anagement response in respect of the Priority 1 finding.</w:t>
      </w:r>
    </w:p>
    <w:p w14:paraId="21C6072B" w14:textId="77777777" w:rsidR="00581B9D" w:rsidRDefault="00581B9D" w:rsidP="00FA0706"/>
    <w:p w14:paraId="3B5727AA" w14:textId="0F69771A" w:rsidR="00581B9D" w:rsidRDefault="00581B9D" w:rsidP="00FA0706">
      <w:r>
        <w:t xml:space="preserve">At this stage the Chairman reminded </w:t>
      </w:r>
      <w:r w:rsidR="00A40F3F">
        <w:t>Councillor McKee</w:t>
      </w:r>
      <w:r>
        <w:t xml:space="preserve"> that the matter had been presented to members for noting. </w:t>
      </w:r>
    </w:p>
    <w:p w14:paraId="2ACF84E8" w14:textId="77777777" w:rsidR="00581B9D" w:rsidRDefault="00581B9D" w:rsidP="00FA0706"/>
    <w:p w14:paraId="55CDB3A1" w14:textId="123DBA2F" w:rsidR="00581B9D" w:rsidRDefault="00581B9D" w:rsidP="00FA0706">
      <w:r>
        <w:t xml:space="preserve">Mr Cummings stated that he believed the </w:t>
      </w:r>
      <w:r w:rsidR="00A40F3F">
        <w:t>m</w:t>
      </w:r>
      <w:r>
        <w:t xml:space="preserve">anagement </w:t>
      </w:r>
      <w:r w:rsidR="00A40F3F">
        <w:t>r</w:t>
      </w:r>
      <w:r>
        <w:t>esponse was very balanced</w:t>
      </w:r>
      <w:r w:rsidR="00E31D5E">
        <w:t xml:space="preserve"> and on reading it he could not identify anything which had been done wrongly. </w:t>
      </w:r>
      <w:r w:rsidR="0081682C">
        <w:t xml:space="preserve"> </w:t>
      </w:r>
      <w:r w:rsidR="00E31D5E">
        <w:t xml:space="preserve">He also believed that the NIAO response was equally balanced and added that if a similar situation were to arise in the future there may be a different way to deal with it. Continuing he noted that Council officers were very clearly stating that they had found no error </w:t>
      </w:r>
      <w:r w:rsidR="00330BED">
        <w:t>and as such they felt the Council had obtained value for money.</w:t>
      </w:r>
    </w:p>
    <w:p w14:paraId="6AC79F89" w14:textId="77777777" w:rsidR="00330BED" w:rsidRDefault="00330BED" w:rsidP="00FA0706"/>
    <w:p w14:paraId="4610A0A8" w14:textId="11CBCF90" w:rsidR="00330BED" w:rsidRDefault="00330BED" w:rsidP="00FA0706">
      <w:r>
        <w:t xml:space="preserve">Councillor Wray expressed the view that it was a disagreement around the practice adding that he too agreed that the </w:t>
      </w:r>
      <w:r w:rsidR="00A40F3F">
        <w:t>Council’s m</w:t>
      </w:r>
      <w:r>
        <w:t xml:space="preserve">anagement </w:t>
      </w:r>
      <w:r w:rsidR="00A40F3F">
        <w:t>r</w:t>
      </w:r>
      <w:r>
        <w:t xml:space="preserve">esponse and </w:t>
      </w:r>
      <w:r w:rsidR="00A40F3F">
        <w:t xml:space="preserve">the </w:t>
      </w:r>
      <w:r>
        <w:t xml:space="preserve">NIAO response were both balanced.  In essence he believed that disagreement lay with whether it had been good or bad practice and as such he did not believe that anyone should be blamed. Continuing he stated that he also felt uncomfortable when reading the recommendation which had been made in comparison to the </w:t>
      </w:r>
      <w:r w:rsidR="00A40F3F">
        <w:t>m</w:t>
      </w:r>
      <w:r>
        <w:t xml:space="preserve">anagement response which stated that it would take that into consideration. </w:t>
      </w:r>
      <w:r w:rsidR="0081682C">
        <w:t xml:space="preserve"> </w:t>
      </w:r>
      <w:r>
        <w:t>However</w:t>
      </w:r>
      <w:r w:rsidR="0081682C">
        <w:t>,</w:t>
      </w:r>
      <w:r>
        <w:t xml:space="preserve"> if a situation </w:t>
      </w:r>
      <w:r w:rsidR="00A40F3F">
        <w:t xml:space="preserve">of that nature </w:t>
      </w:r>
      <w:r>
        <w:t xml:space="preserve">was to arise again and the Council believed that it would be advantageous for it to go another way that would make him uncomfortable. </w:t>
      </w:r>
      <w:r w:rsidR="0081682C">
        <w:t xml:space="preserve"> </w:t>
      </w:r>
      <w:r>
        <w:t xml:space="preserve">He </w:t>
      </w:r>
      <w:r>
        <w:lastRenderedPageBreak/>
        <w:t xml:space="preserve">asked that if a situation was to arise again for a different contract would </w:t>
      </w:r>
      <w:r w:rsidR="00632782">
        <w:t xml:space="preserve">the Council be over the detail of that or because it would be part of the contract agreement members may not actually be made aware. </w:t>
      </w:r>
    </w:p>
    <w:p w14:paraId="579D4B10" w14:textId="77777777" w:rsidR="00233069" w:rsidRDefault="00233069" w:rsidP="00FA0706"/>
    <w:p w14:paraId="168074F5" w14:textId="52E69397" w:rsidR="00233069" w:rsidRDefault="00233069" w:rsidP="00FA0706">
      <w:r>
        <w:t xml:space="preserve">In response the Director referred to the extraction of the 2012 minutes </w:t>
      </w:r>
      <w:r w:rsidR="00A40F3F">
        <w:t xml:space="preserve">noting </w:t>
      </w:r>
      <w:r>
        <w:t xml:space="preserve">there was a section which did show the </w:t>
      </w:r>
      <w:r w:rsidR="000420DE">
        <w:t xml:space="preserve">key assumptions associated with the contract which was put into place at that stage. </w:t>
      </w:r>
      <w:r w:rsidR="00715A7C">
        <w:t>Missing from that however were the implications of that but that would not have been known at that stage. He suggested that the learning from this was that Council going forward would want to ask more questions around this and officers would take that on board. The Director added that the particulars of this situation w</w:t>
      </w:r>
      <w:r w:rsidR="00A40F3F">
        <w:t>ere</w:t>
      </w:r>
      <w:r w:rsidR="00715A7C">
        <w:t xml:space="preserve"> that th</w:t>
      </w:r>
      <w:r w:rsidR="00A40F3F">
        <w:t>e</w:t>
      </w:r>
      <w:r w:rsidR="00715A7C">
        <w:t xml:space="preserve"> facility at that time was very unique in a GB context and that was part of the rationale behind the steps which had been taken.</w:t>
      </w:r>
    </w:p>
    <w:p w14:paraId="616F57C8" w14:textId="392B0AF2" w:rsidR="00CA048D" w:rsidRDefault="00CA048D" w:rsidP="00FA0706"/>
    <w:p w14:paraId="71E7EE26" w14:textId="24A0D1AF" w:rsidR="00CA048D" w:rsidRDefault="00CA048D" w:rsidP="00CA048D">
      <w:pPr>
        <w:rPr>
          <w:b/>
        </w:rPr>
      </w:pPr>
      <w:r>
        <w:rPr>
          <w:b/>
        </w:rPr>
        <w:t xml:space="preserve">AGREED TO RECOMMEND, on the proposal of </w:t>
      </w:r>
      <w:r w:rsidR="00715A7C">
        <w:rPr>
          <w:b/>
        </w:rPr>
        <w:t>Councillor McCollum</w:t>
      </w:r>
      <w:r>
        <w:rPr>
          <w:b/>
        </w:rPr>
        <w:t xml:space="preserve">, seconded by </w:t>
      </w:r>
      <w:r w:rsidR="00715A7C">
        <w:rPr>
          <w:b/>
        </w:rPr>
        <w:t>Councillor Wray</w:t>
      </w:r>
      <w:r>
        <w:rPr>
          <w:b/>
        </w:rPr>
        <w:t xml:space="preserve">, that the recommendation be adopted. </w:t>
      </w:r>
    </w:p>
    <w:p w14:paraId="1FB6D0EA" w14:textId="77777777" w:rsidR="00CA048D" w:rsidRDefault="00CA048D" w:rsidP="0039767B">
      <w:pPr>
        <w:rPr>
          <w:rFonts w:ascii="Arial Bold" w:hAnsi="Arial Bold"/>
          <w:b/>
          <w:caps/>
          <w:sz w:val="28"/>
          <w:szCs w:val="28"/>
          <w:u w:val="single"/>
        </w:rPr>
      </w:pPr>
    </w:p>
    <w:p w14:paraId="73C5DE74" w14:textId="6D99EC30" w:rsidR="00CA048D" w:rsidRDefault="00CA048D" w:rsidP="00BF4166">
      <w:pPr>
        <w:pStyle w:val="Heading1"/>
      </w:pPr>
      <w:r>
        <w:t>6.</w:t>
      </w:r>
      <w:r>
        <w:tab/>
      </w:r>
      <w:r w:rsidRPr="00BF4166">
        <w:rPr>
          <w:u w:val="single"/>
        </w:rPr>
        <w:t>ANY OTHER NOTIFIED BUSINESS</w:t>
      </w:r>
    </w:p>
    <w:p w14:paraId="310935AD" w14:textId="77777777" w:rsidR="00CA048D" w:rsidRPr="00CA048D" w:rsidRDefault="00CA048D" w:rsidP="0039767B">
      <w:pPr>
        <w:rPr>
          <w:rFonts w:ascii="Arial Bold" w:hAnsi="Arial Bold"/>
          <w:b/>
          <w:caps/>
          <w:sz w:val="28"/>
          <w:szCs w:val="28"/>
          <w:u w:val="single"/>
        </w:rPr>
      </w:pPr>
    </w:p>
    <w:p w14:paraId="218E0C01" w14:textId="48FF932A" w:rsidR="00CA048D" w:rsidRDefault="005918FC" w:rsidP="0039767B">
      <w:pPr>
        <w:rPr>
          <w:rFonts w:cs="Arial"/>
          <w:bCs/>
        </w:rPr>
      </w:pPr>
      <w:r>
        <w:rPr>
          <w:rFonts w:cs="Arial"/>
          <w:bCs/>
          <w:caps/>
        </w:rPr>
        <w:t>T</w:t>
      </w:r>
      <w:r>
        <w:rPr>
          <w:rFonts w:cs="Arial"/>
          <w:bCs/>
        </w:rPr>
        <w:t>he Chairman advised that there were no Items of Any Other Notified Business.</w:t>
      </w:r>
    </w:p>
    <w:p w14:paraId="74F6B549" w14:textId="77777777" w:rsidR="005918FC" w:rsidRDefault="005918FC" w:rsidP="0039767B">
      <w:pPr>
        <w:rPr>
          <w:rFonts w:cs="Arial"/>
          <w:bCs/>
        </w:rPr>
      </w:pPr>
    </w:p>
    <w:p w14:paraId="0542D2C9" w14:textId="3FAA57C1" w:rsidR="005918FC" w:rsidRDefault="005918FC" w:rsidP="0039767B">
      <w:pPr>
        <w:rPr>
          <w:rFonts w:cs="Arial"/>
          <w:b/>
        </w:rPr>
      </w:pPr>
      <w:r>
        <w:rPr>
          <w:rFonts w:cs="Arial"/>
          <w:b/>
        </w:rPr>
        <w:t>NOTED.</w:t>
      </w:r>
    </w:p>
    <w:p w14:paraId="35FB8C9E" w14:textId="77777777" w:rsidR="00871470" w:rsidRDefault="00871470" w:rsidP="0039767B">
      <w:pPr>
        <w:rPr>
          <w:rFonts w:cs="Arial"/>
          <w:b/>
          <w:sz w:val="28"/>
          <w:szCs w:val="28"/>
          <w:u w:val="single"/>
        </w:rPr>
      </w:pPr>
    </w:p>
    <w:p w14:paraId="05177912" w14:textId="4F922E00" w:rsidR="005918FC" w:rsidRDefault="005918FC" w:rsidP="0039767B">
      <w:pPr>
        <w:rPr>
          <w:rFonts w:cs="Arial"/>
          <w:b/>
          <w:sz w:val="28"/>
          <w:szCs w:val="28"/>
          <w:u w:val="single"/>
        </w:rPr>
      </w:pPr>
      <w:r>
        <w:rPr>
          <w:rFonts w:cs="Arial"/>
          <w:b/>
          <w:sz w:val="28"/>
          <w:szCs w:val="28"/>
          <w:u w:val="single"/>
        </w:rPr>
        <w:t>CLOSING REMARKS</w:t>
      </w:r>
    </w:p>
    <w:p w14:paraId="6B33FFCF" w14:textId="77777777" w:rsidR="005918FC" w:rsidRDefault="005918FC" w:rsidP="0039767B">
      <w:pPr>
        <w:rPr>
          <w:rFonts w:cs="Arial"/>
          <w:b/>
          <w:sz w:val="28"/>
          <w:szCs w:val="28"/>
          <w:u w:val="single"/>
        </w:rPr>
      </w:pPr>
    </w:p>
    <w:p w14:paraId="50EEA02F" w14:textId="72B8DE3F" w:rsidR="005918FC" w:rsidRDefault="005918FC" w:rsidP="0039767B">
      <w:pPr>
        <w:rPr>
          <w:rFonts w:cs="Arial"/>
          <w:bCs/>
        </w:rPr>
      </w:pPr>
      <w:r>
        <w:rPr>
          <w:rFonts w:cs="Arial"/>
          <w:bCs/>
        </w:rPr>
        <w:t xml:space="preserve">At this stage Mr O’Neill advised that the </w:t>
      </w:r>
      <w:r w:rsidR="004B1119">
        <w:rPr>
          <w:rFonts w:cs="Arial"/>
          <w:bCs/>
        </w:rPr>
        <w:t>NIAO</w:t>
      </w:r>
      <w:r>
        <w:rPr>
          <w:rFonts w:cs="Arial"/>
          <w:bCs/>
        </w:rPr>
        <w:t xml:space="preserve"> would proceed to issue a final Report to those Charged with Governance as well as issue the Annual Audit Letter. He added that the Annua</w:t>
      </w:r>
      <w:r w:rsidR="004B1119">
        <w:rPr>
          <w:rFonts w:cs="Arial"/>
          <w:bCs/>
        </w:rPr>
        <w:t>l</w:t>
      </w:r>
      <w:r>
        <w:rPr>
          <w:rFonts w:cs="Arial"/>
          <w:bCs/>
        </w:rPr>
        <w:t xml:space="preserve"> Audit Letter would be published on both the Council’s website and the NIAO website reminding members that reference would be made to the </w:t>
      </w:r>
      <w:r w:rsidR="00542DEC">
        <w:rPr>
          <w:rFonts w:cs="Arial"/>
          <w:bCs/>
        </w:rPr>
        <w:t xml:space="preserve">Priority 1 Finding relating to </w:t>
      </w:r>
      <w:r w:rsidR="00542DEC" w:rsidRPr="00542DEC">
        <w:rPr>
          <w:rFonts w:cs="Arial"/>
          <w:bCs/>
        </w:rPr>
        <w:t>Energy Costs pertaining to the Serco contrac</w:t>
      </w:r>
      <w:r w:rsidR="00542DEC">
        <w:rPr>
          <w:rFonts w:cs="Arial"/>
          <w:bCs/>
        </w:rPr>
        <w:t xml:space="preserve">t. </w:t>
      </w:r>
      <w:r w:rsidR="004B1119">
        <w:rPr>
          <w:rFonts w:cs="Arial"/>
          <w:bCs/>
        </w:rPr>
        <w:t xml:space="preserve">At </w:t>
      </w:r>
      <w:r w:rsidR="0081682C">
        <w:rPr>
          <w:rFonts w:cs="Arial"/>
          <w:bCs/>
        </w:rPr>
        <w:t>t</w:t>
      </w:r>
      <w:r w:rsidR="004B1119">
        <w:rPr>
          <w:rFonts w:cs="Arial"/>
          <w:bCs/>
        </w:rPr>
        <w:t>his stage m</w:t>
      </w:r>
      <w:r w:rsidR="00542DEC">
        <w:rPr>
          <w:rFonts w:cs="Arial"/>
          <w:bCs/>
        </w:rPr>
        <w:t xml:space="preserve">embers were </w:t>
      </w:r>
      <w:r w:rsidR="004B1119">
        <w:rPr>
          <w:rFonts w:cs="Arial"/>
          <w:bCs/>
        </w:rPr>
        <w:t xml:space="preserve">also </w:t>
      </w:r>
      <w:r w:rsidR="00542DEC">
        <w:rPr>
          <w:rFonts w:cs="Arial"/>
          <w:bCs/>
        </w:rPr>
        <w:t xml:space="preserve">reminded that the </w:t>
      </w:r>
      <w:r w:rsidR="00542DEC" w:rsidRPr="00542DEC">
        <w:rPr>
          <w:rFonts w:cs="Arial"/>
          <w:bCs/>
        </w:rPr>
        <w:t xml:space="preserve">Local Government Auditor </w:t>
      </w:r>
      <w:r w:rsidR="00542DEC">
        <w:rPr>
          <w:rFonts w:cs="Arial"/>
          <w:bCs/>
        </w:rPr>
        <w:t>would be</w:t>
      </w:r>
      <w:r w:rsidR="00542DEC" w:rsidRPr="00542DEC">
        <w:rPr>
          <w:rFonts w:cs="Arial"/>
          <w:bCs/>
        </w:rPr>
        <w:t xml:space="preserve"> report</w:t>
      </w:r>
      <w:r w:rsidR="00542DEC">
        <w:rPr>
          <w:rFonts w:cs="Arial"/>
          <w:bCs/>
        </w:rPr>
        <w:t>ing</w:t>
      </w:r>
      <w:r w:rsidR="00542DEC" w:rsidRPr="00542DEC">
        <w:rPr>
          <w:rFonts w:cs="Arial"/>
          <w:bCs/>
        </w:rPr>
        <w:t xml:space="preserve"> on the 2023-24 financial statements with an unqualified audit opinion</w:t>
      </w:r>
      <w:r w:rsidR="00542DEC">
        <w:rPr>
          <w:rFonts w:cs="Arial"/>
          <w:bCs/>
        </w:rPr>
        <w:t>.</w:t>
      </w:r>
    </w:p>
    <w:p w14:paraId="7DF8F51F" w14:textId="77777777" w:rsidR="00542DEC" w:rsidRDefault="00542DEC" w:rsidP="0039767B">
      <w:pPr>
        <w:rPr>
          <w:rFonts w:cs="Arial"/>
          <w:bCs/>
        </w:rPr>
      </w:pPr>
    </w:p>
    <w:p w14:paraId="0D1A4F1B" w14:textId="35CA17F5" w:rsidR="00542DEC" w:rsidRPr="00542DEC" w:rsidRDefault="00542DEC" w:rsidP="0039767B">
      <w:pPr>
        <w:rPr>
          <w:rFonts w:cs="Arial"/>
          <w:b/>
        </w:rPr>
      </w:pPr>
      <w:r>
        <w:rPr>
          <w:rFonts w:cs="Arial"/>
          <w:b/>
        </w:rPr>
        <w:t xml:space="preserve">NOTED. </w:t>
      </w:r>
    </w:p>
    <w:p w14:paraId="12C194DC" w14:textId="77777777" w:rsidR="00542DEC" w:rsidRPr="005918FC" w:rsidRDefault="00542DEC" w:rsidP="0039767B">
      <w:pPr>
        <w:rPr>
          <w:rFonts w:cs="Arial"/>
          <w:bCs/>
        </w:rPr>
      </w:pPr>
    </w:p>
    <w:p w14:paraId="1C641341" w14:textId="77777777" w:rsidR="0039767B" w:rsidRPr="00681993" w:rsidRDefault="0039767B" w:rsidP="0039767B">
      <w:pPr>
        <w:rPr>
          <w:rFonts w:ascii="Arial Bold" w:hAnsi="Arial Bold"/>
          <w:b/>
          <w:caps/>
          <w:sz w:val="28"/>
          <w:szCs w:val="28"/>
          <w:u w:val="single"/>
        </w:rPr>
      </w:pPr>
      <w:r w:rsidRPr="00681993">
        <w:rPr>
          <w:rFonts w:ascii="Arial Bold" w:hAnsi="Arial Bold"/>
          <w:b/>
          <w:caps/>
          <w:sz w:val="28"/>
          <w:szCs w:val="28"/>
          <w:u w:val="single"/>
        </w:rPr>
        <w:t xml:space="preserve">Termination of meeting </w:t>
      </w:r>
    </w:p>
    <w:p w14:paraId="464376E3" w14:textId="77777777" w:rsidR="0039767B" w:rsidRDefault="0039767B" w:rsidP="0039767B">
      <w:pPr>
        <w:rPr>
          <w:b/>
        </w:rPr>
      </w:pPr>
    </w:p>
    <w:p w14:paraId="2534BDE1" w14:textId="79323323" w:rsidR="0039767B" w:rsidRPr="00681993" w:rsidRDefault="0039767B" w:rsidP="0039767B">
      <w:r w:rsidRPr="00681993">
        <w:t>The meeting terminated at</w:t>
      </w:r>
      <w:r>
        <w:t xml:space="preserve"> </w:t>
      </w:r>
      <w:r w:rsidR="005918FC">
        <w:t>8.00</w:t>
      </w:r>
      <w:r>
        <w:t>pm.</w:t>
      </w:r>
    </w:p>
    <w:p w14:paraId="73652B4A" w14:textId="77777777" w:rsidR="0039767B" w:rsidRDefault="0039767B" w:rsidP="0039767B"/>
    <w:bookmarkEnd w:id="0"/>
    <w:p w14:paraId="0B3AABD3" w14:textId="77777777" w:rsidR="0039767B" w:rsidRDefault="0039767B" w:rsidP="0039767B"/>
    <w:p w14:paraId="446FC0BB" w14:textId="77777777" w:rsidR="006050D0" w:rsidRDefault="006050D0"/>
    <w:sectPr w:rsidR="006050D0" w:rsidSect="0039767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EC73" w14:textId="77777777" w:rsidR="0039767B" w:rsidRDefault="0039767B" w:rsidP="0039767B">
      <w:r>
        <w:separator/>
      </w:r>
    </w:p>
  </w:endnote>
  <w:endnote w:type="continuationSeparator" w:id="0">
    <w:p w14:paraId="317DA352" w14:textId="77777777" w:rsidR="0039767B" w:rsidRDefault="0039767B" w:rsidP="0039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vice Font 10cpi">
    <w:panose1 w:val="00000000000000000000"/>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786D" w14:textId="77777777" w:rsidR="00BF4166" w:rsidRDefault="00BF41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995311"/>
      <w:docPartObj>
        <w:docPartGallery w:val="Page Numbers (Bottom of Page)"/>
        <w:docPartUnique/>
      </w:docPartObj>
    </w:sdtPr>
    <w:sdtEndPr>
      <w:rPr>
        <w:noProof/>
      </w:rPr>
    </w:sdtEndPr>
    <w:sdtContent>
      <w:p w14:paraId="07EA8FEE" w14:textId="77777777" w:rsidR="00EB2020" w:rsidRDefault="00EB2020">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4CA0610C" w14:textId="77777777" w:rsidR="00EB2020" w:rsidRDefault="00EB2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D2F8" w14:textId="77777777" w:rsidR="00EB2020" w:rsidRDefault="00EB2020">
    <w:pPr>
      <w:pStyle w:val="Footer"/>
      <w:jc w:val="center"/>
    </w:pPr>
  </w:p>
  <w:p w14:paraId="4A395414" w14:textId="77777777" w:rsidR="00EB2020" w:rsidRDefault="00EB2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008C7" w14:textId="77777777" w:rsidR="0039767B" w:rsidRDefault="0039767B" w:rsidP="0039767B">
      <w:r>
        <w:separator/>
      </w:r>
    </w:p>
  </w:footnote>
  <w:footnote w:type="continuationSeparator" w:id="0">
    <w:p w14:paraId="211A9B37" w14:textId="77777777" w:rsidR="0039767B" w:rsidRDefault="0039767B" w:rsidP="00397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0EAB" w14:textId="77777777" w:rsidR="00BF4166" w:rsidRDefault="00BF4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BE209" w14:textId="6F650271" w:rsidR="00EB2020" w:rsidRDefault="00EB2020">
    <w:pPr>
      <w:pStyle w:val="Header"/>
    </w:pPr>
    <w:r>
      <w:tab/>
    </w:r>
    <w:r>
      <w:tab/>
      <w:t>AC.</w:t>
    </w:r>
    <w:r w:rsidR="0039767B">
      <w:t>23</w:t>
    </w:r>
    <w:r>
      <w:t>.</w:t>
    </w:r>
    <w:r w:rsidR="0039767B">
      <w:t>10</w:t>
    </w:r>
    <w:r>
      <w:t>.2024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37CF" w14:textId="6B6F8DA4" w:rsidR="00EB2020" w:rsidRPr="00621DD5" w:rsidRDefault="00EB2020" w:rsidP="00A05BBB">
    <w:pPr>
      <w:pStyle w:val="Header"/>
      <w:ind w:left="2880" w:firstLine="4513"/>
      <w:jc w:val="right"/>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DB3"/>
    <w:multiLevelType w:val="multilevel"/>
    <w:tmpl w:val="BCFE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360692"/>
    <w:multiLevelType w:val="hybridMultilevel"/>
    <w:tmpl w:val="99B8D066"/>
    <w:lvl w:ilvl="0" w:tplc="90CC7914">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394337"/>
    <w:multiLevelType w:val="hybridMultilevel"/>
    <w:tmpl w:val="ED128FF2"/>
    <w:lvl w:ilvl="0" w:tplc="CBF2A784">
      <w:start w:val="2"/>
      <w:numFmt w:val="lowerRoman"/>
      <w:lvlText w:val="(%1)"/>
      <w:lvlJc w:val="left"/>
      <w:pPr>
        <w:ind w:left="1080" w:hanging="720"/>
      </w:pPr>
      <w:rPr>
        <w:rFonts w:cs="Arial"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F15315"/>
    <w:multiLevelType w:val="multilevel"/>
    <w:tmpl w:val="89F8901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B3C15"/>
    <w:multiLevelType w:val="hybridMultilevel"/>
    <w:tmpl w:val="81725C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4D320B"/>
    <w:multiLevelType w:val="hybridMultilevel"/>
    <w:tmpl w:val="2ACAE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Device Font 10cpi" w:hAnsi="Device Font 10cp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Device Font 10cpi" w:hAnsi="Device Font 10cp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Device Font 10cpi" w:hAnsi="Device Font 10cpi"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640312"/>
    <w:multiLevelType w:val="hybridMultilevel"/>
    <w:tmpl w:val="EDEC261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6B2CB1"/>
    <w:multiLevelType w:val="hybridMultilevel"/>
    <w:tmpl w:val="941A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325202"/>
    <w:multiLevelType w:val="hybridMultilevel"/>
    <w:tmpl w:val="CFEC1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Device Font 10cpi" w:hAnsi="Device Font 10cp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Device Font 10cpi" w:hAnsi="Device Font 10cp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Device Font 10cpi" w:hAnsi="Device Font 10cpi"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C77476"/>
    <w:multiLevelType w:val="hybridMultilevel"/>
    <w:tmpl w:val="5E78A9FC"/>
    <w:lvl w:ilvl="0" w:tplc="98CA2C4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366893"/>
    <w:multiLevelType w:val="multilevel"/>
    <w:tmpl w:val="E06E7C5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Arial" w:eastAsia="Times New Roman" w:hAnsi="Arial" w:cs="Arial" w:hint="default"/>
      </w:rPr>
    </w:lvl>
    <w:lvl w:ilvl="2">
      <w:start w:val="3"/>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2252ED"/>
    <w:multiLevelType w:val="hybridMultilevel"/>
    <w:tmpl w:val="2BF6C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325C9D"/>
    <w:multiLevelType w:val="hybridMultilevel"/>
    <w:tmpl w:val="5610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FC54EC"/>
    <w:multiLevelType w:val="multilevel"/>
    <w:tmpl w:val="328C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807C5F"/>
    <w:multiLevelType w:val="hybridMultilevel"/>
    <w:tmpl w:val="285E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8914ED"/>
    <w:multiLevelType w:val="hybridMultilevel"/>
    <w:tmpl w:val="FFDE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7852AB"/>
    <w:multiLevelType w:val="hybridMultilevel"/>
    <w:tmpl w:val="888CED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880753690">
    <w:abstractNumId w:val="9"/>
  </w:num>
  <w:num w:numId="2" w16cid:durableId="1524051165">
    <w:abstractNumId w:val="1"/>
  </w:num>
  <w:num w:numId="3" w16cid:durableId="79303703">
    <w:abstractNumId w:val="2"/>
  </w:num>
  <w:num w:numId="4" w16cid:durableId="1827934849">
    <w:abstractNumId w:val="5"/>
  </w:num>
  <w:num w:numId="5" w16cid:durableId="697972535">
    <w:abstractNumId w:val="8"/>
  </w:num>
  <w:num w:numId="6" w16cid:durableId="1272320310">
    <w:abstractNumId w:val="15"/>
  </w:num>
  <w:num w:numId="7" w16cid:durableId="299922914">
    <w:abstractNumId w:val="0"/>
  </w:num>
  <w:num w:numId="8" w16cid:durableId="42681850">
    <w:abstractNumId w:val="10"/>
  </w:num>
  <w:num w:numId="9" w16cid:durableId="269777203">
    <w:abstractNumId w:val="13"/>
  </w:num>
  <w:num w:numId="10" w16cid:durableId="1970277819">
    <w:abstractNumId w:val="16"/>
  </w:num>
  <w:num w:numId="11" w16cid:durableId="2104496301">
    <w:abstractNumId w:val="14"/>
  </w:num>
  <w:num w:numId="12" w16cid:durableId="1303847826">
    <w:abstractNumId w:val="12"/>
  </w:num>
  <w:num w:numId="13" w16cid:durableId="1219822049">
    <w:abstractNumId w:val="7"/>
  </w:num>
  <w:num w:numId="14" w16cid:durableId="1892695108">
    <w:abstractNumId w:val="4"/>
  </w:num>
  <w:num w:numId="15" w16cid:durableId="1098058247">
    <w:abstractNumId w:val="11"/>
  </w:num>
  <w:num w:numId="16" w16cid:durableId="796486286">
    <w:abstractNumId w:val="3"/>
  </w:num>
  <w:num w:numId="17" w16cid:durableId="1179928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QHwOpujemGDy93gghBeXJslivlrxZjlVE6gfa/cyCDyY6HpujpoyLirI+M9fXAACVhTqX2MHlpDqQNWbZSb+A==" w:salt="UBfgG8MtFakxaA0OSgJ4nQ=="/>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Audi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1023 AC 23 October 2024"/>
    <w:docVar w:name="Trove_G_1_Withdraw" w:val="-1"/>
    <w:docVar w:name="Trove_H_Title_1" w:val="241023 AC 23 October 2024"/>
    <w:docVar w:name="Trove_H_Version_1" w:val=" "/>
  </w:docVars>
  <w:rsids>
    <w:rsidRoot w:val="0039767B"/>
    <w:rsid w:val="0000228A"/>
    <w:rsid w:val="00031D41"/>
    <w:rsid w:val="000420DE"/>
    <w:rsid w:val="00053102"/>
    <w:rsid w:val="00094796"/>
    <w:rsid w:val="000C0C9D"/>
    <w:rsid w:val="000F21FD"/>
    <w:rsid w:val="000F3E6D"/>
    <w:rsid w:val="001034C6"/>
    <w:rsid w:val="0010687F"/>
    <w:rsid w:val="00136A71"/>
    <w:rsid w:val="001409C1"/>
    <w:rsid w:val="00154614"/>
    <w:rsid w:val="001661C9"/>
    <w:rsid w:val="00196266"/>
    <w:rsid w:val="001B07D0"/>
    <w:rsid w:val="001B5FA2"/>
    <w:rsid w:val="001C5814"/>
    <w:rsid w:val="001D2532"/>
    <w:rsid w:val="001F068D"/>
    <w:rsid w:val="002229F6"/>
    <w:rsid w:val="00227C7A"/>
    <w:rsid w:val="00233069"/>
    <w:rsid w:val="00240C28"/>
    <w:rsid w:val="00283EBD"/>
    <w:rsid w:val="00291AF1"/>
    <w:rsid w:val="002A1E3F"/>
    <w:rsid w:val="002B3BED"/>
    <w:rsid w:val="002D2ED7"/>
    <w:rsid w:val="002D6DB9"/>
    <w:rsid w:val="002E4785"/>
    <w:rsid w:val="002F41C6"/>
    <w:rsid w:val="00323E8E"/>
    <w:rsid w:val="00330BED"/>
    <w:rsid w:val="00342D90"/>
    <w:rsid w:val="0035093B"/>
    <w:rsid w:val="003722F2"/>
    <w:rsid w:val="003918B8"/>
    <w:rsid w:val="0039767B"/>
    <w:rsid w:val="003A4FC6"/>
    <w:rsid w:val="003D2CB6"/>
    <w:rsid w:val="0040110E"/>
    <w:rsid w:val="004B1119"/>
    <w:rsid w:val="004B30A2"/>
    <w:rsid w:val="00505FEA"/>
    <w:rsid w:val="0054112D"/>
    <w:rsid w:val="00542DEC"/>
    <w:rsid w:val="00556282"/>
    <w:rsid w:val="005618D9"/>
    <w:rsid w:val="00581B9D"/>
    <w:rsid w:val="00585914"/>
    <w:rsid w:val="005918FC"/>
    <w:rsid w:val="005945CF"/>
    <w:rsid w:val="005B21B0"/>
    <w:rsid w:val="006050D0"/>
    <w:rsid w:val="006130A3"/>
    <w:rsid w:val="00624CC4"/>
    <w:rsid w:val="00630737"/>
    <w:rsid w:val="00632782"/>
    <w:rsid w:val="00690BB7"/>
    <w:rsid w:val="006B1331"/>
    <w:rsid w:val="00701D92"/>
    <w:rsid w:val="00715A7C"/>
    <w:rsid w:val="00730831"/>
    <w:rsid w:val="00747E3B"/>
    <w:rsid w:val="007C09D6"/>
    <w:rsid w:val="007C2296"/>
    <w:rsid w:val="007F2CAE"/>
    <w:rsid w:val="0081682C"/>
    <w:rsid w:val="00831AE8"/>
    <w:rsid w:val="008547EC"/>
    <w:rsid w:val="00864732"/>
    <w:rsid w:val="00871470"/>
    <w:rsid w:val="008A014E"/>
    <w:rsid w:val="008B7703"/>
    <w:rsid w:val="008C6786"/>
    <w:rsid w:val="008F0141"/>
    <w:rsid w:val="00904871"/>
    <w:rsid w:val="00922A9B"/>
    <w:rsid w:val="00943B2D"/>
    <w:rsid w:val="009D3D17"/>
    <w:rsid w:val="00A32CFD"/>
    <w:rsid w:val="00A40F3F"/>
    <w:rsid w:val="00A50D41"/>
    <w:rsid w:val="00A577D6"/>
    <w:rsid w:val="00A76DAA"/>
    <w:rsid w:val="00A860FC"/>
    <w:rsid w:val="00A90775"/>
    <w:rsid w:val="00AC4C89"/>
    <w:rsid w:val="00AC7989"/>
    <w:rsid w:val="00AE13D3"/>
    <w:rsid w:val="00AF50D0"/>
    <w:rsid w:val="00B23725"/>
    <w:rsid w:val="00B72B4F"/>
    <w:rsid w:val="00B7561B"/>
    <w:rsid w:val="00BC43CD"/>
    <w:rsid w:val="00BD0A4B"/>
    <w:rsid w:val="00BD4582"/>
    <w:rsid w:val="00BE1925"/>
    <w:rsid w:val="00BF4166"/>
    <w:rsid w:val="00C4093C"/>
    <w:rsid w:val="00C867D1"/>
    <w:rsid w:val="00CA048D"/>
    <w:rsid w:val="00CB4DCD"/>
    <w:rsid w:val="00D00CD1"/>
    <w:rsid w:val="00D1281B"/>
    <w:rsid w:val="00D25C92"/>
    <w:rsid w:val="00D333EF"/>
    <w:rsid w:val="00D34923"/>
    <w:rsid w:val="00D7283A"/>
    <w:rsid w:val="00DD2D17"/>
    <w:rsid w:val="00DE44DA"/>
    <w:rsid w:val="00DF47C0"/>
    <w:rsid w:val="00E24FB8"/>
    <w:rsid w:val="00E31D5E"/>
    <w:rsid w:val="00E430F4"/>
    <w:rsid w:val="00E65071"/>
    <w:rsid w:val="00EB2020"/>
    <w:rsid w:val="00EE7B6B"/>
    <w:rsid w:val="00EF1984"/>
    <w:rsid w:val="00F06FEF"/>
    <w:rsid w:val="00F115D5"/>
    <w:rsid w:val="00F26499"/>
    <w:rsid w:val="00F3182E"/>
    <w:rsid w:val="00F73D4D"/>
    <w:rsid w:val="00FA0706"/>
    <w:rsid w:val="00FA47AC"/>
    <w:rsid w:val="00FA67F0"/>
    <w:rsid w:val="00FA786C"/>
    <w:rsid w:val="00FB2C77"/>
    <w:rsid w:val="00FC3DD0"/>
    <w:rsid w:val="00FD65E6"/>
    <w:rsid w:val="00FD6957"/>
    <w:rsid w:val="00FE1DE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58AFEC6"/>
  <w15:chartTrackingRefBased/>
  <w15:docId w15:val="{F7DF503E-5A9B-414D-A0F6-14E5C7B9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9767B"/>
    <w:pPr>
      <w:suppressAutoHyphens/>
      <w:autoSpaceDN w:val="0"/>
      <w:spacing w:after="0" w:line="240" w:lineRule="auto"/>
      <w:textAlignment w:val="baseline"/>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AE13D3"/>
    <w:pPr>
      <w:keepNext/>
      <w:keepLines/>
      <w:outlineLvl w:val="0"/>
    </w:pPr>
    <w:rPr>
      <w:rFonts w:eastAsiaTheme="majorEastAsia" w:cstheme="majorBidi"/>
      <w:b/>
      <w:color w:val="000000" w:themeColor="text1"/>
      <w:sz w:val="28"/>
      <w:szCs w:val="40"/>
    </w:rPr>
  </w:style>
  <w:style w:type="paragraph" w:styleId="Heading2">
    <w:name w:val="heading 2"/>
    <w:basedOn w:val="Normal"/>
    <w:next w:val="Normal"/>
    <w:link w:val="Heading2Char"/>
    <w:uiPriority w:val="9"/>
    <w:unhideWhenUsed/>
    <w:qFormat/>
    <w:rsid w:val="003976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6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6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6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6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6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6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6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3D3"/>
    <w:rPr>
      <w:rFonts w:ascii="Arial" w:eastAsiaTheme="majorEastAsia" w:hAnsi="Arial" w:cstheme="majorBidi"/>
      <w:b/>
      <w:color w:val="000000" w:themeColor="text1"/>
      <w:kern w:val="0"/>
      <w:sz w:val="28"/>
      <w:szCs w:val="40"/>
      <w14:ligatures w14:val="none"/>
    </w:rPr>
  </w:style>
  <w:style w:type="character" w:customStyle="1" w:styleId="Heading2Char">
    <w:name w:val="Heading 2 Char"/>
    <w:basedOn w:val="DefaultParagraphFont"/>
    <w:link w:val="Heading2"/>
    <w:uiPriority w:val="9"/>
    <w:rsid w:val="003976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6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6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6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6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6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6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67B"/>
    <w:rPr>
      <w:rFonts w:eastAsiaTheme="majorEastAsia" w:cstheme="majorBidi"/>
      <w:color w:val="272727" w:themeColor="text1" w:themeTint="D8"/>
    </w:rPr>
  </w:style>
  <w:style w:type="paragraph" w:styleId="Title">
    <w:name w:val="Title"/>
    <w:basedOn w:val="Normal"/>
    <w:next w:val="Normal"/>
    <w:link w:val="TitleChar"/>
    <w:uiPriority w:val="10"/>
    <w:qFormat/>
    <w:rsid w:val="003976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6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6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6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67B"/>
    <w:pPr>
      <w:spacing w:before="160"/>
      <w:jc w:val="center"/>
    </w:pPr>
    <w:rPr>
      <w:i/>
      <w:iCs/>
      <w:color w:val="404040" w:themeColor="text1" w:themeTint="BF"/>
    </w:rPr>
  </w:style>
  <w:style w:type="character" w:customStyle="1" w:styleId="QuoteChar">
    <w:name w:val="Quote Char"/>
    <w:basedOn w:val="DefaultParagraphFont"/>
    <w:link w:val="Quote"/>
    <w:uiPriority w:val="29"/>
    <w:rsid w:val="0039767B"/>
    <w:rPr>
      <w:i/>
      <w:iCs/>
      <w:color w:val="404040" w:themeColor="text1" w:themeTint="BF"/>
    </w:rPr>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
    <w:basedOn w:val="Normal"/>
    <w:link w:val="ListParagraphChar"/>
    <w:uiPriority w:val="34"/>
    <w:qFormat/>
    <w:rsid w:val="0039767B"/>
    <w:pPr>
      <w:ind w:left="720"/>
      <w:contextualSpacing/>
    </w:pPr>
  </w:style>
  <w:style w:type="character" w:styleId="IntenseEmphasis">
    <w:name w:val="Intense Emphasis"/>
    <w:basedOn w:val="DefaultParagraphFont"/>
    <w:uiPriority w:val="21"/>
    <w:qFormat/>
    <w:rsid w:val="0039767B"/>
    <w:rPr>
      <w:i/>
      <w:iCs/>
      <w:color w:val="0F4761" w:themeColor="accent1" w:themeShade="BF"/>
    </w:rPr>
  </w:style>
  <w:style w:type="paragraph" w:styleId="IntenseQuote">
    <w:name w:val="Intense Quote"/>
    <w:basedOn w:val="Normal"/>
    <w:next w:val="Normal"/>
    <w:link w:val="IntenseQuoteChar"/>
    <w:uiPriority w:val="30"/>
    <w:qFormat/>
    <w:rsid w:val="003976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67B"/>
    <w:rPr>
      <w:i/>
      <w:iCs/>
      <w:color w:val="0F4761" w:themeColor="accent1" w:themeShade="BF"/>
    </w:rPr>
  </w:style>
  <w:style w:type="character" w:styleId="IntenseReference">
    <w:name w:val="Intense Reference"/>
    <w:basedOn w:val="DefaultParagraphFont"/>
    <w:uiPriority w:val="32"/>
    <w:qFormat/>
    <w:rsid w:val="0039767B"/>
    <w:rPr>
      <w:b/>
      <w:bCs/>
      <w:smallCaps/>
      <w:color w:val="0F4761" w:themeColor="accent1" w:themeShade="BF"/>
      <w:spacing w:val="5"/>
    </w:rPr>
  </w:style>
  <w:style w:type="table" w:styleId="TableGrid">
    <w:name w:val="Table Grid"/>
    <w:basedOn w:val="TableNormal"/>
    <w:uiPriority w:val="59"/>
    <w:rsid w:val="003976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67B"/>
    <w:pPr>
      <w:tabs>
        <w:tab w:val="center" w:pos="4513"/>
        <w:tab w:val="right" w:pos="9026"/>
      </w:tabs>
    </w:pPr>
  </w:style>
  <w:style w:type="character" w:customStyle="1" w:styleId="HeaderChar">
    <w:name w:val="Header Char"/>
    <w:basedOn w:val="DefaultParagraphFont"/>
    <w:link w:val="Header"/>
    <w:uiPriority w:val="99"/>
    <w:rsid w:val="0039767B"/>
    <w:rPr>
      <w:rFonts w:ascii="Arial" w:eastAsia="Times New Roman" w:hAnsi="Arial" w:cs="Times New Roman"/>
      <w:kern w:val="0"/>
      <w:sz w:val="24"/>
      <w:szCs w:val="24"/>
      <w14:ligatures w14:val="none"/>
    </w:rPr>
  </w:style>
  <w:style w:type="paragraph" w:styleId="Footer">
    <w:name w:val="footer"/>
    <w:basedOn w:val="Normal"/>
    <w:link w:val="FooterChar"/>
    <w:uiPriority w:val="99"/>
    <w:unhideWhenUsed/>
    <w:rsid w:val="0039767B"/>
    <w:pPr>
      <w:tabs>
        <w:tab w:val="center" w:pos="4513"/>
        <w:tab w:val="right" w:pos="9026"/>
      </w:tabs>
    </w:pPr>
  </w:style>
  <w:style w:type="character" w:customStyle="1" w:styleId="FooterChar">
    <w:name w:val="Footer Char"/>
    <w:basedOn w:val="DefaultParagraphFont"/>
    <w:link w:val="Footer"/>
    <w:uiPriority w:val="99"/>
    <w:rsid w:val="0039767B"/>
    <w:rPr>
      <w:rFonts w:ascii="Arial" w:eastAsia="Times New Roman" w:hAnsi="Arial" w:cs="Times New Roman"/>
      <w:kern w:val="0"/>
      <w:sz w:val="24"/>
      <w:szCs w:val="24"/>
      <w14:ligatures w14:val="none"/>
    </w:rPr>
  </w:style>
  <w:style w:type="paragraph" w:styleId="NoSpacing">
    <w:name w:val="No Spacing"/>
    <w:uiPriority w:val="1"/>
    <w:qFormat/>
    <w:rsid w:val="0039767B"/>
    <w:pPr>
      <w:suppressAutoHyphens/>
      <w:autoSpaceDN w:val="0"/>
      <w:spacing w:after="0" w:line="240" w:lineRule="auto"/>
      <w:textAlignment w:val="baseline"/>
    </w:pPr>
    <w:rPr>
      <w:rFonts w:ascii="Arial" w:eastAsia="Times New Roman" w:hAnsi="Arial" w:cs="Times New Roman"/>
      <w:kern w:val="0"/>
      <w:sz w:val="24"/>
      <w:szCs w:val="24"/>
      <w14:ligatures w14:val="none"/>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
    <w:basedOn w:val="DefaultParagraphFont"/>
    <w:link w:val="ListParagraph"/>
    <w:uiPriority w:val="34"/>
    <w:qFormat/>
    <w:locked/>
    <w:rsid w:val="0039767B"/>
  </w:style>
  <w:style w:type="paragraph" w:customStyle="1" w:styleId="Normal0">
    <w:name w:val="Normal_0"/>
    <w:qFormat/>
    <w:rsid w:val="0039767B"/>
    <w:pPr>
      <w:spacing w:after="0" w:line="240" w:lineRule="auto"/>
    </w:pPr>
    <w:rPr>
      <w:rFonts w:ascii="Arial" w:eastAsia="Times New Roman" w:hAnsi="Arial" w:cs="Times New Roman"/>
      <w:kern w:val="0"/>
      <w:sz w:val="20"/>
      <w:szCs w:val="20"/>
      <w:lang w:eastAsia="en-GB"/>
      <w14:ligatures w14:val="none"/>
    </w:rPr>
  </w:style>
  <w:style w:type="paragraph" w:customStyle="1" w:styleId="xxmsonormal">
    <w:name w:val="x_xmsonormal"/>
    <w:basedOn w:val="Normal"/>
    <w:rsid w:val="0039767B"/>
    <w:pPr>
      <w:suppressAutoHyphens w:val="0"/>
      <w:autoSpaceDN/>
      <w:textAlignment w:val="auto"/>
    </w:pPr>
    <w:rPr>
      <w:rFonts w:ascii="Calibri" w:eastAsiaTheme="minorHAnsi" w:hAnsi="Calibri" w:cs="Calibri"/>
      <w:sz w:val="22"/>
      <w:szCs w:val="22"/>
      <w:lang w:eastAsia="en-GB"/>
    </w:rPr>
  </w:style>
  <w:style w:type="table" w:customStyle="1" w:styleId="ListTable3-Accent42">
    <w:name w:val="List Table 3 - Accent 42"/>
    <w:basedOn w:val="TableNormal"/>
    <w:next w:val="ListTable3-Accent4"/>
    <w:uiPriority w:val="48"/>
    <w:rsid w:val="00CA048D"/>
    <w:pPr>
      <w:spacing w:after="0" w:line="240" w:lineRule="auto"/>
    </w:pPr>
    <w:tblPr>
      <w:tblStyleRowBandSize w:val="1"/>
      <w:tblStyleColBandSize w:val="1"/>
      <w:tblBorders>
        <w:top w:val="single" w:sz="4" w:space="0" w:color="0F9ED5"/>
        <w:left w:val="single" w:sz="4" w:space="0" w:color="0F9ED5"/>
        <w:bottom w:val="single" w:sz="4" w:space="0" w:color="0F9ED5"/>
        <w:right w:val="single" w:sz="4" w:space="0" w:color="0F9ED5"/>
      </w:tblBorders>
    </w:tblPr>
    <w:tblStylePr w:type="firstRow">
      <w:rPr>
        <w:b/>
        <w:bCs/>
        <w:color w:val="FFFFFF"/>
      </w:rPr>
      <w:tblPr/>
      <w:tcPr>
        <w:shd w:val="clear" w:color="auto" w:fill="0F9ED5"/>
      </w:tcPr>
    </w:tblStylePr>
    <w:tblStylePr w:type="lastRow">
      <w:rPr>
        <w:b/>
        <w:bCs/>
      </w:rPr>
      <w:tblPr/>
      <w:tcPr>
        <w:tcBorders>
          <w:top w:val="double" w:sz="4" w:space="0" w:color="0F9E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9ED5"/>
          <w:right w:val="single" w:sz="4" w:space="0" w:color="0F9ED5"/>
        </w:tcBorders>
      </w:tcPr>
    </w:tblStylePr>
    <w:tblStylePr w:type="band1Horz">
      <w:tblPr/>
      <w:tcPr>
        <w:tcBorders>
          <w:top w:val="single" w:sz="4" w:space="0" w:color="0F9ED5"/>
          <w:bottom w:val="single" w:sz="4" w:space="0" w:color="0F9E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left w:val="nil"/>
        </w:tcBorders>
      </w:tcPr>
    </w:tblStylePr>
    <w:tblStylePr w:type="swCell">
      <w:tblPr/>
      <w:tcPr>
        <w:tcBorders>
          <w:top w:val="double" w:sz="4" w:space="0" w:color="0F9ED5"/>
          <w:right w:val="nil"/>
        </w:tcBorders>
      </w:tcPr>
    </w:tblStylePr>
  </w:style>
  <w:style w:type="table" w:styleId="GridTable6Colorful-Accent1">
    <w:name w:val="Grid Table 6 Colorful Accent 1"/>
    <w:basedOn w:val="TableNormal"/>
    <w:uiPriority w:val="51"/>
    <w:rsid w:val="00CA048D"/>
    <w:pPr>
      <w:spacing w:after="0" w:line="240" w:lineRule="auto"/>
    </w:pPr>
    <w:rPr>
      <w:color w:val="0F4761" w:themeColor="accent1" w:themeShade="BF"/>
      <w:kern w:val="0"/>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Accent4">
    <w:name w:val="List Table 3 Accent 4"/>
    <w:basedOn w:val="TableNormal"/>
    <w:uiPriority w:val="48"/>
    <w:rsid w:val="00CA048D"/>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36DCFB8B68646A797F68516756A14" ma:contentTypeVersion="3" ma:contentTypeDescription="Create a new document." ma:contentTypeScope="" ma:versionID="4aba2d5856646e65f2124948943b1c69">
  <xsd:schema xmlns:xsd="http://www.w3.org/2001/XMLSchema" xmlns:xs="http://www.w3.org/2001/XMLSchema" xmlns:p="http://schemas.microsoft.com/office/2006/metadata/properties" xmlns:ns2="b271427b-a30d-4a71-a602-c4e933298bd7" targetNamespace="http://schemas.microsoft.com/office/2006/metadata/properties" ma:root="true" ma:fieldsID="d563c53e227095267001ff10c1f22cb9" ns2:_="">
    <xsd:import namespace="b271427b-a30d-4a71-a602-c4e933298bd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1427b-a30d-4a71-a602-c4e933298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69F0F-3398-40CE-B66B-3B651ECD48E2}">
  <ds:schemaRefs>
    <ds:schemaRef ds:uri="http://schemas.microsoft.com/sharepoint/v3/contenttype/forms"/>
  </ds:schemaRefs>
</ds:datastoreItem>
</file>

<file path=customXml/itemProps2.xml><?xml version="1.0" encoding="utf-8"?>
<ds:datastoreItem xmlns:ds="http://schemas.openxmlformats.org/officeDocument/2006/customXml" ds:itemID="{9116ADBE-B044-4D03-96A6-8D977CC087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1427b-a30d-4a71-a602-c4e933298b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9B582A-1427-4CF3-BF40-CC4C612292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17</Pages>
  <Words>6261</Words>
  <Characters>35694</Characters>
  <Application>Microsoft Office Word</Application>
  <DocSecurity>8</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Ards and North Down Borough Council</Company>
  <LinksUpToDate>false</LinksUpToDate>
  <CharactersWithSpaces>41872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241023 AC 23 October 2024</dc:title>
  <dc:subject/>
  <dc:creator>Foster, Paulene</dc:creator>
  <cp:keywords/>
  <dc:description/>
  <cp:lastModifiedBy>Cull, Joshua</cp:lastModifiedBy>
  <cp:revision>22</cp:revision>
  <dcterms:created xsi:type="dcterms:W3CDTF">2024-10-24T15:55:00Z</dcterms:created>
  <dcterms:modified xsi:type="dcterms:W3CDTF">2026-01-12T10:11:00Z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0x0101002EC36DCFB8B68646A797F68516756A14</vt:lpwstr>
  </property>
  <property fmtid="{D5CDD505-2E9C-101B-9397-08002B2CF9AE}" pid="3" name="Order">
    <vt:r8>100</vt:r8>
  </property>
</Properties>
</file>