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B014" w14:textId="77777777" w:rsidR="00190D6B" w:rsidRPr="00190D6B" w:rsidRDefault="00190D6B" w:rsidP="00190D6B">
      <w:pPr>
        <w:jc w:val="center"/>
        <w:rPr>
          <w:rFonts w:cs="Arial"/>
          <w:b/>
          <w:caps/>
          <w:sz w:val="28"/>
          <w:szCs w:val="28"/>
          <w:u w:val="single"/>
        </w:rPr>
      </w:pPr>
      <w:r w:rsidRPr="00190D6B">
        <w:rPr>
          <w:rFonts w:cs="Arial"/>
          <w:b/>
          <w:caps/>
          <w:sz w:val="28"/>
          <w:szCs w:val="28"/>
          <w:u w:val="single"/>
        </w:rPr>
        <w:t>ARDS and North Down Borough Council</w:t>
      </w:r>
    </w:p>
    <w:p w14:paraId="6B1DA7AF" w14:textId="77777777" w:rsidR="00190D6B" w:rsidRPr="00190D6B" w:rsidRDefault="00190D6B" w:rsidP="00190D6B">
      <w:pPr>
        <w:rPr>
          <w:rFonts w:cs="Arial"/>
          <w:b/>
          <w:caps/>
          <w:szCs w:val="24"/>
          <w:u w:val="single"/>
        </w:rPr>
      </w:pPr>
    </w:p>
    <w:p w14:paraId="6BB6DC28" w14:textId="77777777" w:rsidR="00190D6B" w:rsidRPr="00190D6B" w:rsidRDefault="00190D6B" w:rsidP="00190D6B">
      <w:pPr>
        <w:rPr>
          <w:rFonts w:cs="Arial"/>
        </w:rPr>
      </w:pPr>
      <w:r w:rsidRPr="00190D6B">
        <w:t xml:space="preserve">A hybrid meeting </w:t>
      </w:r>
      <w:r w:rsidRPr="00190D6B">
        <w:rPr>
          <w:rFonts w:cs="Arial"/>
        </w:rPr>
        <w:t xml:space="preserve">(in person and via Zoom) </w:t>
      </w:r>
      <w:r w:rsidRPr="00190D6B">
        <w:t xml:space="preserve">of the Corporate Services Committee was held at the Council Chamber, Church Street, Newtownards and via Zoom, on </w:t>
      </w:r>
      <w:r w:rsidRPr="00190D6B">
        <w:rPr>
          <w:rFonts w:cs="Arial"/>
        </w:rPr>
        <w:t xml:space="preserve">Tuesday 14 November at 7.00 pm. </w:t>
      </w:r>
    </w:p>
    <w:p w14:paraId="6128E6D6" w14:textId="77777777" w:rsidR="00190D6B" w:rsidRPr="00190D6B" w:rsidRDefault="00190D6B" w:rsidP="00190D6B">
      <w:pPr>
        <w:rPr>
          <w:rFonts w:cs="Arial"/>
          <w:b/>
          <w:szCs w:val="24"/>
        </w:rPr>
      </w:pPr>
    </w:p>
    <w:p w14:paraId="792C86C4" w14:textId="77777777" w:rsidR="00190D6B" w:rsidRPr="00190D6B" w:rsidRDefault="00190D6B" w:rsidP="00190D6B">
      <w:pPr>
        <w:rPr>
          <w:rFonts w:cs="Arial"/>
          <w:b/>
          <w:szCs w:val="24"/>
        </w:rPr>
      </w:pPr>
      <w:r w:rsidRPr="00190D6B">
        <w:rPr>
          <w:rFonts w:cs="Arial"/>
          <w:b/>
          <w:szCs w:val="24"/>
        </w:rPr>
        <w:t xml:space="preserve">PRESENT: </w:t>
      </w:r>
    </w:p>
    <w:p w14:paraId="3C3B040A" w14:textId="77777777" w:rsidR="00190D6B" w:rsidRPr="00190D6B" w:rsidRDefault="00190D6B" w:rsidP="00190D6B">
      <w:pPr>
        <w:rPr>
          <w:rFonts w:cs="Arial"/>
          <w:szCs w:val="24"/>
        </w:rPr>
      </w:pPr>
    </w:p>
    <w:p w14:paraId="3F16D0C5" w14:textId="77777777" w:rsidR="00190D6B" w:rsidRPr="00190D6B" w:rsidRDefault="00190D6B" w:rsidP="00190D6B">
      <w:pPr>
        <w:rPr>
          <w:rFonts w:cs="Arial"/>
          <w:bCs/>
          <w:szCs w:val="24"/>
        </w:rPr>
      </w:pPr>
      <w:r w:rsidRPr="00190D6B">
        <w:rPr>
          <w:rFonts w:cs="Arial"/>
          <w:b/>
          <w:szCs w:val="24"/>
        </w:rPr>
        <w:t xml:space="preserve">In the Chair:  </w:t>
      </w:r>
      <w:r w:rsidRPr="00190D6B">
        <w:rPr>
          <w:rFonts w:cs="Arial"/>
          <w:b/>
          <w:szCs w:val="24"/>
        </w:rPr>
        <w:tab/>
      </w:r>
      <w:r w:rsidRPr="00190D6B">
        <w:rPr>
          <w:rFonts w:cs="Arial"/>
          <w:bCs/>
          <w:szCs w:val="24"/>
        </w:rPr>
        <w:t xml:space="preserve">Councillor Moore </w:t>
      </w:r>
    </w:p>
    <w:p w14:paraId="6953E6F0" w14:textId="77777777" w:rsidR="00190D6B" w:rsidRPr="00190D6B" w:rsidRDefault="00190D6B" w:rsidP="00190D6B">
      <w:pPr>
        <w:tabs>
          <w:tab w:val="left" w:pos="142"/>
          <w:tab w:val="left" w:pos="720"/>
        </w:tabs>
        <w:rPr>
          <w:rFonts w:cs="Arial"/>
          <w:szCs w:val="24"/>
        </w:rPr>
      </w:pPr>
    </w:p>
    <w:p w14:paraId="52CF6911" w14:textId="77777777" w:rsidR="00190D6B" w:rsidRPr="00190D6B" w:rsidRDefault="00190D6B" w:rsidP="00190D6B">
      <w:pPr>
        <w:tabs>
          <w:tab w:val="left" w:pos="142"/>
          <w:tab w:val="left" w:pos="720"/>
        </w:tabs>
        <w:ind w:left="2160" w:hanging="2160"/>
        <w:rPr>
          <w:rFonts w:cs="Arial"/>
          <w:bCs/>
          <w:szCs w:val="24"/>
        </w:rPr>
      </w:pPr>
      <w:r w:rsidRPr="00190D6B">
        <w:rPr>
          <w:rFonts w:cs="Arial"/>
          <w:b/>
          <w:szCs w:val="24"/>
        </w:rPr>
        <w:t>Aldermen:</w:t>
      </w:r>
      <w:r w:rsidRPr="00190D6B">
        <w:rPr>
          <w:rFonts w:cs="Arial"/>
          <w:b/>
          <w:szCs w:val="24"/>
        </w:rPr>
        <w:tab/>
      </w:r>
      <w:r w:rsidRPr="00190D6B">
        <w:rPr>
          <w:rFonts w:cs="Arial"/>
          <w:bCs/>
          <w:szCs w:val="24"/>
        </w:rPr>
        <w:t>Brooks</w:t>
      </w:r>
      <w:r w:rsidRPr="00190D6B">
        <w:rPr>
          <w:rFonts w:cs="Arial"/>
          <w:bCs/>
          <w:szCs w:val="24"/>
        </w:rPr>
        <w:tab/>
      </w:r>
      <w:r w:rsidRPr="00190D6B">
        <w:rPr>
          <w:rFonts w:cs="Arial"/>
          <w:bCs/>
          <w:szCs w:val="24"/>
        </w:rPr>
        <w:tab/>
        <w:t>McIlveen</w:t>
      </w:r>
    </w:p>
    <w:p w14:paraId="79FE8FE2" w14:textId="77777777" w:rsidR="00190D6B" w:rsidRPr="00190D6B" w:rsidRDefault="00190D6B" w:rsidP="00190D6B">
      <w:pPr>
        <w:tabs>
          <w:tab w:val="left" w:pos="142"/>
          <w:tab w:val="left" w:pos="720"/>
        </w:tabs>
        <w:ind w:left="2160" w:hanging="2160"/>
        <w:rPr>
          <w:rFonts w:cs="Arial"/>
          <w:bCs/>
          <w:szCs w:val="24"/>
        </w:rPr>
      </w:pPr>
      <w:r w:rsidRPr="00190D6B">
        <w:rPr>
          <w:rFonts w:cs="Arial"/>
          <w:b/>
          <w:szCs w:val="24"/>
        </w:rPr>
        <w:tab/>
      </w:r>
      <w:r w:rsidRPr="00190D6B">
        <w:rPr>
          <w:rFonts w:cs="Arial"/>
          <w:b/>
          <w:szCs w:val="24"/>
        </w:rPr>
        <w:tab/>
      </w:r>
      <w:r w:rsidRPr="00190D6B">
        <w:rPr>
          <w:rFonts w:cs="Arial"/>
          <w:b/>
          <w:szCs w:val="24"/>
        </w:rPr>
        <w:tab/>
      </w:r>
      <w:r w:rsidRPr="00190D6B">
        <w:rPr>
          <w:rFonts w:cs="Arial"/>
          <w:bCs/>
          <w:szCs w:val="24"/>
        </w:rPr>
        <w:t>Graham</w:t>
      </w:r>
      <w:r w:rsidRPr="00190D6B">
        <w:rPr>
          <w:rFonts w:cs="Arial"/>
          <w:bCs/>
          <w:szCs w:val="24"/>
        </w:rPr>
        <w:tab/>
      </w:r>
      <w:r w:rsidRPr="00190D6B">
        <w:rPr>
          <w:rFonts w:cs="Arial"/>
          <w:bCs/>
          <w:szCs w:val="24"/>
        </w:rPr>
        <w:tab/>
        <w:t>Smith</w:t>
      </w:r>
    </w:p>
    <w:p w14:paraId="35E2C1B8" w14:textId="77777777" w:rsidR="00190D6B" w:rsidRPr="00190D6B" w:rsidRDefault="00190D6B" w:rsidP="00190D6B">
      <w:pPr>
        <w:tabs>
          <w:tab w:val="left" w:pos="142"/>
          <w:tab w:val="left" w:pos="720"/>
        </w:tabs>
        <w:ind w:left="2160" w:hanging="2160"/>
        <w:rPr>
          <w:rFonts w:cs="Arial"/>
          <w:bCs/>
          <w:szCs w:val="24"/>
        </w:rPr>
      </w:pPr>
      <w:r w:rsidRPr="00190D6B">
        <w:rPr>
          <w:rFonts w:cs="Arial"/>
          <w:b/>
          <w:szCs w:val="24"/>
        </w:rPr>
        <w:tab/>
      </w:r>
      <w:r w:rsidRPr="00190D6B">
        <w:rPr>
          <w:rFonts w:cs="Arial"/>
          <w:b/>
          <w:szCs w:val="24"/>
        </w:rPr>
        <w:tab/>
      </w:r>
      <w:r w:rsidRPr="00190D6B">
        <w:rPr>
          <w:rFonts w:cs="Arial"/>
          <w:b/>
          <w:szCs w:val="24"/>
        </w:rPr>
        <w:tab/>
      </w:r>
      <w:r w:rsidRPr="00190D6B">
        <w:rPr>
          <w:rFonts w:cs="Arial"/>
          <w:bCs/>
          <w:szCs w:val="24"/>
        </w:rPr>
        <w:tab/>
      </w:r>
      <w:r w:rsidRPr="00190D6B">
        <w:rPr>
          <w:rFonts w:cs="Arial"/>
          <w:szCs w:val="24"/>
        </w:rPr>
        <w:tab/>
      </w:r>
      <w:r w:rsidRPr="00190D6B">
        <w:rPr>
          <w:rFonts w:cs="Arial"/>
          <w:szCs w:val="24"/>
        </w:rPr>
        <w:tab/>
      </w:r>
      <w:r w:rsidRPr="00190D6B">
        <w:rPr>
          <w:rFonts w:cs="Arial"/>
          <w:szCs w:val="24"/>
        </w:rPr>
        <w:tab/>
      </w:r>
      <w:r w:rsidRPr="00190D6B">
        <w:rPr>
          <w:rFonts w:cs="Arial"/>
          <w:szCs w:val="24"/>
        </w:rPr>
        <w:tab/>
      </w:r>
      <w:r w:rsidRPr="00190D6B">
        <w:rPr>
          <w:rFonts w:cs="Arial"/>
          <w:szCs w:val="24"/>
        </w:rPr>
        <w:tab/>
      </w:r>
      <w:r w:rsidRPr="00190D6B">
        <w:rPr>
          <w:rFonts w:cs="Arial"/>
          <w:szCs w:val="24"/>
        </w:rPr>
        <w:tab/>
      </w:r>
    </w:p>
    <w:p w14:paraId="572E89FB" w14:textId="77777777" w:rsidR="00190D6B" w:rsidRPr="00190D6B" w:rsidRDefault="00190D6B" w:rsidP="00190D6B">
      <w:pPr>
        <w:tabs>
          <w:tab w:val="left" w:pos="142"/>
          <w:tab w:val="left" w:pos="720"/>
        </w:tabs>
        <w:ind w:left="2160" w:hanging="2160"/>
        <w:rPr>
          <w:rFonts w:cs="Arial"/>
          <w:bCs/>
          <w:szCs w:val="24"/>
        </w:rPr>
      </w:pPr>
      <w:r w:rsidRPr="00190D6B">
        <w:rPr>
          <w:rFonts w:cs="Arial"/>
          <w:b/>
          <w:szCs w:val="24"/>
        </w:rPr>
        <w:t>Councillors:</w:t>
      </w:r>
      <w:r w:rsidRPr="00190D6B">
        <w:rPr>
          <w:rFonts w:cs="Arial"/>
          <w:b/>
          <w:szCs w:val="24"/>
        </w:rPr>
        <w:tab/>
      </w:r>
      <w:r w:rsidRPr="00190D6B">
        <w:rPr>
          <w:rFonts w:cs="Arial"/>
          <w:bCs/>
          <w:szCs w:val="24"/>
        </w:rPr>
        <w:t>Chambers</w:t>
      </w:r>
      <w:r w:rsidRPr="00190D6B">
        <w:rPr>
          <w:rFonts w:cs="Arial"/>
          <w:bCs/>
          <w:szCs w:val="24"/>
        </w:rPr>
        <w:tab/>
      </w:r>
      <w:r w:rsidRPr="00190D6B">
        <w:rPr>
          <w:rFonts w:cs="Arial"/>
          <w:bCs/>
          <w:szCs w:val="24"/>
        </w:rPr>
        <w:tab/>
      </w:r>
      <w:r w:rsidRPr="00190D6B">
        <w:rPr>
          <w:rFonts w:cs="Arial"/>
          <w:bCs/>
          <w:szCs w:val="24"/>
        </w:rPr>
        <w:tab/>
        <w:t>Irwin (Zoom)</w:t>
      </w:r>
    </w:p>
    <w:p w14:paraId="2F704FBB" w14:textId="77777777" w:rsidR="00190D6B" w:rsidRPr="00190D6B" w:rsidRDefault="00190D6B" w:rsidP="00190D6B">
      <w:pPr>
        <w:tabs>
          <w:tab w:val="left" w:pos="142"/>
          <w:tab w:val="left" w:pos="720"/>
        </w:tabs>
        <w:ind w:left="2160" w:hanging="2160"/>
        <w:rPr>
          <w:rFonts w:cs="Arial"/>
          <w:bCs/>
          <w:szCs w:val="24"/>
        </w:rPr>
      </w:pPr>
      <w:r w:rsidRPr="00190D6B">
        <w:rPr>
          <w:rFonts w:cs="Arial"/>
          <w:b/>
          <w:szCs w:val="24"/>
        </w:rPr>
        <w:tab/>
      </w:r>
      <w:r w:rsidRPr="00190D6B">
        <w:rPr>
          <w:rFonts w:cs="Arial"/>
          <w:b/>
          <w:szCs w:val="24"/>
        </w:rPr>
        <w:tab/>
      </w:r>
      <w:r w:rsidRPr="00190D6B">
        <w:rPr>
          <w:rFonts w:cs="Arial"/>
          <w:b/>
          <w:szCs w:val="24"/>
        </w:rPr>
        <w:tab/>
      </w:r>
      <w:r w:rsidRPr="00190D6B">
        <w:rPr>
          <w:rFonts w:cs="Arial"/>
          <w:bCs/>
          <w:szCs w:val="24"/>
        </w:rPr>
        <w:t>Cochrane</w:t>
      </w:r>
      <w:r w:rsidRPr="00190D6B">
        <w:rPr>
          <w:rFonts w:cs="Arial"/>
          <w:b/>
          <w:szCs w:val="24"/>
        </w:rPr>
        <w:tab/>
      </w:r>
      <w:r w:rsidRPr="00190D6B">
        <w:rPr>
          <w:rFonts w:cs="Arial"/>
          <w:bCs/>
          <w:szCs w:val="24"/>
        </w:rPr>
        <w:tab/>
      </w:r>
      <w:r w:rsidRPr="00190D6B">
        <w:rPr>
          <w:rFonts w:cs="Arial"/>
          <w:bCs/>
          <w:szCs w:val="24"/>
        </w:rPr>
        <w:tab/>
        <w:t>Kennedy (Zoom)</w:t>
      </w:r>
    </w:p>
    <w:p w14:paraId="02AF81D8" w14:textId="77777777" w:rsidR="00190D6B" w:rsidRPr="00190D6B" w:rsidRDefault="00190D6B" w:rsidP="00190D6B">
      <w:pPr>
        <w:tabs>
          <w:tab w:val="left" w:pos="142"/>
          <w:tab w:val="left" w:pos="720"/>
        </w:tabs>
        <w:ind w:left="2160" w:hanging="2160"/>
        <w:rPr>
          <w:rFonts w:cs="Arial"/>
          <w:bCs/>
          <w:szCs w:val="24"/>
        </w:rPr>
      </w:pPr>
      <w:r w:rsidRPr="00190D6B">
        <w:rPr>
          <w:rFonts w:cs="Arial"/>
          <w:b/>
          <w:szCs w:val="24"/>
        </w:rPr>
        <w:tab/>
      </w:r>
      <w:r w:rsidRPr="00190D6B">
        <w:rPr>
          <w:rFonts w:cs="Arial"/>
          <w:b/>
          <w:szCs w:val="24"/>
        </w:rPr>
        <w:tab/>
      </w:r>
      <w:r w:rsidRPr="00190D6B">
        <w:rPr>
          <w:rFonts w:cs="Arial"/>
          <w:b/>
          <w:szCs w:val="24"/>
        </w:rPr>
        <w:tab/>
      </w:r>
      <w:r w:rsidRPr="00190D6B">
        <w:rPr>
          <w:rFonts w:cs="Arial"/>
          <w:bCs/>
          <w:szCs w:val="24"/>
        </w:rPr>
        <w:t>Gilmour (7.02pm)</w:t>
      </w:r>
      <w:r w:rsidRPr="00190D6B">
        <w:rPr>
          <w:rFonts w:cs="Arial"/>
          <w:bCs/>
          <w:szCs w:val="24"/>
        </w:rPr>
        <w:tab/>
      </w:r>
      <w:r w:rsidRPr="00190D6B">
        <w:rPr>
          <w:rFonts w:cs="Arial"/>
          <w:bCs/>
          <w:szCs w:val="24"/>
        </w:rPr>
        <w:tab/>
        <w:t>McCracken</w:t>
      </w:r>
      <w:r w:rsidRPr="00190D6B">
        <w:rPr>
          <w:rFonts w:cs="Arial"/>
          <w:bCs/>
          <w:szCs w:val="24"/>
        </w:rPr>
        <w:tab/>
      </w:r>
    </w:p>
    <w:p w14:paraId="2214E4D5" w14:textId="77777777" w:rsidR="00190D6B" w:rsidRPr="00190D6B" w:rsidRDefault="00190D6B" w:rsidP="00190D6B">
      <w:pPr>
        <w:tabs>
          <w:tab w:val="left" w:pos="142"/>
          <w:tab w:val="left" w:pos="720"/>
        </w:tabs>
        <w:ind w:left="2160" w:hanging="2160"/>
        <w:rPr>
          <w:rFonts w:cs="Arial"/>
          <w:bCs/>
          <w:szCs w:val="24"/>
        </w:rPr>
      </w:pPr>
      <w:r w:rsidRPr="00190D6B">
        <w:rPr>
          <w:rFonts w:cs="Arial"/>
          <w:bCs/>
          <w:szCs w:val="24"/>
        </w:rPr>
        <w:tab/>
      </w:r>
      <w:r w:rsidRPr="00190D6B">
        <w:rPr>
          <w:rFonts w:cs="Arial"/>
          <w:bCs/>
          <w:szCs w:val="24"/>
        </w:rPr>
        <w:tab/>
      </w:r>
      <w:r w:rsidRPr="00190D6B">
        <w:rPr>
          <w:rFonts w:cs="Arial"/>
          <w:bCs/>
          <w:szCs w:val="24"/>
        </w:rPr>
        <w:tab/>
        <w:t>Irvine, S (Zoom)</w:t>
      </w:r>
      <w:r w:rsidRPr="00190D6B">
        <w:rPr>
          <w:rFonts w:cs="Arial"/>
          <w:bCs/>
          <w:szCs w:val="24"/>
        </w:rPr>
        <w:tab/>
      </w:r>
      <w:r w:rsidRPr="00190D6B">
        <w:rPr>
          <w:rFonts w:cs="Arial"/>
          <w:bCs/>
          <w:szCs w:val="24"/>
        </w:rPr>
        <w:tab/>
        <w:t>MacArthur (8.20pm)</w:t>
      </w:r>
    </w:p>
    <w:p w14:paraId="169B7D0D" w14:textId="77777777" w:rsidR="00190D6B" w:rsidRPr="00190D6B" w:rsidRDefault="00190D6B" w:rsidP="00190D6B">
      <w:pPr>
        <w:tabs>
          <w:tab w:val="left" w:pos="142"/>
          <w:tab w:val="left" w:pos="720"/>
        </w:tabs>
        <w:ind w:left="2160" w:hanging="2160"/>
        <w:rPr>
          <w:rFonts w:cs="Arial"/>
          <w:bCs/>
          <w:szCs w:val="24"/>
        </w:rPr>
      </w:pPr>
      <w:r w:rsidRPr="00190D6B">
        <w:rPr>
          <w:rFonts w:cs="Arial"/>
          <w:bCs/>
          <w:szCs w:val="24"/>
        </w:rPr>
        <w:tab/>
      </w:r>
      <w:r w:rsidRPr="00190D6B">
        <w:rPr>
          <w:rFonts w:cs="Arial"/>
          <w:bCs/>
          <w:szCs w:val="24"/>
        </w:rPr>
        <w:tab/>
      </w:r>
      <w:r w:rsidRPr="00190D6B">
        <w:rPr>
          <w:rFonts w:cs="Arial"/>
          <w:bCs/>
          <w:szCs w:val="24"/>
        </w:rPr>
        <w:tab/>
        <w:t>Irvine, W</w:t>
      </w:r>
      <w:r w:rsidRPr="00190D6B">
        <w:rPr>
          <w:rFonts w:cs="Arial"/>
          <w:bCs/>
          <w:szCs w:val="24"/>
        </w:rPr>
        <w:tab/>
      </w:r>
      <w:r w:rsidRPr="00190D6B">
        <w:rPr>
          <w:rFonts w:cs="Arial"/>
          <w:bCs/>
          <w:szCs w:val="24"/>
        </w:rPr>
        <w:tab/>
      </w:r>
      <w:r w:rsidRPr="00190D6B">
        <w:rPr>
          <w:rFonts w:cs="Arial"/>
          <w:bCs/>
          <w:szCs w:val="24"/>
        </w:rPr>
        <w:tab/>
        <w:t>McRandal</w:t>
      </w:r>
    </w:p>
    <w:p w14:paraId="661912A5" w14:textId="77777777" w:rsidR="00190D6B" w:rsidRPr="00190D6B" w:rsidRDefault="00190D6B" w:rsidP="00190D6B">
      <w:pPr>
        <w:tabs>
          <w:tab w:val="left" w:pos="142"/>
          <w:tab w:val="left" w:pos="720"/>
        </w:tabs>
        <w:ind w:left="2160" w:hanging="2160"/>
        <w:rPr>
          <w:rFonts w:cs="Arial"/>
          <w:bCs/>
          <w:szCs w:val="24"/>
        </w:rPr>
      </w:pPr>
      <w:r w:rsidRPr="00190D6B">
        <w:rPr>
          <w:rFonts w:cs="Arial"/>
          <w:bCs/>
          <w:szCs w:val="24"/>
        </w:rPr>
        <w:tab/>
      </w:r>
      <w:r w:rsidRPr="00190D6B">
        <w:rPr>
          <w:rFonts w:cs="Arial"/>
          <w:bCs/>
          <w:szCs w:val="24"/>
        </w:rPr>
        <w:tab/>
      </w:r>
      <w:r w:rsidRPr="00190D6B">
        <w:rPr>
          <w:rFonts w:cs="Arial"/>
          <w:szCs w:val="24"/>
        </w:rPr>
        <w:tab/>
      </w:r>
      <w:r w:rsidRPr="00190D6B">
        <w:rPr>
          <w:rFonts w:cs="Arial"/>
          <w:szCs w:val="24"/>
        </w:rPr>
        <w:tab/>
      </w:r>
      <w:r w:rsidRPr="00190D6B">
        <w:rPr>
          <w:rFonts w:cs="Arial"/>
          <w:szCs w:val="24"/>
        </w:rPr>
        <w:tab/>
        <w:t xml:space="preserve"> </w:t>
      </w:r>
      <w:r w:rsidRPr="00190D6B">
        <w:rPr>
          <w:rFonts w:cs="Arial"/>
          <w:szCs w:val="24"/>
        </w:rPr>
        <w:tab/>
      </w:r>
      <w:r w:rsidRPr="00190D6B">
        <w:rPr>
          <w:rFonts w:cs="Arial"/>
          <w:szCs w:val="24"/>
        </w:rPr>
        <w:tab/>
      </w:r>
      <w:r w:rsidRPr="00190D6B">
        <w:rPr>
          <w:rFonts w:cs="Arial"/>
          <w:szCs w:val="24"/>
        </w:rPr>
        <w:tab/>
      </w:r>
      <w:r w:rsidRPr="00190D6B">
        <w:rPr>
          <w:rFonts w:cs="Arial"/>
          <w:szCs w:val="24"/>
        </w:rPr>
        <w:tab/>
      </w:r>
      <w:r w:rsidRPr="00190D6B">
        <w:rPr>
          <w:rFonts w:cs="Arial"/>
          <w:szCs w:val="24"/>
        </w:rPr>
        <w:tab/>
      </w:r>
      <w:r w:rsidRPr="00190D6B">
        <w:rPr>
          <w:rFonts w:cs="Arial"/>
          <w:szCs w:val="24"/>
        </w:rPr>
        <w:tab/>
        <w:t xml:space="preserve"> </w:t>
      </w:r>
    </w:p>
    <w:p w14:paraId="6AED233F" w14:textId="77777777" w:rsidR="00190D6B" w:rsidRPr="00190D6B" w:rsidRDefault="00190D6B" w:rsidP="00190D6B">
      <w:pPr>
        <w:tabs>
          <w:tab w:val="left" w:pos="142"/>
          <w:tab w:val="left" w:pos="720"/>
        </w:tabs>
        <w:ind w:left="1440" w:hanging="1440"/>
        <w:rPr>
          <w:rFonts w:cs="Arial"/>
          <w:szCs w:val="24"/>
        </w:rPr>
      </w:pPr>
      <w:r w:rsidRPr="00190D6B">
        <w:rPr>
          <w:rFonts w:cs="Arial"/>
          <w:b/>
          <w:szCs w:val="24"/>
        </w:rPr>
        <w:t>Officers:</w:t>
      </w:r>
      <w:r w:rsidRPr="00190D6B">
        <w:rPr>
          <w:rFonts w:cs="Arial"/>
          <w:szCs w:val="24"/>
        </w:rPr>
        <w:t xml:space="preserve"> </w:t>
      </w:r>
      <w:r w:rsidRPr="00190D6B">
        <w:rPr>
          <w:rFonts w:cs="Arial"/>
          <w:szCs w:val="24"/>
        </w:rPr>
        <w:tab/>
        <w:t xml:space="preserve">Director of Corporate Services (M Steele), Head of Administration (A Curtis), Head of Human Resources and Organisational Development (R McCullough), Head of Finance (S Grieve) and Democratic Services Officer (R King) </w:t>
      </w:r>
    </w:p>
    <w:p w14:paraId="266E29E4" w14:textId="77777777" w:rsidR="00190D6B" w:rsidRPr="00190D6B" w:rsidRDefault="00190D6B" w:rsidP="00874464"/>
    <w:p w14:paraId="6B49C8FF" w14:textId="77777777" w:rsidR="00190D6B" w:rsidRPr="00190D6B" w:rsidRDefault="00190D6B" w:rsidP="00190D6B">
      <w:pPr>
        <w:keepNext/>
        <w:keepLines/>
        <w:outlineLvl w:val="0"/>
        <w:rPr>
          <w:rFonts w:eastAsia="Times New Roman"/>
          <w:b/>
          <w:caps/>
          <w:sz w:val="28"/>
          <w:szCs w:val="32"/>
        </w:rPr>
      </w:pPr>
      <w:r w:rsidRPr="00190D6B">
        <w:rPr>
          <w:rFonts w:eastAsia="Times New Roman"/>
          <w:b/>
          <w:caps/>
          <w:sz w:val="28"/>
          <w:szCs w:val="32"/>
        </w:rPr>
        <w:t>1.</w:t>
      </w:r>
      <w:r w:rsidRPr="00190D6B">
        <w:rPr>
          <w:rFonts w:eastAsia="Times New Roman"/>
          <w:b/>
          <w:caps/>
          <w:sz w:val="28"/>
          <w:szCs w:val="32"/>
        </w:rPr>
        <w:tab/>
      </w:r>
      <w:r w:rsidRPr="00190D6B">
        <w:rPr>
          <w:rFonts w:eastAsia="Times New Roman"/>
          <w:b/>
          <w:caps/>
          <w:sz w:val="28"/>
          <w:szCs w:val="32"/>
          <w:u w:val="single"/>
        </w:rPr>
        <w:t>Apologies</w:t>
      </w:r>
    </w:p>
    <w:p w14:paraId="08B0CF2F" w14:textId="77777777" w:rsidR="00190D6B" w:rsidRPr="00190D6B" w:rsidRDefault="00190D6B" w:rsidP="00190D6B">
      <w:pPr>
        <w:ind w:left="567" w:hanging="567"/>
        <w:rPr>
          <w:rFonts w:cs="Arial"/>
          <w:szCs w:val="24"/>
        </w:rPr>
      </w:pPr>
    </w:p>
    <w:p w14:paraId="0208EAF6" w14:textId="77777777" w:rsidR="00190D6B" w:rsidRPr="00190D6B" w:rsidRDefault="00190D6B" w:rsidP="00190D6B">
      <w:pPr>
        <w:rPr>
          <w:rFonts w:cs="Arial"/>
          <w:szCs w:val="24"/>
        </w:rPr>
      </w:pPr>
      <w:r w:rsidRPr="00190D6B">
        <w:rPr>
          <w:rFonts w:cs="Arial"/>
          <w:szCs w:val="24"/>
        </w:rPr>
        <w:t>An apology for inability to attend was received from Alderman McAlpine and apologies for lateness were received from Councillor MacArthur and the Mayor, Councillor Gilmour who was attending a Mayoral engagement.</w:t>
      </w:r>
    </w:p>
    <w:p w14:paraId="2B2A8B47" w14:textId="77777777" w:rsidR="00190D6B" w:rsidRPr="00190D6B" w:rsidRDefault="00190D6B" w:rsidP="00190D6B">
      <w:pPr>
        <w:ind w:left="567" w:hanging="567"/>
        <w:rPr>
          <w:rFonts w:cs="Arial"/>
          <w:szCs w:val="24"/>
        </w:rPr>
      </w:pPr>
    </w:p>
    <w:p w14:paraId="1A2DE735" w14:textId="77777777" w:rsidR="00190D6B" w:rsidRPr="00190D6B" w:rsidRDefault="00190D6B" w:rsidP="00190D6B">
      <w:pPr>
        <w:keepNext/>
        <w:keepLines/>
        <w:outlineLvl w:val="0"/>
        <w:rPr>
          <w:rFonts w:eastAsia="Times New Roman"/>
          <w:b/>
          <w:caps/>
          <w:sz w:val="28"/>
          <w:szCs w:val="32"/>
        </w:rPr>
      </w:pPr>
      <w:r w:rsidRPr="00190D6B">
        <w:rPr>
          <w:rFonts w:eastAsia="Times New Roman"/>
          <w:b/>
          <w:caps/>
          <w:sz w:val="28"/>
          <w:szCs w:val="32"/>
        </w:rPr>
        <w:t>2.</w:t>
      </w:r>
      <w:r w:rsidRPr="00190D6B">
        <w:rPr>
          <w:rFonts w:eastAsia="Times New Roman"/>
          <w:b/>
          <w:caps/>
          <w:sz w:val="28"/>
          <w:szCs w:val="32"/>
        </w:rPr>
        <w:tab/>
      </w:r>
      <w:r w:rsidRPr="00190D6B">
        <w:rPr>
          <w:rFonts w:eastAsia="Times New Roman"/>
          <w:b/>
          <w:caps/>
          <w:sz w:val="28"/>
          <w:szCs w:val="32"/>
          <w:u w:val="single"/>
        </w:rPr>
        <w:t>Declarations of Interest</w:t>
      </w:r>
    </w:p>
    <w:p w14:paraId="6E0BA083" w14:textId="77777777" w:rsidR="00190D6B" w:rsidRPr="00190D6B" w:rsidRDefault="00190D6B" w:rsidP="00190D6B"/>
    <w:p w14:paraId="4F19ADA3" w14:textId="77777777" w:rsidR="00190D6B" w:rsidRPr="00190D6B" w:rsidRDefault="00190D6B" w:rsidP="00190D6B">
      <w:r w:rsidRPr="00190D6B">
        <w:t>The Chairman sought declarations of interest and the following were declared:</w:t>
      </w:r>
    </w:p>
    <w:p w14:paraId="27271D5C" w14:textId="77777777" w:rsidR="00190D6B" w:rsidRPr="00190D6B" w:rsidRDefault="00190D6B" w:rsidP="00190D6B"/>
    <w:p w14:paraId="229E0F6A" w14:textId="77777777" w:rsidR="00190D6B" w:rsidRPr="00190D6B" w:rsidRDefault="00190D6B" w:rsidP="00190D6B">
      <w:pPr>
        <w:rPr>
          <w:rFonts w:cs="Arial"/>
          <w:szCs w:val="24"/>
        </w:rPr>
      </w:pPr>
      <w:r w:rsidRPr="00190D6B">
        <w:t>Councillor MacArthur – Item 24 - Sir Samuel Kelly Lease - Request For An Additional Strip Of Land (declared at 8.47pm)</w:t>
      </w:r>
    </w:p>
    <w:p w14:paraId="24C229CE" w14:textId="77777777" w:rsidR="00190D6B" w:rsidRPr="00190D6B" w:rsidRDefault="00190D6B" w:rsidP="00190D6B">
      <w:pPr>
        <w:rPr>
          <w:rFonts w:cs="Arial"/>
          <w:szCs w:val="24"/>
        </w:rPr>
      </w:pPr>
    </w:p>
    <w:p w14:paraId="47CA8493" w14:textId="77777777" w:rsidR="00190D6B" w:rsidRPr="00190D6B" w:rsidRDefault="00190D6B" w:rsidP="00190D6B">
      <w:pPr>
        <w:rPr>
          <w:rFonts w:cs="Arial"/>
          <w:szCs w:val="24"/>
        </w:rPr>
      </w:pPr>
      <w:r w:rsidRPr="00190D6B">
        <w:rPr>
          <w:rFonts w:cs="Arial"/>
          <w:szCs w:val="24"/>
        </w:rPr>
        <w:t>(The Mayor Councillor Gilmour entered the meeting – 7.02pm)</w:t>
      </w:r>
    </w:p>
    <w:p w14:paraId="3F4CD2D8" w14:textId="77777777" w:rsidR="00190D6B" w:rsidRPr="00190D6B" w:rsidRDefault="00190D6B" w:rsidP="00190D6B">
      <w:pPr>
        <w:rPr>
          <w:rFonts w:cs="Arial"/>
          <w:szCs w:val="24"/>
        </w:rPr>
      </w:pPr>
    </w:p>
    <w:p w14:paraId="01418156" w14:textId="77777777" w:rsidR="00190D6B" w:rsidRPr="00190D6B" w:rsidRDefault="00190D6B" w:rsidP="00190D6B">
      <w:pPr>
        <w:keepNext/>
        <w:keepLines/>
        <w:ind w:left="567" w:hanging="567"/>
        <w:outlineLvl w:val="0"/>
        <w:rPr>
          <w:rFonts w:eastAsia="Times New Roman"/>
          <w:b/>
          <w:caps/>
          <w:sz w:val="28"/>
          <w:szCs w:val="32"/>
          <w:u w:val="single"/>
        </w:rPr>
      </w:pPr>
      <w:r w:rsidRPr="00190D6B">
        <w:rPr>
          <w:rFonts w:eastAsia="Times New Roman"/>
          <w:b/>
          <w:caps/>
          <w:sz w:val="28"/>
          <w:szCs w:val="32"/>
        </w:rPr>
        <w:t>3.</w:t>
      </w:r>
      <w:r w:rsidRPr="00190D6B">
        <w:rPr>
          <w:rFonts w:eastAsia="Times New Roman"/>
          <w:b/>
          <w:caps/>
          <w:sz w:val="28"/>
          <w:szCs w:val="32"/>
        </w:rPr>
        <w:tab/>
      </w:r>
      <w:bookmarkStart w:id="0" w:name="_Hlk148539469"/>
      <w:r w:rsidRPr="00190D6B">
        <w:rPr>
          <w:rFonts w:eastAsia="Times New Roman"/>
          <w:b/>
          <w:caps/>
          <w:sz w:val="28"/>
          <w:szCs w:val="32"/>
          <w:u w:val="single"/>
        </w:rPr>
        <w:t>Presentation – northern ireland housing executive</w:t>
      </w:r>
    </w:p>
    <w:p w14:paraId="490B840D" w14:textId="77777777" w:rsidR="00190D6B" w:rsidRPr="00190D6B" w:rsidRDefault="00190D6B" w:rsidP="00190D6B">
      <w:pPr>
        <w:ind w:firstLine="567"/>
        <w:rPr>
          <w:rFonts w:cs="Arial"/>
          <w:szCs w:val="24"/>
        </w:rPr>
      </w:pPr>
      <w:r w:rsidRPr="00190D6B">
        <w:rPr>
          <w:rFonts w:cs="Arial"/>
          <w:szCs w:val="24"/>
        </w:rPr>
        <w:t>(Appendices I – II)</w:t>
      </w:r>
    </w:p>
    <w:p w14:paraId="59D5CF53" w14:textId="77777777" w:rsidR="00190D6B" w:rsidRPr="00190D6B" w:rsidRDefault="00190D6B" w:rsidP="00190D6B">
      <w:pPr>
        <w:rPr>
          <w:rFonts w:cs="Arial"/>
          <w:szCs w:val="24"/>
        </w:rPr>
      </w:pPr>
    </w:p>
    <w:p w14:paraId="7A7F77F8" w14:textId="77777777" w:rsidR="00190D6B" w:rsidRPr="00190D6B" w:rsidRDefault="00190D6B" w:rsidP="00190D6B">
      <w:pPr>
        <w:rPr>
          <w:rFonts w:cs="Arial"/>
          <w:szCs w:val="24"/>
        </w:rPr>
      </w:pPr>
      <w:r w:rsidRPr="00190D6B">
        <w:rPr>
          <w:rFonts w:cs="Arial"/>
          <w:caps/>
          <w:szCs w:val="24"/>
        </w:rPr>
        <w:t>Previously circulated:-</w:t>
      </w:r>
      <w:r w:rsidRPr="00190D6B">
        <w:rPr>
          <w:rFonts w:cs="Arial"/>
          <w:szCs w:val="24"/>
        </w:rPr>
        <w:t xml:space="preserve"> Copy of presentation and </w:t>
      </w:r>
      <w:bookmarkStart w:id="1" w:name="_Hlk151129176"/>
      <w:r w:rsidRPr="00190D6B">
        <w:rPr>
          <w:rFonts w:cs="Arial"/>
          <w:szCs w:val="24"/>
        </w:rPr>
        <w:t xml:space="preserve">Housing Investment Plan 2023-2026 </w:t>
      </w:r>
      <w:bookmarkEnd w:id="1"/>
      <w:r w:rsidRPr="00190D6B">
        <w:rPr>
          <w:rFonts w:cs="Arial"/>
          <w:szCs w:val="24"/>
        </w:rPr>
        <w:t xml:space="preserve">from NIHE. </w:t>
      </w:r>
    </w:p>
    <w:p w14:paraId="072A569D" w14:textId="77777777" w:rsidR="00190D6B" w:rsidRPr="00190D6B" w:rsidRDefault="00190D6B" w:rsidP="00190D6B">
      <w:pPr>
        <w:rPr>
          <w:rFonts w:cs="Arial"/>
          <w:szCs w:val="24"/>
        </w:rPr>
      </w:pPr>
    </w:p>
    <w:p w14:paraId="7E497FB3" w14:textId="77777777" w:rsidR="00190D6B" w:rsidRPr="00190D6B" w:rsidRDefault="00190D6B" w:rsidP="00190D6B">
      <w:pPr>
        <w:rPr>
          <w:rFonts w:cs="Arial"/>
          <w:szCs w:val="24"/>
        </w:rPr>
      </w:pPr>
      <w:r w:rsidRPr="00190D6B">
        <w:rPr>
          <w:rFonts w:cs="Arial"/>
          <w:szCs w:val="24"/>
        </w:rPr>
        <w:t>The Chair welcomed the following representatives from the Northern Ireland Housing Executive:</w:t>
      </w:r>
    </w:p>
    <w:p w14:paraId="64B4FED8" w14:textId="77777777" w:rsidR="00190D6B" w:rsidRPr="00190D6B" w:rsidRDefault="00190D6B" w:rsidP="00190D6B">
      <w:pPr>
        <w:rPr>
          <w:rFonts w:cs="Arial"/>
          <w:szCs w:val="24"/>
        </w:rPr>
      </w:pPr>
    </w:p>
    <w:p w14:paraId="0EA19863" w14:textId="77777777" w:rsidR="00190D6B" w:rsidRPr="00190D6B" w:rsidRDefault="00190D6B" w:rsidP="00874464">
      <w:pPr>
        <w:numPr>
          <w:ilvl w:val="0"/>
          <w:numId w:val="2"/>
        </w:numPr>
        <w:rPr>
          <w:rFonts w:eastAsiaTheme="minorHAnsi" w:cs="Arial"/>
          <w:szCs w:val="24"/>
        </w:rPr>
      </w:pPr>
      <w:r w:rsidRPr="00190D6B">
        <w:rPr>
          <w:rFonts w:eastAsiaTheme="minorHAnsi" w:cs="Arial"/>
          <w:szCs w:val="24"/>
        </w:rPr>
        <w:lastRenderedPageBreak/>
        <w:t>Grainia Long - Chief Executive</w:t>
      </w:r>
    </w:p>
    <w:p w14:paraId="685FC15D" w14:textId="77777777" w:rsidR="00190D6B" w:rsidRPr="00190D6B" w:rsidRDefault="00190D6B" w:rsidP="00874464">
      <w:pPr>
        <w:numPr>
          <w:ilvl w:val="0"/>
          <w:numId w:val="2"/>
        </w:numPr>
        <w:rPr>
          <w:rFonts w:eastAsiaTheme="minorHAnsi" w:cs="Arial"/>
          <w:szCs w:val="24"/>
        </w:rPr>
      </w:pPr>
      <w:r w:rsidRPr="00190D6B">
        <w:rPr>
          <w:rFonts w:eastAsiaTheme="minorHAnsi" w:cs="Arial"/>
          <w:szCs w:val="24"/>
        </w:rPr>
        <w:t>Eileen Thompson – Area Manager</w:t>
      </w:r>
    </w:p>
    <w:p w14:paraId="3C89FDDA" w14:textId="77777777" w:rsidR="00190D6B" w:rsidRPr="00190D6B" w:rsidRDefault="00190D6B" w:rsidP="00874464">
      <w:pPr>
        <w:numPr>
          <w:ilvl w:val="0"/>
          <w:numId w:val="2"/>
        </w:numPr>
        <w:rPr>
          <w:rFonts w:eastAsiaTheme="minorHAnsi" w:cs="Arial"/>
          <w:szCs w:val="24"/>
        </w:rPr>
      </w:pPr>
      <w:r w:rsidRPr="00190D6B">
        <w:rPr>
          <w:rFonts w:eastAsiaTheme="minorHAnsi" w:cs="Arial"/>
          <w:szCs w:val="24"/>
        </w:rPr>
        <w:t>John McCartan - South Region Manager</w:t>
      </w:r>
    </w:p>
    <w:p w14:paraId="14DC71B5" w14:textId="77777777" w:rsidR="00190D6B" w:rsidRPr="00190D6B" w:rsidRDefault="00190D6B" w:rsidP="00190D6B">
      <w:pPr>
        <w:rPr>
          <w:rFonts w:cs="Arial"/>
          <w:szCs w:val="24"/>
        </w:rPr>
      </w:pPr>
    </w:p>
    <w:p w14:paraId="6802FA9A" w14:textId="77777777" w:rsidR="00190D6B" w:rsidRPr="00190D6B" w:rsidRDefault="00190D6B" w:rsidP="00190D6B">
      <w:pPr>
        <w:rPr>
          <w:rFonts w:cs="Arial"/>
          <w:szCs w:val="24"/>
        </w:rPr>
      </w:pPr>
      <w:r w:rsidRPr="00190D6B">
        <w:rPr>
          <w:rFonts w:cs="Arial"/>
          <w:szCs w:val="24"/>
        </w:rPr>
        <w:t>Ms Long outlined the attached presentation and the Chair invited questions from Members.</w:t>
      </w:r>
    </w:p>
    <w:p w14:paraId="5554DB95" w14:textId="77777777" w:rsidR="00190D6B" w:rsidRPr="00190D6B" w:rsidRDefault="00190D6B" w:rsidP="00190D6B">
      <w:pPr>
        <w:rPr>
          <w:rFonts w:cs="Arial"/>
          <w:szCs w:val="24"/>
        </w:rPr>
      </w:pPr>
    </w:p>
    <w:p w14:paraId="3378C3B6" w14:textId="77777777" w:rsidR="00190D6B" w:rsidRPr="00190D6B" w:rsidRDefault="00190D6B" w:rsidP="00190D6B">
      <w:pPr>
        <w:rPr>
          <w:rFonts w:cs="Arial"/>
          <w:szCs w:val="24"/>
        </w:rPr>
      </w:pPr>
      <w:r w:rsidRPr="00190D6B">
        <w:rPr>
          <w:rFonts w:cs="Arial"/>
          <w:szCs w:val="24"/>
        </w:rPr>
        <w:t>Alderman Smith referred to a local issue around housing allocation and intimidation in terms of bypassing normal processes. He was aware that it was a situation that the NIHE and Housing Associations were trying to address but asked how that work was progressing in the absence of a working Northern Ireland Assembly and how it was trying to ensure no repeat of situations locally where groups were taking over housing estates by gaming the system to access housing.</w:t>
      </w:r>
    </w:p>
    <w:p w14:paraId="3AF8FC20" w14:textId="77777777" w:rsidR="00190D6B" w:rsidRPr="00190D6B" w:rsidRDefault="00190D6B" w:rsidP="00190D6B">
      <w:pPr>
        <w:rPr>
          <w:rFonts w:cs="Arial"/>
          <w:szCs w:val="24"/>
        </w:rPr>
      </w:pPr>
    </w:p>
    <w:p w14:paraId="7CED3DC0" w14:textId="77777777" w:rsidR="00190D6B" w:rsidRPr="00190D6B" w:rsidRDefault="00190D6B" w:rsidP="00190D6B">
      <w:pPr>
        <w:rPr>
          <w:rFonts w:cs="Arial"/>
          <w:szCs w:val="24"/>
        </w:rPr>
      </w:pPr>
      <w:r w:rsidRPr="00190D6B">
        <w:rPr>
          <w:rFonts w:cs="Arial"/>
          <w:szCs w:val="24"/>
        </w:rPr>
        <w:t>In response, Ms Long spoke of the importance of having public trust in an open and fair allocation system, particularly in Northern Ireland. There was an extremely high bar for intimidation points allocation. Threats would have to be verified by the PSNI and the NIHE would also consider additional information and the risk of danger to the household would need to be a serious and imminent one. She explained that there were currently 45,000 households on the waiting list with around 160 households which had intimidation points.</w:t>
      </w:r>
    </w:p>
    <w:p w14:paraId="3466DEB2" w14:textId="77777777" w:rsidR="00190D6B" w:rsidRPr="00190D6B" w:rsidRDefault="00190D6B" w:rsidP="00190D6B">
      <w:pPr>
        <w:rPr>
          <w:rFonts w:cs="Arial"/>
          <w:szCs w:val="24"/>
        </w:rPr>
      </w:pPr>
    </w:p>
    <w:p w14:paraId="697A1486" w14:textId="77777777" w:rsidR="00190D6B" w:rsidRPr="00190D6B" w:rsidRDefault="00190D6B" w:rsidP="00190D6B">
      <w:pPr>
        <w:rPr>
          <w:rFonts w:cs="Arial"/>
          <w:szCs w:val="24"/>
        </w:rPr>
      </w:pPr>
      <w:r w:rsidRPr="00190D6B">
        <w:rPr>
          <w:rFonts w:cs="Arial"/>
          <w:szCs w:val="24"/>
        </w:rPr>
        <w:t>Continuing, Ms Long explained that because that bar was so high the NIHE experienced routine challenges and there were two ongoing judicial reviews. She felt it was important to educate people on the allocation of intimidation points as there was a public perception.</w:t>
      </w:r>
    </w:p>
    <w:p w14:paraId="0B724BEC" w14:textId="77777777" w:rsidR="00190D6B" w:rsidRPr="00190D6B" w:rsidRDefault="00190D6B" w:rsidP="00190D6B">
      <w:pPr>
        <w:rPr>
          <w:rFonts w:cs="Arial"/>
          <w:szCs w:val="24"/>
        </w:rPr>
      </w:pPr>
    </w:p>
    <w:p w14:paraId="3AD75E26" w14:textId="77777777" w:rsidR="00190D6B" w:rsidRPr="00190D6B" w:rsidRDefault="00190D6B" w:rsidP="00190D6B">
      <w:pPr>
        <w:rPr>
          <w:rFonts w:cs="Arial"/>
          <w:szCs w:val="24"/>
        </w:rPr>
      </w:pPr>
      <w:r w:rsidRPr="00190D6B">
        <w:rPr>
          <w:rFonts w:cs="Arial"/>
          <w:szCs w:val="24"/>
        </w:rPr>
        <w:t>She referred to an ongoing government review of allocations and the Minister for the relevant department had taken the view that the NIHE should progress with all but two recommendations. One of those included the allocation of intimidation points which was currently undergoing further research and would be dependent on budget approval and a Ministerial decision.</w:t>
      </w:r>
    </w:p>
    <w:p w14:paraId="7343A13B" w14:textId="77777777" w:rsidR="00190D6B" w:rsidRPr="00190D6B" w:rsidRDefault="00190D6B" w:rsidP="00190D6B">
      <w:pPr>
        <w:rPr>
          <w:rFonts w:cs="Arial"/>
          <w:szCs w:val="24"/>
        </w:rPr>
      </w:pPr>
    </w:p>
    <w:p w14:paraId="048D54F1" w14:textId="77777777" w:rsidR="00190D6B" w:rsidRPr="00190D6B" w:rsidRDefault="00190D6B" w:rsidP="00190D6B">
      <w:pPr>
        <w:rPr>
          <w:rFonts w:cs="Arial"/>
          <w:szCs w:val="24"/>
        </w:rPr>
      </w:pPr>
      <w:r w:rsidRPr="00190D6B">
        <w:rPr>
          <w:rFonts w:cs="Arial"/>
          <w:szCs w:val="24"/>
        </w:rPr>
        <w:t>In a separate query, Councillor W Irvine praised the work of the now retired regional NIHE manager, Owen Brady. He noted the increased use by the NIHE on non-standard temporary accommodation such as hotels and B&amp;Bs and asked if there was a programme to seek more traditional, single let, temporary accommodation.</w:t>
      </w:r>
    </w:p>
    <w:p w14:paraId="3D004272" w14:textId="77777777" w:rsidR="00190D6B" w:rsidRPr="00190D6B" w:rsidRDefault="00190D6B" w:rsidP="00190D6B">
      <w:pPr>
        <w:rPr>
          <w:rFonts w:cs="Arial"/>
          <w:szCs w:val="24"/>
        </w:rPr>
      </w:pPr>
    </w:p>
    <w:p w14:paraId="4E01DF49" w14:textId="77777777" w:rsidR="00190D6B" w:rsidRPr="00190D6B" w:rsidRDefault="00190D6B" w:rsidP="00190D6B">
      <w:pPr>
        <w:rPr>
          <w:rFonts w:cs="Arial"/>
          <w:szCs w:val="24"/>
        </w:rPr>
      </w:pPr>
      <w:r w:rsidRPr="00190D6B">
        <w:rPr>
          <w:rFonts w:cs="Arial"/>
          <w:szCs w:val="24"/>
        </w:rPr>
        <w:t>Ms Long advised that there was work ongoing and believed it would be a number of years before the shortage could be addressed. Part of the issue had been a result of the Covid-19 pandemic and people forced to choose their social isolation bubble. There was also a growth in the number of landlords selling properties and leaving the sector. As a result the number of temporary accommodation placements and spend had increased.</w:t>
      </w:r>
    </w:p>
    <w:p w14:paraId="38DFE57C" w14:textId="77777777" w:rsidR="00190D6B" w:rsidRPr="00190D6B" w:rsidRDefault="00190D6B" w:rsidP="00190D6B">
      <w:pPr>
        <w:rPr>
          <w:rFonts w:cs="Arial"/>
          <w:szCs w:val="24"/>
        </w:rPr>
      </w:pPr>
    </w:p>
    <w:p w14:paraId="0073AA74" w14:textId="77777777" w:rsidR="00190D6B" w:rsidRPr="00190D6B" w:rsidRDefault="00190D6B" w:rsidP="00190D6B">
      <w:pPr>
        <w:rPr>
          <w:rFonts w:cs="Arial"/>
          <w:szCs w:val="24"/>
        </w:rPr>
      </w:pPr>
      <w:r w:rsidRPr="00190D6B">
        <w:rPr>
          <w:rFonts w:cs="Arial"/>
          <w:szCs w:val="24"/>
        </w:rPr>
        <w:t>There were no further questions so the Chair thanked the delegation for attending and they left the meeting.</w:t>
      </w:r>
    </w:p>
    <w:p w14:paraId="705EE6E6" w14:textId="77777777" w:rsidR="00190D6B" w:rsidRDefault="00190D6B" w:rsidP="00190D6B">
      <w:pPr>
        <w:rPr>
          <w:rFonts w:cs="Arial"/>
          <w:szCs w:val="24"/>
        </w:rPr>
      </w:pPr>
    </w:p>
    <w:p w14:paraId="70AA2771" w14:textId="77777777" w:rsidR="00874464" w:rsidRDefault="00874464" w:rsidP="00874464">
      <w:bookmarkStart w:id="2" w:name="_Hlk150434599"/>
      <w:bookmarkEnd w:id="0"/>
    </w:p>
    <w:p w14:paraId="03CCFFB1" w14:textId="1024D91F" w:rsidR="00190D6B" w:rsidRPr="00190D6B" w:rsidRDefault="00190D6B" w:rsidP="00190D6B">
      <w:pPr>
        <w:keepNext/>
        <w:keepLines/>
        <w:outlineLvl w:val="0"/>
        <w:rPr>
          <w:rFonts w:eastAsia="Times New Roman"/>
          <w:b/>
          <w:caps/>
          <w:sz w:val="28"/>
          <w:szCs w:val="32"/>
          <w:u w:val="single"/>
        </w:rPr>
      </w:pPr>
      <w:r w:rsidRPr="00190D6B">
        <w:rPr>
          <w:rFonts w:eastAsia="Times New Roman"/>
          <w:b/>
          <w:caps/>
          <w:sz w:val="28"/>
          <w:szCs w:val="32"/>
        </w:rPr>
        <w:lastRenderedPageBreak/>
        <w:t>4.</w:t>
      </w:r>
      <w:r w:rsidRPr="00190D6B">
        <w:rPr>
          <w:rFonts w:eastAsia="Times New Roman"/>
          <w:b/>
          <w:caps/>
          <w:sz w:val="28"/>
          <w:szCs w:val="32"/>
        </w:rPr>
        <w:tab/>
      </w:r>
      <w:r w:rsidRPr="00190D6B">
        <w:rPr>
          <w:rFonts w:eastAsia="Times New Roman"/>
          <w:b/>
          <w:caps/>
          <w:sz w:val="28"/>
          <w:szCs w:val="32"/>
          <w:u w:val="single"/>
        </w:rPr>
        <w:t>Budgeting Policy (FIN58)</w:t>
      </w:r>
    </w:p>
    <w:p w14:paraId="6A79EB29" w14:textId="77777777" w:rsidR="00190D6B" w:rsidRPr="00190D6B" w:rsidRDefault="00190D6B" w:rsidP="00190D6B">
      <w:pPr>
        <w:ind w:left="720"/>
        <w:rPr>
          <w:rFonts w:eastAsiaTheme="minorHAnsi" w:cs="Arial"/>
          <w:szCs w:val="24"/>
        </w:rPr>
      </w:pPr>
      <w:r w:rsidRPr="00190D6B">
        <w:rPr>
          <w:rFonts w:eastAsiaTheme="minorHAnsi" w:cs="Arial"/>
          <w:szCs w:val="24"/>
        </w:rPr>
        <w:t>(Appendix III)</w:t>
      </w:r>
    </w:p>
    <w:p w14:paraId="623F7722" w14:textId="77777777" w:rsidR="00190D6B" w:rsidRPr="00190D6B" w:rsidRDefault="00190D6B" w:rsidP="00190D6B">
      <w:pPr>
        <w:ind w:left="720"/>
        <w:rPr>
          <w:rFonts w:eastAsiaTheme="minorHAnsi" w:cs="Arial"/>
          <w:szCs w:val="24"/>
        </w:rPr>
      </w:pPr>
    </w:p>
    <w:p w14:paraId="37CA3B21" w14:textId="77777777" w:rsidR="00190D6B" w:rsidRPr="00190D6B" w:rsidRDefault="00190D6B" w:rsidP="00190D6B">
      <w:pPr>
        <w:rPr>
          <w:szCs w:val="24"/>
        </w:rPr>
      </w:pPr>
      <w:r w:rsidRPr="00190D6B">
        <w:rPr>
          <w:caps/>
          <w:szCs w:val="24"/>
        </w:rPr>
        <w:t>Previously circulated:-</w:t>
      </w:r>
      <w:r w:rsidRPr="00190D6B">
        <w:rPr>
          <w:szCs w:val="24"/>
        </w:rPr>
        <w:t xml:space="preserve"> Report from Director of Corporate Services that this was the fourth policy to come to the Committee as part of the Finance Service policy development programme. The policy regularised and enhanced current practice. The policy statement was contained in chapter 1 and was for Council approval subsequent chapters were procural in nature and subject to management review from time to time.</w:t>
      </w:r>
    </w:p>
    <w:p w14:paraId="644B2A6B" w14:textId="77777777" w:rsidR="00190D6B" w:rsidRPr="00190D6B" w:rsidRDefault="00190D6B" w:rsidP="00190D6B">
      <w:pPr>
        <w:rPr>
          <w:szCs w:val="24"/>
        </w:rPr>
      </w:pPr>
    </w:p>
    <w:p w14:paraId="32A72503" w14:textId="77777777" w:rsidR="00190D6B" w:rsidRPr="00190D6B" w:rsidRDefault="00190D6B" w:rsidP="00190D6B">
      <w:pPr>
        <w:rPr>
          <w:szCs w:val="24"/>
        </w:rPr>
      </w:pPr>
      <w:r w:rsidRPr="00190D6B">
        <w:rPr>
          <w:szCs w:val="24"/>
        </w:rPr>
        <w:t>The objectives of the policy were set out on page 3 and were:</w:t>
      </w:r>
    </w:p>
    <w:p w14:paraId="5143AB45" w14:textId="77777777" w:rsidR="00190D6B" w:rsidRPr="00190D6B" w:rsidRDefault="00190D6B" w:rsidP="00874464">
      <w:pPr>
        <w:numPr>
          <w:ilvl w:val="0"/>
          <w:numId w:val="3"/>
        </w:numPr>
        <w:rPr>
          <w:szCs w:val="24"/>
        </w:rPr>
      </w:pPr>
      <w:r w:rsidRPr="00190D6B">
        <w:rPr>
          <w:szCs w:val="24"/>
        </w:rPr>
        <w:t>Financial plans were affordable, sustainable and prudent</w:t>
      </w:r>
    </w:p>
    <w:p w14:paraId="2C0E6556" w14:textId="77777777" w:rsidR="00190D6B" w:rsidRPr="00190D6B" w:rsidRDefault="00190D6B" w:rsidP="00874464">
      <w:pPr>
        <w:numPr>
          <w:ilvl w:val="0"/>
          <w:numId w:val="3"/>
        </w:numPr>
        <w:rPr>
          <w:szCs w:val="24"/>
        </w:rPr>
      </w:pPr>
      <w:r w:rsidRPr="00190D6B">
        <w:rPr>
          <w:szCs w:val="24"/>
        </w:rPr>
        <w:t>Decisions were evidence-based at strategic and operational levels</w:t>
      </w:r>
    </w:p>
    <w:p w14:paraId="3F5263F7" w14:textId="77777777" w:rsidR="00190D6B" w:rsidRPr="00190D6B" w:rsidRDefault="00190D6B" w:rsidP="00874464">
      <w:pPr>
        <w:numPr>
          <w:ilvl w:val="0"/>
          <w:numId w:val="3"/>
        </w:numPr>
        <w:rPr>
          <w:szCs w:val="24"/>
        </w:rPr>
      </w:pPr>
      <w:r w:rsidRPr="00190D6B">
        <w:rPr>
          <w:szCs w:val="24"/>
        </w:rPr>
        <w:t>There was a framework for a multi-year integrated business planning process</w:t>
      </w:r>
    </w:p>
    <w:p w14:paraId="56D1DEC2" w14:textId="77777777" w:rsidR="00190D6B" w:rsidRPr="00190D6B" w:rsidRDefault="00190D6B" w:rsidP="00874464">
      <w:pPr>
        <w:numPr>
          <w:ilvl w:val="0"/>
          <w:numId w:val="3"/>
        </w:numPr>
        <w:rPr>
          <w:szCs w:val="24"/>
        </w:rPr>
      </w:pPr>
      <w:r w:rsidRPr="00190D6B">
        <w:rPr>
          <w:szCs w:val="24"/>
        </w:rPr>
        <w:t>There was an efficient and effective framework for financial management, forecasting and accountability, that allowed budget holders to make decisions in line with the scheme of delegation and within appropriate timescales.</w:t>
      </w:r>
    </w:p>
    <w:p w14:paraId="4C5BA51F" w14:textId="77777777" w:rsidR="00190D6B" w:rsidRPr="00190D6B" w:rsidRDefault="00190D6B" w:rsidP="00874464">
      <w:pPr>
        <w:numPr>
          <w:ilvl w:val="0"/>
          <w:numId w:val="3"/>
        </w:numPr>
        <w:rPr>
          <w:szCs w:val="24"/>
        </w:rPr>
      </w:pPr>
      <w:r w:rsidRPr="00190D6B">
        <w:rPr>
          <w:szCs w:val="24"/>
        </w:rPr>
        <w:t>There was appropriate time for the Finance team to actively engage with Services.</w:t>
      </w:r>
    </w:p>
    <w:p w14:paraId="72DA7EA2" w14:textId="77777777" w:rsidR="00190D6B" w:rsidRPr="00190D6B" w:rsidRDefault="00190D6B" w:rsidP="00190D6B">
      <w:pPr>
        <w:rPr>
          <w:szCs w:val="24"/>
        </w:rPr>
      </w:pPr>
      <w:r w:rsidRPr="00190D6B">
        <w:rPr>
          <w:szCs w:val="24"/>
        </w:rPr>
        <w:t>The document covered the following areas:</w:t>
      </w:r>
    </w:p>
    <w:p w14:paraId="43390E07" w14:textId="77777777" w:rsidR="00190D6B" w:rsidRPr="00190D6B" w:rsidRDefault="00190D6B" w:rsidP="00190D6B">
      <w:pPr>
        <w:rPr>
          <w:szCs w:val="24"/>
        </w:rPr>
      </w:pPr>
    </w:p>
    <w:tbl>
      <w:tblPr>
        <w:tblStyle w:val="GridTable4-Accent51"/>
        <w:tblW w:w="0" w:type="auto"/>
        <w:tblInd w:w="421" w:type="dxa"/>
        <w:tblLook w:val="0420" w:firstRow="1" w:lastRow="0" w:firstColumn="0" w:lastColumn="0" w:noHBand="0" w:noVBand="1"/>
      </w:tblPr>
      <w:tblGrid>
        <w:gridCol w:w="1134"/>
        <w:gridCol w:w="6095"/>
      </w:tblGrid>
      <w:tr w:rsidR="00190D6B" w:rsidRPr="00190D6B" w14:paraId="4DE77FA9" w14:textId="77777777" w:rsidTr="00190D6B">
        <w:trPr>
          <w:cnfStyle w:val="100000000000" w:firstRow="1" w:lastRow="0" w:firstColumn="0" w:lastColumn="0" w:oddVBand="0" w:evenVBand="0" w:oddHBand="0" w:evenHBand="0" w:firstRowFirstColumn="0" w:firstRowLastColumn="0" w:lastRowFirstColumn="0" w:lastRowLastColumn="0"/>
          <w:tblHeader/>
        </w:trPr>
        <w:tc>
          <w:tcPr>
            <w:tcW w:w="1134" w:type="dxa"/>
            <w:hideMark/>
          </w:tcPr>
          <w:p w14:paraId="7EDC0213" w14:textId="77777777" w:rsidR="00190D6B" w:rsidRPr="00190D6B" w:rsidRDefault="00190D6B" w:rsidP="00190D6B">
            <w:r w:rsidRPr="00190D6B">
              <w:t>Chapter</w:t>
            </w:r>
          </w:p>
        </w:tc>
        <w:tc>
          <w:tcPr>
            <w:tcW w:w="6095" w:type="dxa"/>
            <w:hideMark/>
          </w:tcPr>
          <w:p w14:paraId="59488372" w14:textId="77777777" w:rsidR="00190D6B" w:rsidRPr="00190D6B" w:rsidRDefault="00190D6B" w:rsidP="00190D6B">
            <w:r w:rsidRPr="00190D6B">
              <w:t>Title</w:t>
            </w:r>
          </w:p>
        </w:tc>
      </w:tr>
      <w:tr w:rsidR="00190D6B" w:rsidRPr="00190D6B" w14:paraId="4DED1107" w14:textId="77777777" w:rsidTr="00190D6B">
        <w:trPr>
          <w:cnfStyle w:val="000000100000" w:firstRow="0" w:lastRow="0" w:firstColumn="0" w:lastColumn="0" w:oddVBand="0" w:evenVBand="0" w:oddHBand="1" w:evenHBand="0" w:firstRowFirstColumn="0" w:firstRowLastColumn="0" w:lastRowFirstColumn="0" w:lastRowLastColumn="0"/>
        </w:trPr>
        <w:tc>
          <w:tcPr>
            <w:tcW w:w="113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51948AA" w14:textId="77777777" w:rsidR="00190D6B" w:rsidRPr="00190D6B" w:rsidRDefault="00190D6B" w:rsidP="00190D6B">
            <w:r w:rsidRPr="00190D6B">
              <w:t>1</w:t>
            </w:r>
          </w:p>
        </w:tc>
        <w:tc>
          <w:tcPr>
            <w:tcW w:w="609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6058C87" w14:textId="77777777" w:rsidR="00190D6B" w:rsidRPr="00190D6B" w:rsidRDefault="00190D6B" w:rsidP="00190D6B">
            <w:r w:rsidRPr="00190D6B">
              <w:t>Policy Statement</w:t>
            </w:r>
          </w:p>
        </w:tc>
      </w:tr>
      <w:tr w:rsidR="00190D6B" w:rsidRPr="00190D6B" w14:paraId="2126E701" w14:textId="77777777" w:rsidTr="00190D6B">
        <w:tc>
          <w:tcPr>
            <w:tcW w:w="113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AB3084C" w14:textId="77777777" w:rsidR="00190D6B" w:rsidRPr="00190D6B" w:rsidRDefault="00190D6B" w:rsidP="00190D6B">
            <w:r w:rsidRPr="00190D6B">
              <w:t>2</w:t>
            </w:r>
          </w:p>
        </w:tc>
        <w:tc>
          <w:tcPr>
            <w:tcW w:w="609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151FB69" w14:textId="77777777" w:rsidR="00190D6B" w:rsidRPr="00190D6B" w:rsidRDefault="00190D6B" w:rsidP="00190D6B">
            <w:r w:rsidRPr="00190D6B">
              <w:t>Financial Resilience</w:t>
            </w:r>
          </w:p>
        </w:tc>
      </w:tr>
      <w:tr w:rsidR="00190D6B" w:rsidRPr="00190D6B" w14:paraId="4ADE30A7" w14:textId="77777777" w:rsidTr="00190D6B">
        <w:trPr>
          <w:cnfStyle w:val="000000100000" w:firstRow="0" w:lastRow="0" w:firstColumn="0" w:lastColumn="0" w:oddVBand="0" w:evenVBand="0" w:oddHBand="1" w:evenHBand="0" w:firstRowFirstColumn="0" w:firstRowLastColumn="0" w:lastRowFirstColumn="0" w:lastRowLastColumn="0"/>
        </w:trPr>
        <w:tc>
          <w:tcPr>
            <w:tcW w:w="113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C78CE81" w14:textId="77777777" w:rsidR="00190D6B" w:rsidRPr="00190D6B" w:rsidRDefault="00190D6B" w:rsidP="00190D6B">
            <w:r w:rsidRPr="00190D6B">
              <w:t>3</w:t>
            </w:r>
          </w:p>
        </w:tc>
        <w:tc>
          <w:tcPr>
            <w:tcW w:w="609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1970D17" w14:textId="77777777" w:rsidR="00190D6B" w:rsidRPr="00190D6B" w:rsidRDefault="00190D6B" w:rsidP="00190D6B">
            <w:r w:rsidRPr="00190D6B">
              <w:t>High Level Budgeting Process</w:t>
            </w:r>
          </w:p>
        </w:tc>
      </w:tr>
      <w:tr w:rsidR="00190D6B" w:rsidRPr="00190D6B" w14:paraId="47F48512" w14:textId="77777777" w:rsidTr="00190D6B">
        <w:tc>
          <w:tcPr>
            <w:tcW w:w="113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8FD55E7" w14:textId="77777777" w:rsidR="00190D6B" w:rsidRPr="00190D6B" w:rsidRDefault="00190D6B" w:rsidP="00190D6B">
            <w:r w:rsidRPr="00190D6B">
              <w:t>4</w:t>
            </w:r>
          </w:p>
        </w:tc>
        <w:tc>
          <w:tcPr>
            <w:tcW w:w="609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9D55396" w14:textId="77777777" w:rsidR="00190D6B" w:rsidRPr="00190D6B" w:rsidRDefault="00190D6B" w:rsidP="00190D6B">
            <w:r w:rsidRPr="00190D6B">
              <w:t>Investment Decision Making</w:t>
            </w:r>
          </w:p>
        </w:tc>
      </w:tr>
      <w:tr w:rsidR="00190D6B" w:rsidRPr="00190D6B" w14:paraId="0E1DC6A0" w14:textId="77777777" w:rsidTr="00190D6B">
        <w:trPr>
          <w:cnfStyle w:val="000000100000" w:firstRow="0" w:lastRow="0" w:firstColumn="0" w:lastColumn="0" w:oddVBand="0" w:evenVBand="0" w:oddHBand="1" w:evenHBand="0" w:firstRowFirstColumn="0" w:firstRowLastColumn="0" w:lastRowFirstColumn="0" w:lastRowLastColumn="0"/>
        </w:trPr>
        <w:tc>
          <w:tcPr>
            <w:tcW w:w="113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AA1ECBE" w14:textId="77777777" w:rsidR="00190D6B" w:rsidRPr="00190D6B" w:rsidRDefault="00190D6B" w:rsidP="00190D6B">
            <w:r w:rsidRPr="00190D6B">
              <w:t>5</w:t>
            </w:r>
          </w:p>
        </w:tc>
        <w:tc>
          <w:tcPr>
            <w:tcW w:w="609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103E967" w14:textId="77777777" w:rsidR="00190D6B" w:rsidRPr="00190D6B" w:rsidRDefault="00190D6B" w:rsidP="00190D6B">
            <w:r w:rsidRPr="00190D6B">
              <w:t>Budgeting for Major Income and Expenditure Streams</w:t>
            </w:r>
          </w:p>
        </w:tc>
      </w:tr>
      <w:tr w:rsidR="00190D6B" w:rsidRPr="00190D6B" w14:paraId="2853F3C7" w14:textId="77777777" w:rsidTr="00190D6B">
        <w:tc>
          <w:tcPr>
            <w:tcW w:w="113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7599011" w14:textId="77777777" w:rsidR="00190D6B" w:rsidRPr="00190D6B" w:rsidRDefault="00190D6B" w:rsidP="00190D6B">
            <w:r w:rsidRPr="00190D6B">
              <w:t>6</w:t>
            </w:r>
          </w:p>
        </w:tc>
        <w:tc>
          <w:tcPr>
            <w:tcW w:w="609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1F89409" w14:textId="77777777" w:rsidR="00190D6B" w:rsidRPr="00190D6B" w:rsidRDefault="00190D6B" w:rsidP="00190D6B">
            <w:r w:rsidRPr="00190D6B">
              <w:t>Revenue Budget Reporting</w:t>
            </w:r>
          </w:p>
        </w:tc>
      </w:tr>
      <w:tr w:rsidR="00190D6B" w:rsidRPr="00190D6B" w14:paraId="622EFE29" w14:textId="77777777" w:rsidTr="00190D6B">
        <w:trPr>
          <w:cnfStyle w:val="000000100000" w:firstRow="0" w:lastRow="0" w:firstColumn="0" w:lastColumn="0" w:oddVBand="0" w:evenVBand="0" w:oddHBand="1" w:evenHBand="0" w:firstRowFirstColumn="0" w:firstRowLastColumn="0" w:lastRowFirstColumn="0" w:lastRowLastColumn="0"/>
        </w:trPr>
        <w:tc>
          <w:tcPr>
            <w:tcW w:w="113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7BBD499" w14:textId="77777777" w:rsidR="00190D6B" w:rsidRPr="00190D6B" w:rsidRDefault="00190D6B" w:rsidP="00190D6B">
            <w:r w:rsidRPr="00190D6B">
              <w:t>7</w:t>
            </w:r>
          </w:p>
        </w:tc>
        <w:tc>
          <w:tcPr>
            <w:tcW w:w="609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BD7D5B9" w14:textId="77777777" w:rsidR="00190D6B" w:rsidRPr="00190D6B" w:rsidRDefault="00190D6B" w:rsidP="00190D6B">
            <w:r w:rsidRPr="00190D6B">
              <w:t>Capital Budget Reporting</w:t>
            </w:r>
          </w:p>
        </w:tc>
      </w:tr>
      <w:tr w:rsidR="00190D6B" w:rsidRPr="00190D6B" w14:paraId="62E3AB35" w14:textId="77777777" w:rsidTr="00190D6B">
        <w:tc>
          <w:tcPr>
            <w:tcW w:w="113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FD95093" w14:textId="77777777" w:rsidR="00190D6B" w:rsidRPr="00190D6B" w:rsidRDefault="00190D6B" w:rsidP="00190D6B">
            <w:r w:rsidRPr="00190D6B">
              <w:t>8</w:t>
            </w:r>
          </w:p>
        </w:tc>
        <w:tc>
          <w:tcPr>
            <w:tcW w:w="609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EF4DD8A" w14:textId="77777777" w:rsidR="00190D6B" w:rsidRPr="00190D6B" w:rsidRDefault="00190D6B" w:rsidP="00190D6B">
            <w:r w:rsidRPr="00190D6B">
              <w:t>Budget Management</w:t>
            </w:r>
          </w:p>
        </w:tc>
      </w:tr>
      <w:tr w:rsidR="00190D6B" w:rsidRPr="00190D6B" w14:paraId="2ADFF245" w14:textId="77777777" w:rsidTr="00190D6B">
        <w:trPr>
          <w:cnfStyle w:val="000000100000" w:firstRow="0" w:lastRow="0" w:firstColumn="0" w:lastColumn="0" w:oddVBand="0" w:evenVBand="0" w:oddHBand="1" w:evenHBand="0" w:firstRowFirstColumn="0" w:firstRowLastColumn="0" w:lastRowFirstColumn="0" w:lastRowLastColumn="0"/>
        </w:trPr>
        <w:tc>
          <w:tcPr>
            <w:tcW w:w="113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32BF34F" w14:textId="77777777" w:rsidR="00190D6B" w:rsidRPr="00190D6B" w:rsidRDefault="00190D6B" w:rsidP="00190D6B">
            <w:r w:rsidRPr="00190D6B">
              <w:t>9</w:t>
            </w:r>
          </w:p>
        </w:tc>
        <w:tc>
          <w:tcPr>
            <w:tcW w:w="609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821FC7B" w14:textId="77777777" w:rsidR="00190D6B" w:rsidRPr="00190D6B" w:rsidRDefault="00190D6B" w:rsidP="00190D6B">
            <w:r w:rsidRPr="00190D6B">
              <w:t>Engagement</w:t>
            </w:r>
          </w:p>
        </w:tc>
      </w:tr>
    </w:tbl>
    <w:p w14:paraId="6C5E1702" w14:textId="77777777" w:rsidR="00190D6B" w:rsidRPr="00190D6B" w:rsidRDefault="00190D6B" w:rsidP="00190D6B">
      <w:pPr>
        <w:rPr>
          <w:szCs w:val="24"/>
        </w:rPr>
      </w:pPr>
    </w:p>
    <w:p w14:paraId="70A58EAD" w14:textId="77777777" w:rsidR="00190D6B" w:rsidRPr="00190D6B" w:rsidRDefault="00190D6B" w:rsidP="00190D6B">
      <w:pPr>
        <w:rPr>
          <w:szCs w:val="24"/>
        </w:rPr>
      </w:pPr>
    </w:p>
    <w:p w14:paraId="1A5F72DE" w14:textId="77777777" w:rsidR="00190D6B" w:rsidRPr="00190D6B" w:rsidRDefault="00190D6B" w:rsidP="00190D6B">
      <w:r w:rsidRPr="00190D6B">
        <w:rPr>
          <w:szCs w:val="24"/>
        </w:rPr>
        <w:t>RECOMMENDED that Council approves the Budgeting Policy and Procedures set out in the appendix to the report.</w:t>
      </w:r>
    </w:p>
    <w:p w14:paraId="5AC67767" w14:textId="77777777" w:rsidR="00190D6B" w:rsidRPr="00190D6B" w:rsidRDefault="00190D6B" w:rsidP="00190D6B">
      <w:pPr>
        <w:rPr>
          <w:b/>
          <w:bCs/>
        </w:rPr>
      </w:pPr>
    </w:p>
    <w:p w14:paraId="0ADF9292" w14:textId="77777777" w:rsidR="00190D6B" w:rsidRPr="00190D6B" w:rsidRDefault="00190D6B" w:rsidP="00190D6B">
      <w:pPr>
        <w:rPr>
          <w:b/>
          <w:bCs/>
        </w:rPr>
      </w:pPr>
      <w:r w:rsidRPr="00190D6B">
        <w:rPr>
          <w:b/>
          <w:bCs/>
        </w:rPr>
        <w:t>AGREED TO RECOMMEND, on the proposal of Councillor W Irvine, seconded by Alderman Graham, that the recommendation be adopted.</w:t>
      </w:r>
    </w:p>
    <w:bookmarkEnd w:id="2"/>
    <w:p w14:paraId="3E06B0F3" w14:textId="77777777" w:rsidR="00190D6B" w:rsidRPr="00190D6B" w:rsidRDefault="00190D6B" w:rsidP="00190D6B">
      <w:pPr>
        <w:ind w:left="720"/>
        <w:rPr>
          <w:rFonts w:eastAsiaTheme="minorHAnsi" w:cs="Arial"/>
          <w:szCs w:val="24"/>
        </w:rPr>
      </w:pPr>
    </w:p>
    <w:p w14:paraId="21BF1FD0" w14:textId="77777777" w:rsidR="00190D6B" w:rsidRPr="00190D6B" w:rsidRDefault="00190D6B" w:rsidP="00190D6B">
      <w:pPr>
        <w:keepNext/>
        <w:keepLines/>
        <w:outlineLvl w:val="0"/>
        <w:rPr>
          <w:rFonts w:eastAsia="Times New Roman"/>
          <w:b/>
          <w:caps/>
          <w:sz w:val="28"/>
          <w:szCs w:val="32"/>
          <w:u w:val="single"/>
        </w:rPr>
      </w:pPr>
      <w:r w:rsidRPr="00190D6B">
        <w:rPr>
          <w:rFonts w:eastAsia="Times New Roman"/>
          <w:b/>
          <w:caps/>
          <w:sz w:val="28"/>
          <w:szCs w:val="32"/>
        </w:rPr>
        <w:t>5.</w:t>
      </w:r>
      <w:r w:rsidRPr="00190D6B">
        <w:rPr>
          <w:rFonts w:eastAsia="Times New Roman"/>
          <w:b/>
          <w:caps/>
          <w:sz w:val="28"/>
          <w:szCs w:val="32"/>
        </w:rPr>
        <w:tab/>
      </w:r>
      <w:r w:rsidRPr="00190D6B">
        <w:rPr>
          <w:rFonts w:eastAsia="Times New Roman"/>
          <w:b/>
          <w:caps/>
          <w:sz w:val="28"/>
          <w:szCs w:val="32"/>
          <w:u w:val="single"/>
        </w:rPr>
        <w:t>Budgetary Control Report – September 2023 (FIN45)</w:t>
      </w:r>
    </w:p>
    <w:p w14:paraId="3C34379E" w14:textId="77777777" w:rsidR="00190D6B" w:rsidRPr="00190D6B" w:rsidRDefault="00190D6B" w:rsidP="00190D6B">
      <w:pPr>
        <w:ind w:left="720"/>
        <w:rPr>
          <w:rFonts w:eastAsiaTheme="minorHAnsi" w:cs="Arial"/>
          <w:szCs w:val="24"/>
        </w:rPr>
      </w:pPr>
    </w:p>
    <w:p w14:paraId="3A46860F" w14:textId="77777777" w:rsidR="00190D6B" w:rsidRPr="00190D6B" w:rsidRDefault="00190D6B" w:rsidP="00190D6B">
      <w:pPr>
        <w:rPr>
          <w:szCs w:val="24"/>
        </w:rPr>
      </w:pPr>
      <w:r w:rsidRPr="00190D6B">
        <w:rPr>
          <w:caps/>
          <w:szCs w:val="24"/>
        </w:rPr>
        <w:t>Previously circulated:-</w:t>
      </w:r>
      <w:r w:rsidRPr="00190D6B">
        <w:rPr>
          <w:szCs w:val="24"/>
        </w:rPr>
        <w:t xml:space="preserve"> Report from Director of Corporate Services detailing that this Budgetary Control Report covered the 6-month period 1 April to 30 September 2023. </w:t>
      </w:r>
    </w:p>
    <w:p w14:paraId="3E91C93D" w14:textId="77777777" w:rsidR="00190D6B" w:rsidRPr="00190D6B" w:rsidRDefault="00190D6B" w:rsidP="00190D6B">
      <w:pPr>
        <w:rPr>
          <w:szCs w:val="24"/>
        </w:rPr>
      </w:pPr>
    </w:p>
    <w:p w14:paraId="79E1F030" w14:textId="77777777" w:rsidR="00190D6B" w:rsidRPr="00190D6B" w:rsidRDefault="00190D6B" w:rsidP="00190D6B">
      <w:pPr>
        <w:rPr>
          <w:szCs w:val="24"/>
        </w:rPr>
      </w:pPr>
      <w:r w:rsidRPr="00190D6B">
        <w:rPr>
          <w:szCs w:val="24"/>
        </w:rPr>
        <w:t>The Revenue Budgetary Control Report by Directorate was set out in Report 1 on page 3 and showed an overall surplus of £410k. This indicated that the Council was in line to achieve its end of year forecast surplus of £1,562.2k.</w:t>
      </w:r>
    </w:p>
    <w:p w14:paraId="6BC86921" w14:textId="77777777" w:rsidR="00190D6B" w:rsidRPr="00190D6B" w:rsidRDefault="00190D6B" w:rsidP="00190D6B">
      <w:pPr>
        <w:rPr>
          <w:b/>
          <w:szCs w:val="24"/>
        </w:rPr>
      </w:pPr>
    </w:p>
    <w:p w14:paraId="02761565" w14:textId="77777777" w:rsidR="00190D6B" w:rsidRPr="00190D6B" w:rsidRDefault="00190D6B" w:rsidP="00190D6B">
      <w:pPr>
        <w:rPr>
          <w:b/>
          <w:szCs w:val="24"/>
        </w:rPr>
      </w:pPr>
      <w:r w:rsidRPr="00190D6B">
        <w:rPr>
          <w:b/>
          <w:szCs w:val="24"/>
        </w:rPr>
        <w:lastRenderedPageBreak/>
        <w:t>Explanation of Variance</w:t>
      </w:r>
    </w:p>
    <w:p w14:paraId="071F87A8" w14:textId="77777777" w:rsidR="00190D6B" w:rsidRPr="00190D6B" w:rsidRDefault="00190D6B" w:rsidP="00190D6B">
      <w:pPr>
        <w:rPr>
          <w:szCs w:val="24"/>
        </w:rPr>
      </w:pPr>
      <w:r w:rsidRPr="00190D6B">
        <w:rPr>
          <w:szCs w:val="24"/>
        </w:rPr>
        <w:t xml:space="preserve">The Council’s budget performance was further analysed on pages 5-7 into 3 key areas: </w:t>
      </w:r>
    </w:p>
    <w:tbl>
      <w:tblPr>
        <w:tblStyle w:val="TableGrid1"/>
        <w:tblW w:w="0" w:type="auto"/>
        <w:tblInd w:w="0" w:type="dxa"/>
        <w:tblLook w:val="04A0" w:firstRow="1" w:lastRow="0" w:firstColumn="1" w:lastColumn="0" w:noHBand="0" w:noVBand="1"/>
      </w:tblPr>
      <w:tblGrid>
        <w:gridCol w:w="1413"/>
        <w:gridCol w:w="3969"/>
        <w:gridCol w:w="2530"/>
        <w:gridCol w:w="931"/>
      </w:tblGrid>
      <w:tr w:rsidR="00190D6B" w:rsidRPr="00190D6B" w14:paraId="2DDC97BF" w14:textId="77777777" w:rsidTr="00190D6B">
        <w:trPr>
          <w:trHeight w:val="397"/>
        </w:trPr>
        <w:tc>
          <w:tcPr>
            <w:tcW w:w="1413" w:type="dxa"/>
            <w:tcBorders>
              <w:top w:val="single" w:sz="4" w:space="0" w:color="auto"/>
              <w:left w:val="single" w:sz="4" w:space="0" w:color="auto"/>
              <w:bottom w:val="single" w:sz="4" w:space="0" w:color="auto"/>
              <w:right w:val="single" w:sz="4" w:space="0" w:color="auto"/>
            </w:tcBorders>
            <w:vAlign w:val="center"/>
            <w:hideMark/>
          </w:tcPr>
          <w:p w14:paraId="5FA3E1D8" w14:textId="77777777" w:rsidR="00190D6B" w:rsidRPr="00190D6B" w:rsidRDefault="00190D6B" w:rsidP="00190D6B">
            <w:pPr>
              <w:rPr>
                <w:b/>
              </w:rPr>
            </w:pPr>
            <w:r w:rsidRPr="00190D6B">
              <w:rPr>
                <w:b/>
              </w:rPr>
              <w:t>Report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1BF394" w14:textId="77777777" w:rsidR="00190D6B" w:rsidRPr="00190D6B" w:rsidRDefault="00190D6B" w:rsidP="00190D6B">
            <w:pPr>
              <w:rPr>
                <w:b/>
              </w:rPr>
            </w:pPr>
            <w:r w:rsidRPr="00190D6B">
              <w:rPr>
                <w:b/>
              </w:rPr>
              <w:t>Type</w:t>
            </w:r>
          </w:p>
        </w:tc>
        <w:tc>
          <w:tcPr>
            <w:tcW w:w="2530" w:type="dxa"/>
            <w:tcBorders>
              <w:top w:val="single" w:sz="4" w:space="0" w:color="auto"/>
              <w:left w:val="single" w:sz="4" w:space="0" w:color="auto"/>
              <w:bottom w:val="single" w:sz="4" w:space="0" w:color="auto"/>
              <w:right w:val="single" w:sz="4" w:space="0" w:color="auto"/>
            </w:tcBorders>
            <w:vAlign w:val="center"/>
            <w:hideMark/>
          </w:tcPr>
          <w:p w14:paraId="245C3056" w14:textId="77777777" w:rsidR="00190D6B" w:rsidRPr="00190D6B" w:rsidRDefault="00190D6B" w:rsidP="00190D6B">
            <w:pPr>
              <w:rPr>
                <w:b/>
              </w:rPr>
            </w:pPr>
            <w:r w:rsidRPr="00190D6B">
              <w:rPr>
                <w:b/>
              </w:rPr>
              <w:t>Variance</w:t>
            </w:r>
          </w:p>
        </w:tc>
        <w:tc>
          <w:tcPr>
            <w:tcW w:w="931" w:type="dxa"/>
            <w:tcBorders>
              <w:top w:val="single" w:sz="4" w:space="0" w:color="auto"/>
              <w:left w:val="single" w:sz="4" w:space="0" w:color="auto"/>
              <w:bottom w:val="single" w:sz="4" w:space="0" w:color="auto"/>
              <w:right w:val="single" w:sz="4" w:space="0" w:color="auto"/>
            </w:tcBorders>
            <w:vAlign w:val="center"/>
            <w:hideMark/>
          </w:tcPr>
          <w:p w14:paraId="7FB71639" w14:textId="77777777" w:rsidR="00190D6B" w:rsidRPr="00190D6B" w:rsidRDefault="00190D6B" w:rsidP="00190D6B">
            <w:pPr>
              <w:rPr>
                <w:b/>
              </w:rPr>
            </w:pPr>
            <w:r w:rsidRPr="00190D6B">
              <w:rPr>
                <w:b/>
              </w:rPr>
              <w:t>Page</w:t>
            </w:r>
          </w:p>
        </w:tc>
      </w:tr>
      <w:tr w:rsidR="00190D6B" w:rsidRPr="00190D6B" w14:paraId="079ADFDB" w14:textId="77777777" w:rsidTr="00190D6B">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2B64ACA" w14:textId="77777777" w:rsidR="00190D6B" w:rsidRPr="00190D6B" w:rsidRDefault="00190D6B" w:rsidP="00190D6B">
            <w:pPr>
              <w:rPr>
                <w:b/>
              </w:rPr>
            </w:pPr>
            <w:r w:rsidRPr="00190D6B">
              <w:rPr>
                <w:b/>
              </w:rPr>
              <w:t>Report 2</w:t>
            </w:r>
          </w:p>
        </w:tc>
        <w:tc>
          <w:tcPr>
            <w:tcW w:w="3969"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5FD70A" w14:textId="77777777" w:rsidR="00190D6B" w:rsidRPr="00190D6B" w:rsidRDefault="00190D6B" w:rsidP="00190D6B">
            <w:r w:rsidRPr="00190D6B">
              <w:t>Payroll</w:t>
            </w:r>
          </w:p>
        </w:tc>
        <w:tc>
          <w:tcPr>
            <w:tcW w:w="253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5C96231" w14:textId="77777777" w:rsidR="00190D6B" w:rsidRPr="00190D6B" w:rsidRDefault="00190D6B" w:rsidP="00190D6B">
            <w:r w:rsidRPr="00190D6B">
              <w:t>£239k favourable</w:t>
            </w:r>
          </w:p>
        </w:tc>
        <w:tc>
          <w:tcPr>
            <w:tcW w:w="93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9C8CE30" w14:textId="77777777" w:rsidR="00190D6B" w:rsidRPr="00190D6B" w:rsidRDefault="00190D6B" w:rsidP="00190D6B">
            <w:pPr>
              <w:rPr>
                <w:b/>
              </w:rPr>
            </w:pPr>
            <w:r w:rsidRPr="00190D6B">
              <w:rPr>
                <w:b/>
              </w:rPr>
              <w:t>5</w:t>
            </w:r>
          </w:p>
        </w:tc>
      </w:tr>
      <w:tr w:rsidR="00190D6B" w:rsidRPr="00190D6B" w14:paraId="6ADC9062" w14:textId="77777777" w:rsidTr="00190D6B">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B8A94EC" w14:textId="77777777" w:rsidR="00190D6B" w:rsidRPr="00190D6B" w:rsidRDefault="00190D6B" w:rsidP="00190D6B">
            <w:pPr>
              <w:rPr>
                <w:b/>
              </w:rPr>
            </w:pPr>
            <w:r w:rsidRPr="00190D6B">
              <w:rPr>
                <w:b/>
              </w:rPr>
              <w:t>Report 3</w:t>
            </w:r>
          </w:p>
        </w:tc>
        <w:tc>
          <w:tcPr>
            <w:tcW w:w="396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E7FFCB2" w14:textId="77777777" w:rsidR="00190D6B" w:rsidRPr="00190D6B" w:rsidRDefault="00190D6B" w:rsidP="00190D6B">
            <w:r w:rsidRPr="00190D6B">
              <w:t xml:space="preserve">Goods &amp; Services </w:t>
            </w:r>
          </w:p>
        </w:tc>
        <w:tc>
          <w:tcPr>
            <w:tcW w:w="25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F0E2622" w14:textId="77777777" w:rsidR="00190D6B" w:rsidRPr="00190D6B" w:rsidRDefault="00190D6B" w:rsidP="00190D6B">
            <w:r w:rsidRPr="00190D6B">
              <w:t>£199k favourable</w:t>
            </w:r>
          </w:p>
        </w:tc>
        <w:tc>
          <w:tcPr>
            <w:tcW w:w="93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CD9CEBB" w14:textId="77777777" w:rsidR="00190D6B" w:rsidRPr="00190D6B" w:rsidRDefault="00190D6B" w:rsidP="00190D6B">
            <w:pPr>
              <w:rPr>
                <w:b/>
              </w:rPr>
            </w:pPr>
            <w:r w:rsidRPr="00190D6B">
              <w:rPr>
                <w:b/>
              </w:rPr>
              <w:t>6</w:t>
            </w:r>
          </w:p>
        </w:tc>
      </w:tr>
      <w:tr w:rsidR="00190D6B" w:rsidRPr="00190D6B" w14:paraId="17B98B33" w14:textId="77777777" w:rsidTr="00190D6B">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A9BDF23" w14:textId="77777777" w:rsidR="00190D6B" w:rsidRPr="00190D6B" w:rsidRDefault="00190D6B" w:rsidP="00190D6B">
            <w:pPr>
              <w:rPr>
                <w:b/>
              </w:rPr>
            </w:pPr>
            <w:r w:rsidRPr="00190D6B">
              <w:rPr>
                <w:b/>
              </w:rPr>
              <w:t>Report 4</w:t>
            </w:r>
          </w:p>
        </w:tc>
        <w:tc>
          <w:tcPr>
            <w:tcW w:w="396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38CC0BF8" w14:textId="77777777" w:rsidR="00190D6B" w:rsidRPr="00190D6B" w:rsidRDefault="00190D6B" w:rsidP="00190D6B">
            <w:r w:rsidRPr="00190D6B">
              <w:t>Income</w:t>
            </w:r>
          </w:p>
        </w:tc>
        <w:tc>
          <w:tcPr>
            <w:tcW w:w="253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6F40329" w14:textId="77777777" w:rsidR="00190D6B" w:rsidRPr="00190D6B" w:rsidRDefault="00190D6B" w:rsidP="00190D6B">
            <w:r w:rsidRPr="00190D6B">
              <w:t>£28k adverse</w:t>
            </w:r>
          </w:p>
        </w:tc>
        <w:tc>
          <w:tcPr>
            <w:tcW w:w="93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5A29FC1B" w14:textId="77777777" w:rsidR="00190D6B" w:rsidRPr="00190D6B" w:rsidRDefault="00190D6B" w:rsidP="00190D6B">
            <w:pPr>
              <w:rPr>
                <w:b/>
              </w:rPr>
            </w:pPr>
            <w:r w:rsidRPr="00190D6B">
              <w:rPr>
                <w:b/>
              </w:rPr>
              <w:t>7</w:t>
            </w:r>
          </w:p>
        </w:tc>
      </w:tr>
      <w:tr w:rsidR="00190D6B" w:rsidRPr="00190D6B" w14:paraId="588B32C8" w14:textId="77777777" w:rsidTr="00190D6B">
        <w:trPr>
          <w:trHeight w:val="397"/>
        </w:trPr>
        <w:tc>
          <w:tcPr>
            <w:tcW w:w="1413"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41DF2E0" w14:textId="77777777" w:rsidR="00190D6B" w:rsidRPr="00190D6B" w:rsidRDefault="00190D6B" w:rsidP="00190D6B">
            <w:pPr>
              <w:rPr>
                <w:b/>
              </w:rPr>
            </w:pPr>
          </w:p>
        </w:tc>
        <w:tc>
          <w:tcPr>
            <w:tcW w:w="396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4BFB62ED" w14:textId="77777777" w:rsidR="00190D6B" w:rsidRPr="00190D6B" w:rsidRDefault="00190D6B" w:rsidP="00190D6B">
            <w:pPr>
              <w:rPr>
                <w:b/>
                <w:bCs/>
              </w:rPr>
            </w:pPr>
            <w:r w:rsidRPr="00190D6B">
              <w:rPr>
                <w:b/>
                <w:bCs/>
              </w:rPr>
              <w:t>Total</w:t>
            </w:r>
          </w:p>
        </w:tc>
        <w:tc>
          <w:tcPr>
            <w:tcW w:w="253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60EF8FD" w14:textId="77777777" w:rsidR="00190D6B" w:rsidRPr="00190D6B" w:rsidRDefault="00190D6B" w:rsidP="00190D6B">
            <w:pPr>
              <w:rPr>
                <w:b/>
                <w:bCs/>
              </w:rPr>
            </w:pPr>
            <w:r w:rsidRPr="00190D6B">
              <w:rPr>
                <w:b/>
                <w:bCs/>
              </w:rPr>
              <w:t>£410k favourable</w:t>
            </w:r>
          </w:p>
        </w:tc>
        <w:tc>
          <w:tcPr>
            <w:tcW w:w="93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772C20D" w14:textId="77777777" w:rsidR="00190D6B" w:rsidRPr="00190D6B" w:rsidRDefault="00190D6B" w:rsidP="00190D6B">
            <w:pPr>
              <w:rPr>
                <w:b/>
              </w:rPr>
            </w:pPr>
          </w:p>
        </w:tc>
      </w:tr>
    </w:tbl>
    <w:p w14:paraId="6F27F620" w14:textId="77777777" w:rsidR="00190D6B" w:rsidRPr="00190D6B" w:rsidRDefault="00190D6B" w:rsidP="00190D6B">
      <w:pPr>
        <w:rPr>
          <w:szCs w:val="24"/>
        </w:rPr>
      </w:pPr>
    </w:p>
    <w:p w14:paraId="6B1A10CD" w14:textId="77777777" w:rsidR="00190D6B" w:rsidRPr="00190D6B" w:rsidRDefault="00190D6B" w:rsidP="00190D6B">
      <w:pPr>
        <w:rPr>
          <w:b/>
          <w:szCs w:val="24"/>
        </w:rPr>
      </w:pPr>
      <w:r w:rsidRPr="00190D6B">
        <w:rPr>
          <w:b/>
          <w:szCs w:val="24"/>
        </w:rPr>
        <w:t>Explanation of Variance</w:t>
      </w:r>
    </w:p>
    <w:p w14:paraId="620366F5" w14:textId="77777777" w:rsidR="00190D6B" w:rsidRPr="00190D6B" w:rsidRDefault="00190D6B" w:rsidP="00190D6B">
      <w:pPr>
        <w:rPr>
          <w:szCs w:val="24"/>
        </w:rPr>
      </w:pPr>
      <w:r w:rsidRPr="00190D6B">
        <w:rPr>
          <w:szCs w:val="24"/>
        </w:rPr>
        <w:t xml:space="preserve">The Council’s overall variance could be summarised by the following table (Service variances over £50k): </w:t>
      </w:r>
    </w:p>
    <w:p w14:paraId="3791A0CB" w14:textId="77777777" w:rsidR="00190D6B" w:rsidRPr="00190D6B" w:rsidRDefault="00190D6B" w:rsidP="00190D6B">
      <w:pPr>
        <w:rPr>
          <w:szCs w:val="24"/>
        </w:rPr>
      </w:pPr>
    </w:p>
    <w:tbl>
      <w:tblPr>
        <w:tblStyle w:val="GridTable4-Accent51"/>
        <w:tblW w:w="9045" w:type="dxa"/>
        <w:tblInd w:w="0" w:type="dxa"/>
        <w:tblLayout w:type="fixed"/>
        <w:tblLook w:val="04A0" w:firstRow="1" w:lastRow="0" w:firstColumn="1" w:lastColumn="0" w:noHBand="0" w:noVBand="1"/>
      </w:tblPr>
      <w:tblGrid>
        <w:gridCol w:w="2699"/>
        <w:gridCol w:w="1360"/>
        <w:gridCol w:w="4986"/>
      </w:tblGrid>
      <w:tr w:rsidR="00190D6B" w:rsidRPr="00190D6B" w14:paraId="69056E8A" w14:textId="77777777" w:rsidTr="00190D6B">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hideMark/>
          </w:tcPr>
          <w:p w14:paraId="68D252C7" w14:textId="77777777" w:rsidR="00190D6B" w:rsidRPr="00190D6B" w:rsidRDefault="00190D6B" w:rsidP="00190D6B">
            <w:r w:rsidRPr="00190D6B">
              <w:t>Type</w:t>
            </w:r>
          </w:p>
        </w:tc>
        <w:tc>
          <w:tcPr>
            <w:tcW w:w="1361" w:type="dxa"/>
            <w:vAlign w:val="center"/>
            <w:hideMark/>
          </w:tcPr>
          <w:p w14:paraId="67BE7D9F" w14:textId="77777777" w:rsidR="00190D6B" w:rsidRPr="00190D6B" w:rsidRDefault="00190D6B" w:rsidP="00190D6B">
            <w:pPr>
              <w:cnfStyle w:val="100000000000" w:firstRow="1" w:lastRow="0" w:firstColumn="0" w:lastColumn="0" w:oddVBand="0" w:evenVBand="0" w:oddHBand="0" w:evenHBand="0" w:firstRowFirstColumn="0" w:firstRowLastColumn="0" w:lastRowFirstColumn="0" w:lastRowLastColumn="0"/>
            </w:pPr>
            <w:r w:rsidRPr="00190D6B">
              <w:t>Variance</w:t>
            </w:r>
          </w:p>
          <w:p w14:paraId="11E63B18" w14:textId="77777777" w:rsidR="00190D6B" w:rsidRPr="00190D6B" w:rsidRDefault="00190D6B" w:rsidP="00190D6B">
            <w:pPr>
              <w:cnfStyle w:val="100000000000" w:firstRow="1" w:lastRow="0" w:firstColumn="0" w:lastColumn="0" w:oddVBand="0" w:evenVBand="0" w:oddHBand="0" w:evenHBand="0" w:firstRowFirstColumn="0" w:firstRowLastColumn="0" w:lastRowFirstColumn="0" w:lastRowLastColumn="0"/>
            </w:pPr>
            <w:r w:rsidRPr="00190D6B">
              <w:t>£’000</w:t>
            </w:r>
          </w:p>
        </w:tc>
        <w:tc>
          <w:tcPr>
            <w:tcW w:w="4989" w:type="dxa"/>
            <w:hideMark/>
          </w:tcPr>
          <w:p w14:paraId="4875C4A3" w14:textId="77777777" w:rsidR="00190D6B" w:rsidRPr="00190D6B" w:rsidRDefault="00190D6B" w:rsidP="00190D6B">
            <w:pPr>
              <w:cnfStyle w:val="100000000000" w:firstRow="1" w:lastRow="0" w:firstColumn="0" w:lastColumn="0" w:oddVBand="0" w:evenVBand="0" w:oddHBand="0" w:evenHBand="0" w:firstRowFirstColumn="0" w:firstRowLastColumn="0" w:lastRowFirstColumn="0" w:lastRowLastColumn="0"/>
            </w:pPr>
            <w:r w:rsidRPr="00190D6B">
              <w:t>Comment</w:t>
            </w:r>
          </w:p>
        </w:tc>
      </w:tr>
      <w:tr w:rsidR="00190D6B" w:rsidRPr="00190D6B" w14:paraId="1B5A7CB6" w14:textId="77777777" w:rsidTr="00190D6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106E8F5C" w14:textId="77777777" w:rsidR="00190D6B" w:rsidRPr="00190D6B" w:rsidRDefault="00190D6B" w:rsidP="00190D6B">
            <w:r w:rsidRPr="00190D6B">
              <w:t>Payroll Expenditure</w:t>
            </w:r>
          </w:p>
        </w:tc>
        <w:tc>
          <w:tcPr>
            <w:tcW w:w="136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7C7E6D1F"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pPr>
            <w:r w:rsidRPr="00190D6B">
              <w:t>(239)</w:t>
            </w:r>
          </w:p>
        </w:tc>
        <w:tc>
          <w:tcPr>
            <w:tcW w:w="49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192D4104"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pPr>
            <w:r w:rsidRPr="00190D6B">
              <w:t xml:space="preserve">Vacancies - (£287k) - Currently approx. 44 vacant FTE posts. </w:t>
            </w:r>
          </w:p>
          <w:p w14:paraId="7823E894"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pPr>
            <w:r w:rsidRPr="00190D6B">
              <w:t>Other Payroll - £48k – overtime £111k; casuals (£94k); other £29k.</w:t>
            </w:r>
          </w:p>
          <w:p w14:paraId="149E6377"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pPr>
            <w:r w:rsidRPr="00190D6B">
              <w:t xml:space="preserve">Payroll expenditure includes agency staff for the HRC Recycling Scheme (£160k). When the 2023/24 budgets were finalised, it was agreed that the cost of these agency staff would be met by budget savings on Waste Disposal costs – see below. </w:t>
            </w:r>
          </w:p>
        </w:tc>
      </w:tr>
      <w:tr w:rsidR="00190D6B" w:rsidRPr="00190D6B" w14:paraId="1E999D95" w14:textId="77777777" w:rsidTr="00190D6B">
        <w:trPr>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796F1998" w14:textId="77777777" w:rsidR="00190D6B" w:rsidRPr="00190D6B" w:rsidRDefault="00190D6B" w:rsidP="00190D6B">
            <w:r w:rsidRPr="00190D6B">
              <w:t>Goods &amp; Services Expenditure</w:t>
            </w:r>
          </w:p>
        </w:tc>
        <w:tc>
          <w:tcPr>
            <w:tcW w:w="136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tcPr>
          <w:p w14:paraId="3635E75D" w14:textId="77777777" w:rsidR="00190D6B" w:rsidRPr="00190D6B" w:rsidRDefault="00190D6B" w:rsidP="00190D6B">
            <w:pPr>
              <w:cnfStyle w:val="000000000000" w:firstRow="0" w:lastRow="0" w:firstColumn="0" w:lastColumn="0" w:oddVBand="0" w:evenVBand="0" w:oddHBand="0" w:evenHBand="0" w:firstRowFirstColumn="0" w:firstRowLastColumn="0" w:lastRowFirstColumn="0" w:lastRowLastColumn="0"/>
            </w:pPr>
          </w:p>
        </w:tc>
        <w:tc>
          <w:tcPr>
            <w:tcW w:w="49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tcPr>
          <w:p w14:paraId="4CF99A19" w14:textId="77777777" w:rsidR="00190D6B" w:rsidRPr="00190D6B" w:rsidRDefault="00190D6B" w:rsidP="00190D6B">
            <w:pPr>
              <w:cnfStyle w:val="000000000000" w:firstRow="0" w:lastRow="0" w:firstColumn="0" w:lastColumn="0" w:oddVBand="0" w:evenVBand="0" w:oddHBand="0" w:evenHBand="0" w:firstRowFirstColumn="0" w:firstRowLastColumn="0" w:lastRowFirstColumn="0" w:lastRowLastColumn="0"/>
            </w:pPr>
          </w:p>
        </w:tc>
      </w:tr>
      <w:tr w:rsidR="00190D6B" w:rsidRPr="00190D6B" w14:paraId="48852840" w14:textId="77777777" w:rsidTr="00190D6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063F1135" w14:textId="77777777" w:rsidR="00190D6B" w:rsidRPr="00190D6B" w:rsidRDefault="00190D6B" w:rsidP="00190D6B">
            <w:r w:rsidRPr="00190D6B">
              <w:t>Parks &amp; Cemeteries</w:t>
            </w:r>
          </w:p>
        </w:tc>
        <w:tc>
          <w:tcPr>
            <w:tcW w:w="136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3C83DAF2"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pPr>
            <w:r w:rsidRPr="00190D6B">
              <w:t>77</w:t>
            </w:r>
          </w:p>
        </w:tc>
        <w:tc>
          <w:tcPr>
            <w:tcW w:w="49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297354B3"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pPr>
            <w:r w:rsidRPr="00190D6B">
              <w:t xml:space="preserve">Parks &amp; Cemeteries operating costs – mostly offset by increased cemeteries income (see below). </w:t>
            </w:r>
          </w:p>
        </w:tc>
      </w:tr>
      <w:tr w:rsidR="00190D6B" w:rsidRPr="00190D6B" w14:paraId="32FC54A7" w14:textId="77777777" w:rsidTr="00190D6B">
        <w:trPr>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3765F532" w14:textId="77777777" w:rsidR="00190D6B" w:rsidRPr="00190D6B" w:rsidRDefault="00190D6B" w:rsidP="00190D6B">
            <w:r w:rsidRPr="00190D6B">
              <w:t>Waste &amp; Cleansing</w:t>
            </w:r>
          </w:p>
        </w:tc>
        <w:tc>
          <w:tcPr>
            <w:tcW w:w="136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5D7C3FC0" w14:textId="77777777" w:rsidR="00190D6B" w:rsidRPr="00190D6B" w:rsidRDefault="00190D6B" w:rsidP="00190D6B">
            <w:pPr>
              <w:cnfStyle w:val="000000000000" w:firstRow="0" w:lastRow="0" w:firstColumn="0" w:lastColumn="0" w:oddVBand="0" w:evenVBand="0" w:oddHBand="0" w:evenHBand="0" w:firstRowFirstColumn="0" w:firstRowLastColumn="0" w:lastRowFirstColumn="0" w:lastRowLastColumn="0"/>
            </w:pPr>
            <w:r w:rsidRPr="00190D6B">
              <w:t>(189)</w:t>
            </w:r>
          </w:p>
        </w:tc>
        <w:tc>
          <w:tcPr>
            <w:tcW w:w="49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02A6989F" w14:textId="77777777" w:rsidR="00190D6B" w:rsidRPr="00190D6B" w:rsidRDefault="00190D6B" w:rsidP="00190D6B">
            <w:pPr>
              <w:cnfStyle w:val="000000000000" w:firstRow="0" w:lastRow="0" w:firstColumn="0" w:lastColumn="0" w:oddVBand="0" w:evenVBand="0" w:oddHBand="0" w:evenHBand="0" w:firstRowFirstColumn="0" w:firstRowLastColumn="0" w:lastRowFirstColumn="0" w:lastRowLastColumn="0"/>
            </w:pPr>
            <w:r w:rsidRPr="00190D6B">
              <w:t>Waste disposal costs for main waste streams (£199k): -</w:t>
            </w:r>
          </w:p>
          <w:p w14:paraId="4C39C681" w14:textId="77777777" w:rsidR="00190D6B" w:rsidRPr="00190D6B" w:rsidRDefault="00190D6B" w:rsidP="00874464">
            <w:pPr>
              <w:numPr>
                <w:ilvl w:val="0"/>
                <w:numId w:val="4"/>
              </w:numPr>
              <w:cnfStyle w:val="000000000000" w:firstRow="0" w:lastRow="0" w:firstColumn="0" w:lastColumn="0" w:oddVBand="0" w:evenVBand="0" w:oddHBand="0" w:evenHBand="0" w:firstRowFirstColumn="0" w:firstRowLastColumn="0" w:lastRowFirstColumn="0" w:lastRowLastColumn="0"/>
            </w:pPr>
            <w:r w:rsidRPr="00190D6B">
              <w:t>Landfill down 886T plus lower gate fee than budget (£8.01 per tonne).</w:t>
            </w:r>
          </w:p>
          <w:p w14:paraId="5F812C4A" w14:textId="77777777" w:rsidR="00190D6B" w:rsidRPr="00190D6B" w:rsidRDefault="00190D6B" w:rsidP="00874464">
            <w:pPr>
              <w:numPr>
                <w:ilvl w:val="0"/>
                <w:numId w:val="4"/>
              </w:numPr>
              <w:cnfStyle w:val="000000000000" w:firstRow="0" w:lastRow="0" w:firstColumn="0" w:lastColumn="0" w:oddVBand="0" w:evenVBand="0" w:oddHBand="0" w:evenHBand="0" w:firstRowFirstColumn="0" w:firstRowLastColumn="0" w:lastRowFirstColumn="0" w:lastRowLastColumn="0"/>
            </w:pPr>
            <w:r w:rsidRPr="00190D6B">
              <w:t>Blue bin waste down 76T plus lower gate fee than budget (£2.77 per tonne).</w:t>
            </w:r>
          </w:p>
          <w:p w14:paraId="798CF32A" w14:textId="77777777" w:rsidR="00190D6B" w:rsidRPr="00190D6B" w:rsidRDefault="00190D6B" w:rsidP="00874464">
            <w:pPr>
              <w:numPr>
                <w:ilvl w:val="0"/>
                <w:numId w:val="4"/>
              </w:numPr>
              <w:cnfStyle w:val="000000000000" w:firstRow="0" w:lastRow="0" w:firstColumn="0" w:lastColumn="0" w:oddVBand="0" w:evenVBand="0" w:oddHBand="0" w:evenHBand="0" w:firstRowFirstColumn="0" w:firstRowLastColumn="0" w:lastRowFirstColumn="0" w:lastRowLastColumn="0"/>
            </w:pPr>
            <w:r w:rsidRPr="00190D6B">
              <w:t>Garden waste down 102T plus gate fee higher than budget (£2.76 per tonne).</w:t>
            </w:r>
          </w:p>
          <w:p w14:paraId="2F597BC2" w14:textId="77777777" w:rsidR="00190D6B" w:rsidRPr="00190D6B" w:rsidRDefault="00190D6B" w:rsidP="00874464">
            <w:pPr>
              <w:numPr>
                <w:ilvl w:val="0"/>
                <w:numId w:val="4"/>
              </w:numPr>
              <w:cnfStyle w:val="000000000000" w:firstRow="0" w:lastRow="0" w:firstColumn="0" w:lastColumn="0" w:oddVBand="0" w:evenVBand="0" w:oddHBand="0" w:evenHBand="0" w:firstRowFirstColumn="0" w:firstRowLastColumn="0" w:lastRowFirstColumn="0" w:lastRowLastColumn="0"/>
            </w:pPr>
            <w:r w:rsidRPr="00190D6B">
              <w:t>Food waste up 367T plus gate fee higher than budget (£3.32).</w:t>
            </w:r>
          </w:p>
          <w:p w14:paraId="16ED91BA" w14:textId="77777777" w:rsidR="00190D6B" w:rsidRPr="00190D6B" w:rsidRDefault="00190D6B" w:rsidP="00190D6B">
            <w:pPr>
              <w:cnfStyle w:val="000000000000" w:firstRow="0" w:lastRow="0" w:firstColumn="0" w:lastColumn="0" w:oddVBand="0" w:evenVBand="0" w:oddHBand="0" w:evenHBand="0" w:firstRowFirstColumn="0" w:firstRowLastColumn="0" w:lastRowFirstColumn="0" w:lastRowLastColumn="0"/>
            </w:pPr>
            <w:r w:rsidRPr="00190D6B">
              <w:t>This underspend (£189k) more than offsets the cost of the agency staff for the HRC Recycling scheme (£160k) – see above.</w:t>
            </w:r>
          </w:p>
        </w:tc>
      </w:tr>
      <w:tr w:rsidR="00190D6B" w:rsidRPr="00190D6B" w14:paraId="53F1616C" w14:textId="77777777" w:rsidTr="00190D6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15485A78" w14:textId="77777777" w:rsidR="00190D6B" w:rsidRPr="00190D6B" w:rsidRDefault="00190D6B" w:rsidP="00190D6B">
            <w:r w:rsidRPr="00190D6B">
              <w:t>Assets &amp; Property</w:t>
            </w:r>
          </w:p>
        </w:tc>
        <w:tc>
          <w:tcPr>
            <w:tcW w:w="136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13C3723B"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pPr>
            <w:r w:rsidRPr="00190D6B">
              <w:t>(266)</w:t>
            </w:r>
          </w:p>
        </w:tc>
        <w:tc>
          <w:tcPr>
            <w:tcW w:w="49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4C020398" w14:textId="77777777" w:rsidR="00190D6B" w:rsidRPr="00190D6B" w:rsidRDefault="00190D6B" w:rsidP="00874464">
            <w:pPr>
              <w:numPr>
                <w:ilvl w:val="0"/>
                <w:numId w:val="5"/>
              </w:numPr>
              <w:cnfStyle w:val="000000100000" w:firstRow="0" w:lastRow="0" w:firstColumn="0" w:lastColumn="0" w:oddVBand="0" w:evenVBand="0" w:oddHBand="1" w:evenHBand="0" w:firstRowFirstColumn="0" w:firstRowLastColumn="0" w:lastRowFirstColumn="0" w:lastRowLastColumn="0"/>
            </w:pPr>
            <w:r w:rsidRPr="00190D6B">
              <w:t>Electricity – (£192k) – significantly lower cost per kwh against budget.</w:t>
            </w:r>
          </w:p>
          <w:p w14:paraId="0450C6F9" w14:textId="77777777" w:rsidR="00190D6B" w:rsidRPr="00190D6B" w:rsidRDefault="00190D6B" w:rsidP="00874464">
            <w:pPr>
              <w:numPr>
                <w:ilvl w:val="0"/>
                <w:numId w:val="5"/>
              </w:numPr>
              <w:cnfStyle w:val="000000100000" w:firstRow="0" w:lastRow="0" w:firstColumn="0" w:lastColumn="0" w:oddVBand="0" w:evenVBand="0" w:oddHBand="1" w:evenHBand="0" w:firstRowFirstColumn="0" w:firstRowLastColumn="0" w:lastRowFirstColumn="0" w:lastRowLastColumn="0"/>
            </w:pPr>
            <w:r w:rsidRPr="00190D6B">
              <w:lastRenderedPageBreak/>
              <w:t>Gas – £33k.</w:t>
            </w:r>
          </w:p>
          <w:p w14:paraId="29EDEF63" w14:textId="77777777" w:rsidR="00190D6B" w:rsidRPr="00190D6B" w:rsidRDefault="00190D6B" w:rsidP="00874464">
            <w:pPr>
              <w:numPr>
                <w:ilvl w:val="0"/>
                <w:numId w:val="5"/>
              </w:numPr>
              <w:cnfStyle w:val="000000100000" w:firstRow="0" w:lastRow="0" w:firstColumn="0" w:lastColumn="0" w:oddVBand="0" w:evenVBand="0" w:oddHBand="1" w:evenHBand="0" w:firstRowFirstColumn="0" w:firstRowLastColumn="0" w:lastRowFirstColumn="0" w:lastRowLastColumn="0"/>
            </w:pPr>
            <w:r w:rsidRPr="00190D6B">
              <w:t>Tariff Risk – (£152k) – significantly lower utility costs.</w:t>
            </w:r>
          </w:p>
          <w:p w14:paraId="280573E5" w14:textId="77777777" w:rsidR="00190D6B" w:rsidRPr="00190D6B" w:rsidRDefault="00190D6B" w:rsidP="00874464">
            <w:pPr>
              <w:numPr>
                <w:ilvl w:val="0"/>
                <w:numId w:val="5"/>
              </w:numPr>
              <w:cnfStyle w:val="000000100000" w:firstRow="0" w:lastRow="0" w:firstColumn="0" w:lastColumn="0" w:oddVBand="0" w:evenVBand="0" w:oddHBand="1" w:evenHBand="0" w:firstRowFirstColumn="0" w:firstRowLastColumn="0" w:lastRowFirstColumn="0" w:lastRowLastColumn="0"/>
            </w:pPr>
            <w:r w:rsidRPr="00190D6B">
              <w:t>Vehicle fuel – (£146k) price per litre fallen since end of 2022 though starting to increase again.</w:t>
            </w:r>
          </w:p>
          <w:p w14:paraId="743BE43E" w14:textId="77777777" w:rsidR="00190D6B" w:rsidRPr="00190D6B" w:rsidRDefault="00190D6B" w:rsidP="00874464">
            <w:pPr>
              <w:numPr>
                <w:ilvl w:val="0"/>
                <w:numId w:val="5"/>
              </w:numPr>
              <w:cnfStyle w:val="000000100000" w:firstRow="0" w:lastRow="0" w:firstColumn="0" w:lastColumn="0" w:oddVBand="0" w:evenVBand="0" w:oddHBand="1" w:evenHBand="0" w:firstRowFirstColumn="0" w:firstRowLastColumn="0" w:lastRowFirstColumn="0" w:lastRowLastColumn="0"/>
            </w:pPr>
            <w:r w:rsidRPr="00190D6B">
              <w:t>Vehicle maintenance - £13k</w:t>
            </w:r>
          </w:p>
          <w:p w14:paraId="38B00660" w14:textId="77777777" w:rsidR="00190D6B" w:rsidRPr="00190D6B" w:rsidRDefault="00190D6B" w:rsidP="00874464">
            <w:pPr>
              <w:numPr>
                <w:ilvl w:val="0"/>
                <w:numId w:val="5"/>
              </w:numPr>
              <w:cnfStyle w:val="000000100000" w:firstRow="0" w:lastRow="0" w:firstColumn="0" w:lastColumn="0" w:oddVBand="0" w:evenVBand="0" w:oddHBand="1" w:evenHBand="0" w:firstRowFirstColumn="0" w:firstRowLastColumn="0" w:lastRowFirstColumn="0" w:lastRowLastColumn="0"/>
            </w:pPr>
            <w:r w:rsidRPr="00190D6B">
              <w:t>Technical Services – £175k – statutory work and other work £146k (unplanned essential remedial works Aurora, Balloo ERC, North Rd Depot, Ards Blair Mayne, Bangor Castle); legal fees Aurora issues £28k.</w:t>
            </w:r>
          </w:p>
        </w:tc>
      </w:tr>
      <w:tr w:rsidR="00190D6B" w:rsidRPr="00190D6B" w14:paraId="6ED69D36" w14:textId="77777777" w:rsidTr="00190D6B">
        <w:trPr>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6E335030" w14:textId="77777777" w:rsidR="00190D6B" w:rsidRPr="00190D6B" w:rsidRDefault="00190D6B" w:rsidP="00190D6B">
            <w:r w:rsidRPr="00190D6B">
              <w:lastRenderedPageBreak/>
              <w:t>Administration</w:t>
            </w:r>
          </w:p>
        </w:tc>
        <w:tc>
          <w:tcPr>
            <w:tcW w:w="136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4198271E" w14:textId="77777777" w:rsidR="00190D6B" w:rsidRPr="00190D6B" w:rsidRDefault="00190D6B" w:rsidP="00190D6B">
            <w:pPr>
              <w:cnfStyle w:val="000000000000" w:firstRow="0" w:lastRow="0" w:firstColumn="0" w:lastColumn="0" w:oddVBand="0" w:evenVBand="0" w:oddHBand="0" w:evenHBand="0" w:firstRowFirstColumn="0" w:firstRowLastColumn="0" w:lastRowFirstColumn="0" w:lastRowLastColumn="0"/>
            </w:pPr>
            <w:r w:rsidRPr="00190D6B">
              <w:t>68</w:t>
            </w:r>
          </w:p>
        </w:tc>
        <w:tc>
          <w:tcPr>
            <w:tcW w:w="49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0521701C" w14:textId="77777777" w:rsidR="00190D6B" w:rsidRPr="00190D6B" w:rsidRDefault="00190D6B" w:rsidP="00190D6B">
            <w:pPr>
              <w:cnfStyle w:val="000000000000" w:firstRow="0" w:lastRow="0" w:firstColumn="0" w:lastColumn="0" w:oddVBand="0" w:evenVBand="0" w:oddHBand="0" w:evenHBand="0" w:firstRowFirstColumn="0" w:firstRowLastColumn="0" w:lastRowFirstColumn="0" w:lastRowLastColumn="0"/>
            </w:pPr>
            <w:r w:rsidRPr="00190D6B">
              <w:t>Insurance Premiums - £73k</w:t>
            </w:r>
          </w:p>
        </w:tc>
      </w:tr>
      <w:tr w:rsidR="00190D6B" w:rsidRPr="00190D6B" w14:paraId="756D2C6C" w14:textId="77777777" w:rsidTr="00190D6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3A5A25EA" w14:textId="77777777" w:rsidR="00190D6B" w:rsidRPr="00190D6B" w:rsidRDefault="00190D6B" w:rsidP="00190D6B">
            <w:r w:rsidRPr="00190D6B">
              <w:t>Chief Executive’s Office</w:t>
            </w:r>
          </w:p>
        </w:tc>
        <w:tc>
          <w:tcPr>
            <w:tcW w:w="136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2F6D613E"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pPr>
            <w:r w:rsidRPr="00190D6B">
              <w:t>106</w:t>
            </w:r>
          </w:p>
        </w:tc>
        <w:tc>
          <w:tcPr>
            <w:tcW w:w="49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tcPr>
          <w:p w14:paraId="12385C32"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pPr>
          </w:p>
          <w:p w14:paraId="1735A762"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pPr>
            <w:r w:rsidRPr="00190D6B">
              <w:t>Election costs - £101k. Electoral Office costs higher than expected.</w:t>
            </w:r>
          </w:p>
          <w:p w14:paraId="00631D71"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pPr>
          </w:p>
        </w:tc>
      </w:tr>
      <w:tr w:rsidR="00190D6B" w:rsidRPr="00190D6B" w14:paraId="4BB48C38" w14:textId="77777777" w:rsidTr="00190D6B">
        <w:trPr>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784E2A29" w14:textId="77777777" w:rsidR="00190D6B" w:rsidRPr="00190D6B" w:rsidRDefault="00190D6B" w:rsidP="00190D6B">
            <w:r w:rsidRPr="00190D6B">
              <w:t>Income – Services</w:t>
            </w:r>
          </w:p>
        </w:tc>
        <w:tc>
          <w:tcPr>
            <w:tcW w:w="136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tcPr>
          <w:p w14:paraId="69B469F1" w14:textId="77777777" w:rsidR="00190D6B" w:rsidRPr="00190D6B" w:rsidRDefault="00190D6B" w:rsidP="00190D6B">
            <w:pPr>
              <w:cnfStyle w:val="000000000000" w:firstRow="0" w:lastRow="0" w:firstColumn="0" w:lastColumn="0" w:oddVBand="0" w:evenVBand="0" w:oddHBand="0" w:evenHBand="0" w:firstRowFirstColumn="0" w:firstRowLastColumn="0" w:lastRowFirstColumn="0" w:lastRowLastColumn="0"/>
            </w:pPr>
          </w:p>
        </w:tc>
        <w:tc>
          <w:tcPr>
            <w:tcW w:w="49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tcPr>
          <w:p w14:paraId="495136EA" w14:textId="77777777" w:rsidR="00190D6B" w:rsidRPr="00190D6B" w:rsidRDefault="00190D6B" w:rsidP="00190D6B">
            <w:pPr>
              <w:cnfStyle w:val="000000000000" w:firstRow="0" w:lastRow="0" w:firstColumn="0" w:lastColumn="0" w:oddVBand="0" w:evenVBand="0" w:oddHBand="0" w:evenHBand="0" w:firstRowFirstColumn="0" w:firstRowLastColumn="0" w:lastRowFirstColumn="0" w:lastRowLastColumn="0"/>
            </w:pPr>
          </w:p>
        </w:tc>
      </w:tr>
      <w:tr w:rsidR="00190D6B" w:rsidRPr="00190D6B" w14:paraId="1BAD3277" w14:textId="77777777" w:rsidTr="00190D6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687418AF" w14:textId="77777777" w:rsidR="00190D6B" w:rsidRPr="00190D6B" w:rsidRDefault="00190D6B" w:rsidP="00190D6B">
            <w:r w:rsidRPr="00190D6B">
              <w:t>Parks &amp; Cemeteries</w:t>
            </w:r>
          </w:p>
        </w:tc>
        <w:tc>
          <w:tcPr>
            <w:tcW w:w="136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48E3D155"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pPr>
            <w:r w:rsidRPr="00190D6B">
              <w:t>(54)</w:t>
            </w:r>
          </w:p>
        </w:tc>
        <w:tc>
          <w:tcPr>
            <w:tcW w:w="49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66E288F6"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rPr>
                <w:iCs/>
              </w:rPr>
            </w:pPr>
            <w:r w:rsidRPr="00190D6B">
              <w:rPr>
                <w:iCs/>
              </w:rPr>
              <w:t>Cemeteries income (£68k).</w:t>
            </w:r>
          </w:p>
        </w:tc>
      </w:tr>
      <w:tr w:rsidR="00190D6B" w:rsidRPr="00190D6B" w14:paraId="0B740C1F" w14:textId="77777777" w:rsidTr="00190D6B">
        <w:trPr>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5E75C4B0" w14:textId="77777777" w:rsidR="00190D6B" w:rsidRPr="00190D6B" w:rsidRDefault="00190D6B" w:rsidP="00190D6B">
            <w:r w:rsidRPr="00190D6B">
              <w:t>Regulatory Services</w:t>
            </w:r>
          </w:p>
        </w:tc>
        <w:tc>
          <w:tcPr>
            <w:tcW w:w="136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67077C63" w14:textId="77777777" w:rsidR="00190D6B" w:rsidRPr="00190D6B" w:rsidRDefault="00190D6B" w:rsidP="00190D6B">
            <w:pPr>
              <w:cnfStyle w:val="000000000000" w:firstRow="0" w:lastRow="0" w:firstColumn="0" w:lastColumn="0" w:oddVBand="0" w:evenVBand="0" w:oddHBand="0" w:evenHBand="0" w:firstRowFirstColumn="0" w:firstRowLastColumn="0" w:lastRowFirstColumn="0" w:lastRowLastColumn="0"/>
            </w:pPr>
            <w:r w:rsidRPr="00190D6B">
              <w:t>165</w:t>
            </w:r>
          </w:p>
        </w:tc>
        <w:tc>
          <w:tcPr>
            <w:tcW w:w="49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253BC3C0" w14:textId="77777777" w:rsidR="00190D6B" w:rsidRPr="00190D6B" w:rsidRDefault="00190D6B" w:rsidP="00874464">
            <w:pPr>
              <w:numPr>
                <w:ilvl w:val="0"/>
                <w:numId w:val="6"/>
              </w:numPr>
              <w:cnfStyle w:val="000000000000" w:firstRow="0" w:lastRow="0" w:firstColumn="0" w:lastColumn="0" w:oddVBand="0" w:evenVBand="0" w:oddHBand="0" w:evenHBand="0" w:firstRowFirstColumn="0" w:firstRowLastColumn="0" w:lastRowFirstColumn="0" w:lastRowLastColumn="0"/>
              <w:rPr>
                <w:iCs/>
              </w:rPr>
            </w:pPr>
            <w:r w:rsidRPr="00190D6B">
              <w:rPr>
                <w:iCs/>
              </w:rPr>
              <w:t xml:space="preserve">Car Park income £91k. </w:t>
            </w:r>
          </w:p>
          <w:p w14:paraId="00D151CE" w14:textId="77777777" w:rsidR="00190D6B" w:rsidRPr="00190D6B" w:rsidRDefault="00190D6B" w:rsidP="00874464">
            <w:pPr>
              <w:numPr>
                <w:ilvl w:val="0"/>
                <w:numId w:val="6"/>
              </w:numPr>
              <w:cnfStyle w:val="000000000000" w:firstRow="0" w:lastRow="0" w:firstColumn="0" w:lastColumn="0" w:oddVBand="0" w:evenVBand="0" w:oddHBand="0" w:evenHBand="0" w:firstRowFirstColumn="0" w:firstRowLastColumn="0" w:lastRowFirstColumn="0" w:lastRowLastColumn="0"/>
              <w:rPr>
                <w:iCs/>
              </w:rPr>
            </w:pPr>
            <w:r w:rsidRPr="00190D6B">
              <w:rPr>
                <w:iCs/>
              </w:rPr>
              <w:t>Licensing income £16k.</w:t>
            </w:r>
          </w:p>
          <w:p w14:paraId="793BF006" w14:textId="77777777" w:rsidR="00190D6B" w:rsidRPr="00190D6B" w:rsidRDefault="00190D6B" w:rsidP="00874464">
            <w:pPr>
              <w:numPr>
                <w:ilvl w:val="0"/>
                <w:numId w:val="6"/>
              </w:numPr>
              <w:cnfStyle w:val="000000000000" w:firstRow="0" w:lastRow="0" w:firstColumn="0" w:lastColumn="0" w:oddVBand="0" w:evenVBand="0" w:oddHBand="0" w:evenHBand="0" w:firstRowFirstColumn="0" w:firstRowLastColumn="0" w:lastRowFirstColumn="0" w:lastRowLastColumn="0"/>
              <w:rPr>
                <w:iCs/>
              </w:rPr>
            </w:pPr>
            <w:r w:rsidRPr="00190D6B">
              <w:rPr>
                <w:iCs/>
              </w:rPr>
              <w:t>NET – fine income £49k.</w:t>
            </w:r>
          </w:p>
        </w:tc>
      </w:tr>
      <w:tr w:rsidR="00190D6B" w:rsidRPr="00190D6B" w14:paraId="4C36C01F" w14:textId="77777777" w:rsidTr="00190D6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7E01BC87" w14:textId="77777777" w:rsidR="00190D6B" w:rsidRPr="00190D6B" w:rsidRDefault="00190D6B" w:rsidP="00190D6B">
            <w:r w:rsidRPr="00190D6B">
              <w:t>Planning</w:t>
            </w:r>
          </w:p>
        </w:tc>
        <w:tc>
          <w:tcPr>
            <w:tcW w:w="136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23AA7AE2"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pPr>
            <w:r w:rsidRPr="00190D6B">
              <w:t>168</w:t>
            </w:r>
          </w:p>
        </w:tc>
        <w:tc>
          <w:tcPr>
            <w:tcW w:w="49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5E39030C"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rPr>
                <w:iCs/>
              </w:rPr>
            </w:pPr>
            <w:r w:rsidRPr="00190D6B">
              <w:rPr>
                <w:iCs/>
              </w:rPr>
              <w:t>Planning application income - £175k. No major applications received. General reduction in number of applications in NI.</w:t>
            </w:r>
          </w:p>
        </w:tc>
      </w:tr>
      <w:tr w:rsidR="00190D6B" w:rsidRPr="00190D6B" w14:paraId="698519B9" w14:textId="77777777" w:rsidTr="00190D6B">
        <w:trPr>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6B753A27" w14:textId="77777777" w:rsidR="00190D6B" w:rsidRPr="00190D6B" w:rsidRDefault="00190D6B" w:rsidP="00190D6B">
            <w:r w:rsidRPr="00190D6B">
              <w:t>Finance</w:t>
            </w:r>
          </w:p>
        </w:tc>
        <w:tc>
          <w:tcPr>
            <w:tcW w:w="136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0B44E2A8" w14:textId="77777777" w:rsidR="00190D6B" w:rsidRPr="00190D6B" w:rsidRDefault="00190D6B" w:rsidP="00190D6B">
            <w:pPr>
              <w:cnfStyle w:val="000000000000" w:firstRow="0" w:lastRow="0" w:firstColumn="0" w:lastColumn="0" w:oddVBand="0" w:evenVBand="0" w:oddHBand="0" w:evenHBand="0" w:firstRowFirstColumn="0" w:firstRowLastColumn="0" w:lastRowFirstColumn="0" w:lastRowLastColumn="0"/>
            </w:pPr>
            <w:r w:rsidRPr="00190D6B">
              <w:t>(162)</w:t>
            </w:r>
          </w:p>
        </w:tc>
        <w:tc>
          <w:tcPr>
            <w:tcW w:w="49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6CB7FD80" w14:textId="77777777" w:rsidR="00190D6B" w:rsidRPr="00190D6B" w:rsidRDefault="00190D6B" w:rsidP="00190D6B">
            <w:pPr>
              <w:cnfStyle w:val="000000000000" w:firstRow="0" w:lastRow="0" w:firstColumn="0" w:lastColumn="0" w:oddVBand="0" w:evenVBand="0" w:oddHBand="0" w:evenHBand="0" w:firstRowFirstColumn="0" w:firstRowLastColumn="0" w:lastRowFirstColumn="0" w:lastRowLastColumn="0"/>
              <w:rPr>
                <w:iCs/>
              </w:rPr>
            </w:pPr>
            <w:r w:rsidRPr="00190D6B">
              <w:rPr>
                <w:iCs/>
              </w:rPr>
              <w:t>Investment income. Higher interest rates.</w:t>
            </w:r>
          </w:p>
        </w:tc>
      </w:tr>
      <w:tr w:rsidR="00190D6B" w:rsidRPr="00190D6B" w14:paraId="3C956C05" w14:textId="77777777" w:rsidTr="00190D6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3238C2B9" w14:textId="77777777" w:rsidR="00190D6B" w:rsidRPr="00190D6B" w:rsidRDefault="00190D6B" w:rsidP="00190D6B">
            <w:r w:rsidRPr="00190D6B">
              <w:t>Non-Service Income</w:t>
            </w:r>
          </w:p>
        </w:tc>
        <w:tc>
          <w:tcPr>
            <w:tcW w:w="136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4692F7FE"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pPr>
            <w:r w:rsidRPr="00190D6B">
              <w:t>20</w:t>
            </w:r>
          </w:p>
        </w:tc>
        <w:tc>
          <w:tcPr>
            <w:tcW w:w="498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0F409B60" w14:textId="77777777" w:rsidR="00190D6B" w:rsidRPr="00190D6B" w:rsidRDefault="00190D6B" w:rsidP="00190D6B">
            <w:pPr>
              <w:cnfStyle w:val="000000100000" w:firstRow="0" w:lastRow="0" w:firstColumn="0" w:lastColumn="0" w:oddVBand="0" w:evenVBand="0" w:oddHBand="1" w:evenHBand="0" w:firstRowFirstColumn="0" w:firstRowLastColumn="0" w:lastRowFirstColumn="0" w:lastRowLastColumn="0"/>
              <w:rPr>
                <w:iCs/>
              </w:rPr>
            </w:pPr>
            <w:r w:rsidRPr="00190D6B">
              <w:rPr>
                <w:iCs/>
              </w:rPr>
              <w:t>LPS are now estimating a clawback for 23/24 rates finalisation based on latest data. In addition, DfC are estimating small positive 23/24 de-rating grant finalisation.</w:t>
            </w:r>
          </w:p>
        </w:tc>
      </w:tr>
    </w:tbl>
    <w:p w14:paraId="4B5DD3DB" w14:textId="77777777" w:rsidR="00190D6B" w:rsidRPr="00190D6B" w:rsidRDefault="00190D6B" w:rsidP="00190D6B">
      <w:pPr>
        <w:rPr>
          <w:szCs w:val="24"/>
        </w:rPr>
      </w:pPr>
    </w:p>
    <w:p w14:paraId="699562CE" w14:textId="77777777" w:rsidR="00190D6B" w:rsidRPr="00190D6B" w:rsidRDefault="00190D6B" w:rsidP="00190D6B">
      <w:pPr>
        <w:rPr>
          <w:szCs w:val="24"/>
        </w:rPr>
      </w:pPr>
    </w:p>
    <w:p w14:paraId="22FC6868" w14:textId="77777777" w:rsidR="00190D6B" w:rsidRPr="00190D6B" w:rsidRDefault="00190D6B" w:rsidP="00190D6B">
      <w:pPr>
        <w:rPr>
          <w:szCs w:val="24"/>
        </w:rPr>
      </w:pPr>
    </w:p>
    <w:p w14:paraId="483E2304" w14:textId="77777777" w:rsidR="00190D6B" w:rsidRPr="00190D6B" w:rsidRDefault="00190D6B" w:rsidP="00190D6B">
      <w:pPr>
        <w:rPr>
          <w:szCs w:val="24"/>
        </w:rPr>
      </w:pPr>
    </w:p>
    <w:p w14:paraId="12D22400" w14:textId="77777777" w:rsidR="00190D6B" w:rsidRPr="00190D6B" w:rsidRDefault="00190D6B" w:rsidP="00190D6B">
      <w:pPr>
        <w:rPr>
          <w:szCs w:val="24"/>
        </w:rPr>
      </w:pPr>
    </w:p>
    <w:p w14:paraId="22BBDBC9" w14:textId="77777777" w:rsidR="00190D6B" w:rsidRPr="00190D6B" w:rsidRDefault="00190D6B" w:rsidP="00190D6B">
      <w:pPr>
        <w:rPr>
          <w:b/>
          <w:szCs w:val="24"/>
        </w:rPr>
      </w:pPr>
    </w:p>
    <w:p w14:paraId="1BEB61F3" w14:textId="77777777" w:rsidR="00190D6B" w:rsidRPr="00190D6B" w:rsidRDefault="00190D6B" w:rsidP="00190D6B">
      <w:pPr>
        <w:rPr>
          <w:b/>
          <w:szCs w:val="24"/>
        </w:rPr>
      </w:pPr>
    </w:p>
    <w:p w14:paraId="30195609" w14:textId="77777777" w:rsidR="00190D6B" w:rsidRPr="00190D6B" w:rsidRDefault="00190D6B" w:rsidP="00190D6B">
      <w:pPr>
        <w:rPr>
          <w:b/>
          <w:szCs w:val="24"/>
        </w:rPr>
      </w:pPr>
    </w:p>
    <w:p w14:paraId="570657EE" w14:textId="77777777" w:rsidR="00190D6B" w:rsidRPr="00190D6B" w:rsidRDefault="00190D6B" w:rsidP="00190D6B">
      <w:pPr>
        <w:rPr>
          <w:b/>
          <w:szCs w:val="24"/>
        </w:rPr>
      </w:pPr>
      <w:r w:rsidRPr="00190D6B">
        <w:rPr>
          <w:noProof/>
          <w:szCs w:val="24"/>
        </w:rPr>
        <w:lastRenderedPageBreak/>
        <w:drawing>
          <wp:inline distT="0" distB="0" distL="0" distR="0" wp14:anchorId="754EDF00" wp14:editId="6DCDF45D">
            <wp:extent cx="5772150" cy="8867775"/>
            <wp:effectExtent l="0" t="0" r="0" b="952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2150" cy="8867775"/>
                    </a:xfrm>
                    <a:prstGeom prst="rect">
                      <a:avLst/>
                    </a:prstGeom>
                    <a:noFill/>
                    <a:ln>
                      <a:noFill/>
                    </a:ln>
                  </pic:spPr>
                </pic:pic>
              </a:graphicData>
            </a:graphic>
          </wp:inline>
        </w:drawing>
      </w:r>
    </w:p>
    <w:p w14:paraId="29683C4D" w14:textId="77777777" w:rsidR="00190D6B" w:rsidRPr="00190D6B" w:rsidRDefault="00190D6B" w:rsidP="00190D6B">
      <w:pPr>
        <w:rPr>
          <w:b/>
          <w:szCs w:val="24"/>
        </w:rPr>
      </w:pPr>
      <w:r w:rsidRPr="00190D6B">
        <w:rPr>
          <w:noProof/>
          <w:szCs w:val="24"/>
        </w:rPr>
        <w:lastRenderedPageBreak/>
        <w:drawing>
          <wp:inline distT="0" distB="0" distL="0" distR="0" wp14:anchorId="11248D3F" wp14:editId="424B6E4C">
            <wp:extent cx="5495925" cy="8858250"/>
            <wp:effectExtent l="0" t="0" r="9525"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5925" cy="8858250"/>
                    </a:xfrm>
                    <a:prstGeom prst="rect">
                      <a:avLst/>
                    </a:prstGeom>
                    <a:noFill/>
                    <a:ln>
                      <a:noFill/>
                    </a:ln>
                  </pic:spPr>
                </pic:pic>
              </a:graphicData>
            </a:graphic>
          </wp:inline>
        </w:drawing>
      </w:r>
    </w:p>
    <w:p w14:paraId="1EDE0C99" w14:textId="77777777" w:rsidR="00190D6B" w:rsidRPr="00190D6B" w:rsidRDefault="00190D6B" w:rsidP="00190D6B">
      <w:pPr>
        <w:rPr>
          <w:b/>
          <w:szCs w:val="24"/>
        </w:rPr>
      </w:pPr>
      <w:r w:rsidRPr="00190D6B">
        <w:rPr>
          <w:noProof/>
          <w:szCs w:val="24"/>
        </w:rPr>
        <w:lastRenderedPageBreak/>
        <w:drawing>
          <wp:inline distT="0" distB="0" distL="0" distR="0" wp14:anchorId="62D32D3A" wp14:editId="5A7AFF2F">
            <wp:extent cx="5562600" cy="8867775"/>
            <wp:effectExtent l="0" t="0" r="0" b="9525"/>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600" cy="8867775"/>
                    </a:xfrm>
                    <a:prstGeom prst="rect">
                      <a:avLst/>
                    </a:prstGeom>
                    <a:noFill/>
                    <a:ln>
                      <a:noFill/>
                    </a:ln>
                  </pic:spPr>
                </pic:pic>
              </a:graphicData>
            </a:graphic>
          </wp:inline>
        </w:drawing>
      </w:r>
    </w:p>
    <w:p w14:paraId="47960D04" w14:textId="77777777" w:rsidR="00190D6B" w:rsidRPr="00190D6B" w:rsidRDefault="00190D6B" w:rsidP="00190D6B">
      <w:pPr>
        <w:rPr>
          <w:b/>
          <w:szCs w:val="24"/>
        </w:rPr>
      </w:pPr>
      <w:r w:rsidRPr="00190D6B">
        <w:rPr>
          <w:noProof/>
          <w:szCs w:val="24"/>
        </w:rPr>
        <w:lastRenderedPageBreak/>
        <w:drawing>
          <wp:inline distT="0" distB="0" distL="0" distR="0" wp14:anchorId="3B9C843E" wp14:editId="7E8A1403">
            <wp:extent cx="5410200" cy="805815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200" cy="8058150"/>
                    </a:xfrm>
                    <a:prstGeom prst="rect">
                      <a:avLst/>
                    </a:prstGeom>
                    <a:noFill/>
                    <a:ln>
                      <a:noFill/>
                    </a:ln>
                  </pic:spPr>
                </pic:pic>
              </a:graphicData>
            </a:graphic>
          </wp:inline>
        </w:drawing>
      </w:r>
    </w:p>
    <w:p w14:paraId="627E3E93" w14:textId="77777777" w:rsidR="00190D6B" w:rsidRPr="00190D6B" w:rsidRDefault="00190D6B" w:rsidP="00190D6B">
      <w:pPr>
        <w:rPr>
          <w:b/>
          <w:szCs w:val="24"/>
        </w:rPr>
      </w:pPr>
    </w:p>
    <w:p w14:paraId="20336B5D" w14:textId="77777777" w:rsidR="00190D6B" w:rsidRPr="00190D6B" w:rsidRDefault="00190D6B" w:rsidP="00190D6B">
      <w:pPr>
        <w:rPr>
          <w:szCs w:val="24"/>
        </w:rPr>
      </w:pPr>
      <w:r w:rsidRPr="00190D6B">
        <w:rPr>
          <w:szCs w:val="24"/>
        </w:rPr>
        <w:t>RECOMMENDED that the Council notes this report.</w:t>
      </w:r>
    </w:p>
    <w:p w14:paraId="6FAAA014" w14:textId="77777777" w:rsidR="00190D6B" w:rsidRPr="00190D6B" w:rsidRDefault="00190D6B" w:rsidP="00190D6B">
      <w:pPr>
        <w:rPr>
          <w:szCs w:val="24"/>
        </w:rPr>
      </w:pPr>
    </w:p>
    <w:p w14:paraId="7FCC2289" w14:textId="77777777" w:rsidR="00190D6B" w:rsidRPr="00190D6B" w:rsidRDefault="00190D6B" w:rsidP="00190D6B">
      <w:pPr>
        <w:rPr>
          <w:szCs w:val="24"/>
        </w:rPr>
      </w:pPr>
      <w:r w:rsidRPr="00190D6B">
        <w:rPr>
          <w:szCs w:val="24"/>
        </w:rPr>
        <w:lastRenderedPageBreak/>
        <w:t>Proposed by Alderman Smith, seconded by Alderman McIlveen, that the recommendation be adopted.</w:t>
      </w:r>
    </w:p>
    <w:p w14:paraId="5555EAF6" w14:textId="77777777" w:rsidR="00190D6B" w:rsidRPr="00190D6B" w:rsidRDefault="00190D6B" w:rsidP="00190D6B">
      <w:pPr>
        <w:rPr>
          <w:szCs w:val="24"/>
        </w:rPr>
      </w:pPr>
    </w:p>
    <w:p w14:paraId="5C23CFAF" w14:textId="77777777" w:rsidR="00190D6B" w:rsidRPr="00190D6B" w:rsidRDefault="00190D6B" w:rsidP="00190D6B">
      <w:pPr>
        <w:rPr>
          <w:szCs w:val="24"/>
        </w:rPr>
      </w:pPr>
      <w:r w:rsidRPr="00190D6B">
        <w:rPr>
          <w:szCs w:val="24"/>
        </w:rPr>
        <w:t>Noting some of the variances, Alderman McIlveen accepted that was the nature of some costs such as fuel expenditure which were variable. He noted though that the election costs had been £101,000 more than anticipated and he queried the reasoning behind that, particularly as there had been a reduced number of staff working at the election.</w:t>
      </w:r>
    </w:p>
    <w:p w14:paraId="64E35120" w14:textId="77777777" w:rsidR="00190D6B" w:rsidRPr="00190D6B" w:rsidRDefault="00190D6B" w:rsidP="00190D6B">
      <w:pPr>
        <w:rPr>
          <w:szCs w:val="24"/>
        </w:rPr>
      </w:pPr>
    </w:p>
    <w:p w14:paraId="7FAC2FAF" w14:textId="77777777" w:rsidR="00190D6B" w:rsidRPr="00190D6B" w:rsidRDefault="00190D6B" w:rsidP="00190D6B">
      <w:pPr>
        <w:rPr>
          <w:szCs w:val="24"/>
        </w:rPr>
      </w:pPr>
      <w:r w:rsidRPr="00190D6B">
        <w:rPr>
          <w:szCs w:val="24"/>
        </w:rPr>
        <w:t>The Head of Finance advised that the cost of the previous election had been around £400,000, so in preparation, the Council had been setting aside £100,000 per year. In the case of the recent election though, the charges by the electoral office had increased from £188,000 to £288,000 and the total cost had been in the region of £560,000.</w:t>
      </w:r>
    </w:p>
    <w:p w14:paraId="0BAE3E78" w14:textId="77777777" w:rsidR="00190D6B" w:rsidRPr="00190D6B" w:rsidRDefault="00190D6B" w:rsidP="00190D6B">
      <w:pPr>
        <w:rPr>
          <w:szCs w:val="24"/>
        </w:rPr>
      </w:pPr>
    </w:p>
    <w:p w14:paraId="369F38AB" w14:textId="77777777" w:rsidR="00190D6B" w:rsidRPr="00190D6B" w:rsidRDefault="00190D6B" w:rsidP="00190D6B">
      <w:pPr>
        <w:rPr>
          <w:szCs w:val="24"/>
        </w:rPr>
      </w:pPr>
      <w:r w:rsidRPr="00190D6B">
        <w:rPr>
          <w:szCs w:val="24"/>
        </w:rPr>
        <w:t>Alderman McIlveen was disappointed by that arrangement with the final costs only revealed after the election had taken place. He asked if there had been any indication of the increased costs in advance.</w:t>
      </w:r>
    </w:p>
    <w:p w14:paraId="154DBF02" w14:textId="77777777" w:rsidR="00190D6B" w:rsidRPr="00190D6B" w:rsidRDefault="00190D6B" w:rsidP="00190D6B">
      <w:pPr>
        <w:rPr>
          <w:szCs w:val="24"/>
        </w:rPr>
      </w:pPr>
    </w:p>
    <w:p w14:paraId="62A55CC2" w14:textId="77777777" w:rsidR="00190D6B" w:rsidRPr="00190D6B" w:rsidRDefault="00190D6B" w:rsidP="00190D6B">
      <w:pPr>
        <w:rPr>
          <w:szCs w:val="24"/>
        </w:rPr>
      </w:pPr>
      <w:r w:rsidRPr="00190D6B">
        <w:rPr>
          <w:szCs w:val="24"/>
        </w:rPr>
        <w:t>The officer explained the difficulties in budgeting for the election and confirmed that an indication of costs was only provided a few months in advance. As a result of the variance this year though, the Council would now be increasing its annual savings for the election from £100,000 to £150,000.</w:t>
      </w:r>
    </w:p>
    <w:p w14:paraId="7CE45EAE" w14:textId="77777777" w:rsidR="00190D6B" w:rsidRPr="00190D6B" w:rsidRDefault="00190D6B" w:rsidP="00190D6B">
      <w:pPr>
        <w:rPr>
          <w:szCs w:val="24"/>
        </w:rPr>
      </w:pPr>
    </w:p>
    <w:p w14:paraId="6011421A" w14:textId="77777777" w:rsidR="00190D6B" w:rsidRPr="00190D6B" w:rsidRDefault="00190D6B" w:rsidP="00190D6B">
      <w:pPr>
        <w:rPr>
          <w:szCs w:val="24"/>
        </w:rPr>
      </w:pPr>
      <w:r w:rsidRPr="00190D6B">
        <w:rPr>
          <w:szCs w:val="24"/>
        </w:rPr>
        <w:t>The Director of Corporate Services added that the additional costs had been established early enough in the year though to include them in the Council’s outturn forecast.</w:t>
      </w:r>
    </w:p>
    <w:p w14:paraId="1121DA42" w14:textId="77777777" w:rsidR="00190D6B" w:rsidRPr="00190D6B" w:rsidRDefault="00190D6B" w:rsidP="00190D6B">
      <w:pPr>
        <w:rPr>
          <w:szCs w:val="24"/>
        </w:rPr>
      </w:pPr>
    </w:p>
    <w:p w14:paraId="5ABEBE49" w14:textId="77777777" w:rsidR="00190D6B" w:rsidRPr="00190D6B" w:rsidRDefault="00190D6B" w:rsidP="00190D6B">
      <w:r w:rsidRPr="00190D6B">
        <w:rPr>
          <w:szCs w:val="24"/>
        </w:rPr>
        <w:t>Reflecting on the total cost of the election, Alderman Graham wondered if the ratepayer would feel that £14,000 for every Councillor elected represented good value.</w:t>
      </w:r>
    </w:p>
    <w:p w14:paraId="6296EC15" w14:textId="77777777" w:rsidR="00190D6B" w:rsidRPr="00190D6B" w:rsidRDefault="00190D6B" w:rsidP="00190D6B">
      <w:pPr>
        <w:rPr>
          <w:b/>
          <w:bCs/>
        </w:rPr>
      </w:pPr>
    </w:p>
    <w:p w14:paraId="52EBBB3E" w14:textId="77777777" w:rsidR="00190D6B" w:rsidRPr="00190D6B" w:rsidRDefault="00190D6B" w:rsidP="00190D6B">
      <w:pPr>
        <w:rPr>
          <w:b/>
          <w:bCs/>
        </w:rPr>
      </w:pPr>
      <w:r w:rsidRPr="00190D6B">
        <w:rPr>
          <w:b/>
          <w:bCs/>
        </w:rPr>
        <w:t>AGREED TO RECOMMEND, on the proposal of Alderman Smith, seconded by Alderman McIlveen, that the recommendation be adopted.</w:t>
      </w:r>
    </w:p>
    <w:p w14:paraId="387B1CA8" w14:textId="77777777" w:rsidR="00190D6B" w:rsidRPr="00190D6B" w:rsidRDefault="00190D6B" w:rsidP="00190D6B">
      <w:pPr>
        <w:rPr>
          <w:rFonts w:eastAsia="Times New Roman" w:cs="Arial"/>
          <w:b/>
          <w:szCs w:val="24"/>
          <w:lang w:eastAsia="en-GB"/>
        </w:rPr>
      </w:pPr>
    </w:p>
    <w:p w14:paraId="6607186B" w14:textId="77777777" w:rsidR="00190D6B" w:rsidRPr="00190D6B" w:rsidRDefault="00190D6B" w:rsidP="00190D6B">
      <w:pPr>
        <w:keepNext/>
        <w:keepLines/>
        <w:ind w:left="720" w:hanging="720"/>
        <w:outlineLvl w:val="0"/>
        <w:rPr>
          <w:rFonts w:eastAsia="Times New Roman"/>
          <w:b/>
          <w:caps/>
          <w:sz w:val="28"/>
          <w:szCs w:val="32"/>
          <w:u w:val="single"/>
        </w:rPr>
      </w:pPr>
      <w:r w:rsidRPr="00190D6B">
        <w:rPr>
          <w:rFonts w:eastAsia="Times New Roman"/>
          <w:b/>
          <w:caps/>
          <w:sz w:val="28"/>
          <w:szCs w:val="32"/>
        </w:rPr>
        <w:t>6.</w:t>
      </w:r>
      <w:r w:rsidRPr="00190D6B">
        <w:rPr>
          <w:rFonts w:eastAsia="Times New Roman"/>
          <w:b/>
          <w:caps/>
          <w:sz w:val="28"/>
          <w:szCs w:val="32"/>
        </w:rPr>
        <w:tab/>
      </w:r>
      <w:r w:rsidRPr="00190D6B">
        <w:rPr>
          <w:rFonts w:eastAsia="Times New Roman"/>
          <w:b/>
          <w:caps/>
          <w:sz w:val="28"/>
          <w:szCs w:val="32"/>
          <w:u w:val="single"/>
        </w:rPr>
        <w:t>Prudential Indicators &amp; Treasury Management – 2023/24 Q2 Report (FIN161)</w:t>
      </w:r>
    </w:p>
    <w:p w14:paraId="3940B456" w14:textId="77777777" w:rsidR="00190D6B" w:rsidRPr="00190D6B" w:rsidRDefault="00190D6B" w:rsidP="00190D6B">
      <w:pPr>
        <w:ind w:left="720"/>
        <w:rPr>
          <w:rFonts w:eastAsiaTheme="minorHAnsi" w:cs="Arial"/>
          <w:szCs w:val="24"/>
        </w:rPr>
      </w:pPr>
    </w:p>
    <w:p w14:paraId="02531D90" w14:textId="77777777" w:rsidR="00190D6B" w:rsidRPr="00190D6B" w:rsidRDefault="00190D6B" w:rsidP="00190D6B">
      <w:pPr>
        <w:rPr>
          <w:szCs w:val="24"/>
        </w:rPr>
      </w:pPr>
      <w:r w:rsidRPr="00190D6B">
        <w:rPr>
          <w:caps/>
          <w:szCs w:val="24"/>
        </w:rPr>
        <w:t>Previously circulated:-</w:t>
      </w:r>
      <w:r w:rsidRPr="00190D6B">
        <w:rPr>
          <w:szCs w:val="24"/>
        </w:rPr>
        <w:t xml:space="preserve"> Report from Director of Corporate Services detailing the undernoted:</w:t>
      </w:r>
    </w:p>
    <w:p w14:paraId="49A1DA61" w14:textId="77777777" w:rsidR="00190D6B" w:rsidRPr="00190D6B" w:rsidRDefault="00190D6B" w:rsidP="00190D6B">
      <w:pPr>
        <w:rPr>
          <w:szCs w:val="24"/>
        </w:rPr>
      </w:pPr>
    </w:p>
    <w:p w14:paraId="61439680" w14:textId="77777777" w:rsidR="00190D6B" w:rsidRPr="00190D6B" w:rsidRDefault="00190D6B" w:rsidP="00190D6B">
      <w:pPr>
        <w:rPr>
          <w:b/>
          <w:szCs w:val="24"/>
        </w:rPr>
      </w:pPr>
      <w:r w:rsidRPr="00190D6B">
        <w:rPr>
          <w:b/>
          <w:szCs w:val="24"/>
        </w:rPr>
        <w:t>Introduction</w:t>
      </w:r>
    </w:p>
    <w:p w14:paraId="78F1A67B" w14:textId="77777777" w:rsidR="00190D6B" w:rsidRPr="00190D6B" w:rsidRDefault="00190D6B" w:rsidP="00190D6B">
      <w:pPr>
        <w:rPr>
          <w:szCs w:val="24"/>
        </w:rPr>
      </w:pPr>
      <w:r w:rsidRPr="00190D6B">
        <w:rPr>
          <w:szCs w:val="24"/>
        </w:rPr>
        <w:t xml:space="preserve">In February 2023, Council approved its annual Capital and Treasury Management Strategies, including the setting of Prudential Indicators (PIs) for the current financial year ending 31 March 2024.  These were statutory requirements in accordance with the Local Government Finance Act (NI) 2011, the CIPFA Prudential Code and the CIPFA Treasury Management Code.  </w:t>
      </w:r>
    </w:p>
    <w:p w14:paraId="698CB1CB" w14:textId="77777777" w:rsidR="00190D6B" w:rsidRPr="00190D6B" w:rsidRDefault="00190D6B" w:rsidP="00190D6B">
      <w:pPr>
        <w:rPr>
          <w:szCs w:val="24"/>
        </w:rPr>
      </w:pPr>
    </w:p>
    <w:p w14:paraId="558DB55A" w14:textId="77777777" w:rsidR="00190D6B" w:rsidRPr="00190D6B" w:rsidRDefault="00190D6B" w:rsidP="00190D6B">
      <w:pPr>
        <w:rPr>
          <w:bCs/>
          <w:szCs w:val="24"/>
        </w:rPr>
      </w:pPr>
      <w:r w:rsidRPr="00190D6B">
        <w:rPr>
          <w:bCs/>
          <w:szCs w:val="24"/>
        </w:rPr>
        <w:t xml:space="preserve">The purpose of this report was to provide Members with an update on the PIs and treasury management activity at the end of quarter 2 of the financial year, as </w:t>
      </w:r>
      <w:r w:rsidRPr="00190D6B">
        <w:rPr>
          <w:bCs/>
          <w:szCs w:val="24"/>
        </w:rPr>
        <w:lastRenderedPageBreak/>
        <w:t>required by the CIPFA Codes.  The figures presented in this report were based on knowledge and information held at 30 September 2023.</w:t>
      </w:r>
    </w:p>
    <w:p w14:paraId="38731A28" w14:textId="77777777" w:rsidR="00190D6B" w:rsidRPr="00190D6B" w:rsidRDefault="00190D6B" w:rsidP="00190D6B">
      <w:pPr>
        <w:rPr>
          <w:b/>
          <w:bCs/>
          <w:szCs w:val="24"/>
          <w:u w:val="single"/>
        </w:rPr>
      </w:pPr>
    </w:p>
    <w:p w14:paraId="32BF4FEB" w14:textId="77777777" w:rsidR="00190D6B" w:rsidRPr="00190D6B" w:rsidRDefault="00190D6B" w:rsidP="00190D6B">
      <w:pPr>
        <w:rPr>
          <w:b/>
          <w:bCs/>
          <w:szCs w:val="24"/>
        </w:rPr>
      </w:pPr>
      <w:r w:rsidRPr="00190D6B">
        <w:rPr>
          <w:b/>
          <w:bCs/>
          <w:szCs w:val="24"/>
        </w:rPr>
        <w:t>1.1  Capital - Expenditure &amp; Financing</w:t>
      </w:r>
    </w:p>
    <w:p w14:paraId="7069A69C" w14:textId="77777777" w:rsidR="00190D6B" w:rsidRPr="00190D6B" w:rsidRDefault="00190D6B" w:rsidP="00190D6B">
      <w:pPr>
        <w:rPr>
          <w:bCs/>
          <w:szCs w:val="24"/>
        </w:rPr>
      </w:pPr>
      <w:r w:rsidRPr="00190D6B">
        <w:rPr>
          <w:bCs/>
          <w:szCs w:val="24"/>
        </w:rPr>
        <w:t>The PIs for capital expenditure and financing should ensure that, within a clear framework, the capital investment plans of the Council were affordable, prudent and sustainable. Updates to these PIs were set out below.</w:t>
      </w:r>
    </w:p>
    <w:p w14:paraId="2029B060" w14:textId="77777777" w:rsidR="00190D6B" w:rsidRPr="00190D6B" w:rsidRDefault="00190D6B" w:rsidP="00190D6B">
      <w:pPr>
        <w:rPr>
          <w:bCs/>
          <w:szCs w:val="24"/>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1418"/>
        <w:gridCol w:w="1417"/>
      </w:tblGrid>
      <w:tr w:rsidR="00190D6B" w:rsidRPr="00190D6B" w14:paraId="7B9B16E5" w14:textId="77777777" w:rsidTr="00190D6B">
        <w:trPr>
          <w:trHeight w:val="567"/>
        </w:trPr>
        <w:tc>
          <w:tcPr>
            <w:tcW w:w="5670" w:type="dxa"/>
            <w:tcBorders>
              <w:top w:val="nil"/>
              <w:left w:val="nil"/>
              <w:bottom w:val="single" w:sz="4" w:space="0" w:color="auto"/>
              <w:right w:val="nil"/>
            </w:tcBorders>
            <w:vAlign w:val="center"/>
          </w:tcPr>
          <w:p w14:paraId="7A601688" w14:textId="77777777" w:rsidR="00190D6B" w:rsidRPr="00190D6B" w:rsidRDefault="00190D6B" w:rsidP="00190D6B">
            <w:pPr>
              <w:spacing w:line="256" w:lineRule="auto"/>
              <w:rPr>
                <w:kern w:val="2"/>
                <w:szCs w:val="24"/>
                <w14:ligatures w14:val="standardContextual"/>
              </w:rPr>
            </w:pPr>
          </w:p>
        </w:tc>
        <w:tc>
          <w:tcPr>
            <w:tcW w:w="141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34D606F"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Original Forecast</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A795412"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Revised Forecast</w:t>
            </w:r>
          </w:p>
        </w:tc>
      </w:tr>
      <w:tr w:rsidR="00190D6B" w:rsidRPr="00190D6B" w14:paraId="71134FE1" w14:textId="77777777" w:rsidTr="00190D6B">
        <w:trPr>
          <w:trHeight w:val="383"/>
        </w:trPr>
        <w:tc>
          <w:tcPr>
            <w:tcW w:w="567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7CA3FAA"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Table 1.11</w:t>
            </w:r>
          </w:p>
        </w:tc>
        <w:tc>
          <w:tcPr>
            <w:tcW w:w="1418" w:type="dxa"/>
            <w:tcBorders>
              <w:top w:val="single" w:sz="4" w:space="0" w:color="auto"/>
              <w:left w:val="single" w:sz="4" w:space="0" w:color="auto"/>
              <w:bottom w:val="single" w:sz="4" w:space="0" w:color="000000"/>
              <w:right w:val="single" w:sz="4" w:space="0" w:color="auto"/>
            </w:tcBorders>
            <w:shd w:val="clear" w:color="auto" w:fill="0070C0"/>
            <w:vAlign w:val="center"/>
            <w:hideMark/>
          </w:tcPr>
          <w:p w14:paraId="74F90298"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£m</w:t>
            </w:r>
          </w:p>
        </w:tc>
        <w:tc>
          <w:tcPr>
            <w:tcW w:w="1417" w:type="dxa"/>
            <w:tcBorders>
              <w:top w:val="single" w:sz="4" w:space="0" w:color="auto"/>
              <w:left w:val="single" w:sz="4" w:space="0" w:color="auto"/>
              <w:bottom w:val="single" w:sz="4" w:space="0" w:color="000000"/>
              <w:right w:val="single" w:sz="4" w:space="0" w:color="000000"/>
            </w:tcBorders>
            <w:shd w:val="clear" w:color="auto" w:fill="0070C0"/>
            <w:vAlign w:val="center"/>
            <w:hideMark/>
          </w:tcPr>
          <w:p w14:paraId="0FE57702"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£m</w:t>
            </w:r>
          </w:p>
        </w:tc>
      </w:tr>
      <w:tr w:rsidR="00190D6B" w:rsidRPr="00190D6B" w14:paraId="104E95C7" w14:textId="77777777" w:rsidTr="00190D6B">
        <w:trPr>
          <w:trHeight w:val="454"/>
        </w:trPr>
        <w:tc>
          <w:tcPr>
            <w:tcW w:w="5670" w:type="dxa"/>
            <w:tcBorders>
              <w:top w:val="single" w:sz="4" w:space="0" w:color="auto"/>
              <w:left w:val="single" w:sz="4" w:space="0" w:color="000000"/>
              <w:bottom w:val="single" w:sz="4" w:space="0" w:color="auto"/>
              <w:right w:val="single" w:sz="4" w:space="0" w:color="000000"/>
            </w:tcBorders>
            <w:vAlign w:val="center"/>
            <w:hideMark/>
          </w:tcPr>
          <w:p w14:paraId="0CEC67DF"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Capital Expenditure 2023/24 (Current Year)</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45996AC"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17.406</w:t>
            </w:r>
          </w:p>
        </w:tc>
        <w:tc>
          <w:tcPr>
            <w:tcW w:w="14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F63B52"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7.658</w:t>
            </w:r>
          </w:p>
        </w:tc>
      </w:tr>
    </w:tbl>
    <w:p w14:paraId="31D4B6BB" w14:textId="77777777" w:rsidR="00190D6B" w:rsidRPr="00190D6B" w:rsidRDefault="00190D6B" w:rsidP="00190D6B">
      <w:pPr>
        <w:rPr>
          <w:bCs/>
          <w:szCs w:val="24"/>
        </w:rPr>
      </w:pPr>
    </w:p>
    <w:p w14:paraId="4872E9B1" w14:textId="77777777" w:rsidR="00190D6B" w:rsidRPr="00190D6B" w:rsidRDefault="00190D6B" w:rsidP="00190D6B">
      <w:pPr>
        <w:rPr>
          <w:bCs/>
          <w:szCs w:val="24"/>
        </w:rPr>
      </w:pPr>
      <w:r w:rsidRPr="00190D6B">
        <w:rPr>
          <w:bCs/>
          <w:szCs w:val="24"/>
        </w:rPr>
        <w:t>The original estimate of £17.406m had been revised to £7.658m, reflecting the capital expenditure that was now expected to be incurred by 31 March 2024. The reduction in the forecast was primarily due to programme slippages in the planned major capital schemes, particularly</w:t>
      </w:r>
    </w:p>
    <w:p w14:paraId="7B7C0942" w14:textId="77777777" w:rsidR="00190D6B" w:rsidRPr="00190D6B" w:rsidRDefault="00190D6B" w:rsidP="00874464">
      <w:pPr>
        <w:numPr>
          <w:ilvl w:val="0"/>
          <w:numId w:val="7"/>
        </w:numPr>
        <w:rPr>
          <w:bCs/>
          <w:szCs w:val="24"/>
        </w:rPr>
      </w:pPr>
      <w:r w:rsidRPr="00190D6B">
        <w:rPr>
          <w:bCs/>
          <w:szCs w:val="24"/>
        </w:rPr>
        <w:t>Greenway Schemes – Comber to Newtownards and Newtownards to Bangor, due to delays in the planning process, including awaiting responses from statutory consultees;</w:t>
      </w:r>
    </w:p>
    <w:p w14:paraId="607C20A3" w14:textId="77777777" w:rsidR="00190D6B" w:rsidRPr="00190D6B" w:rsidRDefault="00190D6B" w:rsidP="00874464">
      <w:pPr>
        <w:numPr>
          <w:ilvl w:val="0"/>
          <w:numId w:val="7"/>
        </w:numPr>
        <w:rPr>
          <w:bCs/>
          <w:szCs w:val="24"/>
        </w:rPr>
      </w:pPr>
      <w:r w:rsidRPr="00190D6B">
        <w:rPr>
          <w:bCs/>
          <w:szCs w:val="24"/>
        </w:rPr>
        <w:t>Bangor Aurora Pool Floor – currently undergoing a detailed assessment of business needs;</w:t>
      </w:r>
    </w:p>
    <w:p w14:paraId="14FCEA34" w14:textId="77777777" w:rsidR="00190D6B" w:rsidRPr="00190D6B" w:rsidRDefault="00190D6B" w:rsidP="00190D6B">
      <w:pPr>
        <w:rPr>
          <w:bCs/>
          <w:szCs w:val="24"/>
        </w:rPr>
      </w:pPr>
    </w:p>
    <w:p w14:paraId="45B19053" w14:textId="77777777" w:rsidR="00190D6B" w:rsidRPr="00190D6B" w:rsidRDefault="00190D6B" w:rsidP="00190D6B">
      <w:pPr>
        <w:rPr>
          <w:bCs/>
          <w:szCs w:val="24"/>
        </w:rPr>
      </w:pPr>
      <w:r w:rsidRPr="00190D6B">
        <w:rPr>
          <w:bCs/>
          <w:szCs w:val="24"/>
        </w:rPr>
        <w:t>The revised capital expenditure forecasts for the three-year plan, together with the capital financing implications and previous year activity were summarised below.</w:t>
      </w:r>
    </w:p>
    <w:p w14:paraId="47FAAC46" w14:textId="77777777" w:rsidR="00190D6B" w:rsidRPr="00190D6B" w:rsidRDefault="00190D6B" w:rsidP="00190D6B">
      <w:pPr>
        <w:rPr>
          <w:bCs/>
          <w:szCs w:val="24"/>
        </w:rPr>
      </w:pPr>
    </w:p>
    <w:tbl>
      <w:tblPr>
        <w:tblW w:w="861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1562"/>
        <w:gridCol w:w="1276"/>
        <w:gridCol w:w="1417"/>
        <w:gridCol w:w="1276"/>
      </w:tblGrid>
      <w:tr w:rsidR="00190D6B" w:rsidRPr="00190D6B" w14:paraId="17F15EF9" w14:textId="77777777" w:rsidTr="00190D6B">
        <w:trPr>
          <w:trHeight w:val="340"/>
        </w:trPr>
        <w:tc>
          <w:tcPr>
            <w:tcW w:w="3082" w:type="dxa"/>
            <w:tcBorders>
              <w:top w:val="nil"/>
              <w:left w:val="nil"/>
              <w:bottom w:val="nil"/>
              <w:right w:val="nil"/>
            </w:tcBorders>
            <w:vAlign w:val="center"/>
          </w:tcPr>
          <w:p w14:paraId="76AFD763" w14:textId="77777777" w:rsidR="00190D6B" w:rsidRPr="00190D6B" w:rsidRDefault="00190D6B" w:rsidP="00190D6B">
            <w:pPr>
              <w:spacing w:line="256" w:lineRule="auto"/>
              <w:rPr>
                <w:kern w:val="2"/>
                <w:szCs w:val="24"/>
                <w14:ligatures w14:val="standardContextual"/>
              </w:rPr>
            </w:pPr>
          </w:p>
        </w:tc>
        <w:tc>
          <w:tcPr>
            <w:tcW w:w="1562" w:type="dxa"/>
            <w:tcBorders>
              <w:top w:val="single" w:sz="4" w:space="0" w:color="auto"/>
              <w:left w:val="single" w:sz="4" w:space="0" w:color="auto"/>
              <w:bottom w:val="single" w:sz="4" w:space="0" w:color="auto"/>
              <w:right w:val="single" w:sz="4" w:space="0" w:color="000000"/>
            </w:tcBorders>
            <w:shd w:val="clear" w:color="auto" w:fill="0070C0"/>
            <w:vAlign w:val="center"/>
            <w:hideMark/>
          </w:tcPr>
          <w:p w14:paraId="52E6E8A0"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Actual</w:t>
            </w:r>
          </w:p>
        </w:tc>
        <w:tc>
          <w:tcPr>
            <w:tcW w:w="3969" w:type="dxa"/>
            <w:gridSpan w:val="3"/>
            <w:tcBorders>
              <w:top w:val="single" w:sz="4" w:space="0" w:color="auto"/>
              <w:left w:val="single" w:sz="4" w:space="0" w:color="auto"/>
              <w:bottom w:val="single" w:sz="4" w:space="0" w:color="auto"/>
              <w:right w:val="single" w:sz="4" w:space="0" w:color="000000"/>
            </w:tcBorders>
            <w:shd w:val="clear" w:color="auto" w:fill="0070C0"/>
            <w:vAlign w:val="center"/>
            <w:hideMark/>
          </w:tcPr>
          <w:p w14:paraId="7F771F1C"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Revised Forecast</w:t>
            </w:r>
          </w:p>
        </w:tc>
      </w:tr>
      <w:tr w:rsidR="00190D6B" w:rsidRPr="00190D6B" w14:paraId="6B691083" w14:textId="77777777" w:rsidTr="00190D6B">
        <w:trPr>
          <w:trHeight w:val="340"/>
        </w:trPr>
        <w:tc>
          <w:tcPr>
            <w:tcW w:w="3082" w:type="dxa"/>
            <w:tcBorders>
              <w:top w:val="nil"/>
              <w:left w:val="nil"/>
              <w:bottom w:val="nil"/>
              <w:right w:val="single" w:sz="4" w:space="0" w:color="auto"/>
            </w:tcBorders>
            <w:vAlign w:val="center"/>
          </w:tcPr>
          <w:p w14:paraId="21D53C38" w14:textId="77777777" w:rsidR="00190D6B" w:rsidRPr="00190D6B" w:rsidRDefault="00190D6B" w:rsidP="00190D6B">
            <w:pPr>
              <w:spacing w:line="256" w:lineRule="auto"/>
              <w:rPr>
                <w:b/>
                <w:kern w:val="2"/>
                <w:szCs w:val="24"/>
                <w14:ligatures w14:val="standardContextual"/>
              </w:rPr>
            </w:pPr>
          </w:p>
        </w:tc>
        <w:tc>
          <w:tcPr>
            <w:tcW w:w="156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C73E7F2"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2022/23</w:t>
            </w:r>
          </w:p>
        </w:tc>
        <w:tc>
          <w:tcPr>
            <w:tcW w:w="1276" w:type="dxa"/>
            <w:tcBorders>
              <w:top w:val="single" w:sz="4" w:space="0" w:color="auto"/>
              <w:left w:val="single" w:sz="4" w:space="0" w:color="auto"/>
              <w:bottom w:val="single" w:sz="4" w:space="0" w:color="000000"/>
              <w:right w:val="single" w:sz="4" w:space="0" w:color="000000"/>
            </w:tcBorders>
            <w:shd w:val="clear" w:color="auto" w:fill="0070C0"/>
            <w:vAlign w:val="center"/>
            <w:hideMark/>
          </w:tcPr>
          <w:p w14:paraId="5595D9D9"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2023/24</w:t>
            </w:r>
          </w:p>
        </w:tc>
        <w:tc>
          <w:tcPr>
            <w:tcW w:w="1417"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70D336BE"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2024/25</w:t>
            </w:r>
          </w:p>
        </w:tc>
        <w:tc>
          <w:tcPr>
            <w:tcW w:w="127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71E7F9DA"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2025/26</w:t>
            </w:r>
          </w:p>
        </w:tc>
      </w:tr>
      <w:tr w:rsidR="00190D6B" w:rsidRPr="00190D6B" w14:paraId="12400BBD" w14:textId="77777777" w:rsidTr="00190D6B">
        <w:trPr>
          <w:trHeight w:val="340"/>
        </w:trPr>
        <w:tc>
          <w:tcPr>
            <w:tcW w:w="3082" w:type="dxa"/>
            <w:tcBorders>
              <w:top w:val="nil"/>
              <w:left w:val="single" w:sz="4" w:space="0" w:color="auto"/>
              <w:bottom w:val="single" w:sz="4" w:space="0" w:color="auto"/>
              <w:right w:val="single" w:sz="4" w:space="0" w:color="auto"/>
            </w:tcBorders>
            <w:shd w:val="clear" w:color="auto" w:fill="0070C0"/>
            <w:vAlign w:val="center"/>
            <w:hideMark/>
          </w:tcPr>
          <w:p w14:paraId="38AB5638"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Table 1.12</w:t>
            </w:r>
          </w:p>
        </w:tc>
        <w:tc>
          <w:tcPr>
            <w:tcW w:w="1562" w:type="dxa"/>
            <w:tcBorders>
              <w:top w:val="single" w:sz="4" w:space="0" w:color="auto"/>
              <w:left w:val="single" w:sz="4" w:space="0" w:color="auto"/>
              <w:bottom w:val="single" w:sz="4" w:space="0" w:color="000000"/>
              <w:right w:val="single" w:sz="4" w:space="0" w:color="auto"/>
            </w:tcBorders>
            <w:shd w:val="clear" w:color="auto" w:fill="0070C0"/>
            <w:vAlign w:val="center"/>
            <w:hideMark/>
          </w:tcPr>
          <w:p w14:paraId="20177A16"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£m</w:t>
            </w:r>
          </w:p>
        </w:tc>
        <w:tc>
          <w:tcPr>
            <w:tcW w:w="1276" w:type="dxa"/>
            <w:tcBorders>
              <w:top w:val="single" w:sz="4" w:space="0" w:color="auto"/>
              <w:left w:val="single" w:sz="4" w:space="0" w:color="auto"/>
              <w:bottom w:val="single" w:sz="4" w:space="0" w:color="000000"/>
              <w:right w:val="single" w:sz="4" w:space="0" w:color="000000"/>
            </w:tcBorders>
            <w:shd w:val="clear" w:color="auto" w:fill="0070C0"/>
            <w:vAlign w:val="center"/>
            <w:hideMark/>
          </w:tcPr>
          <w:p w14:paraId="3FB36C5E"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£m</w:t>
            </w:r>
          </w:p>
        </w:tc>
        <w:tc>
          <w:tcPr>
            <w:tcW w:w="1417"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61512BD6"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£m</w:t>
            </w:r>
          </w:p>
        </w:tc>
        <w:tc>
          <w:tcPr>
            <w:tcW w:w="127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020B9AD8"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£m</w:t>
            </w:r>
          </w:p>
        </w:tc>
      </w:tr>
      <w:tr w:rsidR="00190D6B" w:rsidRPr="00190D6B" w14:paraId="4F526139" w14:textId="77777777" w:rsidTr="00190D6B">
        <w:trPr>
          <w:trHeight w:val="397"/>
        </w:trPr>
        <w:tc>
          <w:tcPr>
            <w:tcW w:w="3082" w:type="dxa"/>
            <w:tcBorders>
              <w:top w:val="single" w:sz="4" w:space="0" w:color="auto"/>
              <w:left w:val="single" w:sz="4" w:space="0" w:color="000000"/>
              <w:bottom w:val="single" w:sz="4" w:space="0" w:color="auto"/>
              <w:right w:val="single" w:sz="4" w:space="0" w:color="000000"/>
            </w:tcBorders>
            <w:vAlign w:val="center"/>
            <w:hideMark/>
          </w:tcPr>
          <w:p w14:paraId="3E0F1F24"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Capital Expenditure</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652A6B83"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5.187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6B6CB7"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7.658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F366013"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16.834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410B090"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21.888</w:t>
            </w:r>
          </w:p>
        </w:tc>
      </w:tr>
      <w:tr w:rsidR="00190D6B" w:rsidRPr="00190D6B" w14:paraId="0BF3B064" w14:textId="77777777" w:rsidTr="00190D6B">
        <w:trPr>
          <w:trHeight w:val="340"/>
        </w:trPr>
        <w:tc>
          <w:tcPr>
            <w:tcW w:w="3082"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hideMark/>
          </w:tcPr>
          <w:p w14:paraId="2668AA8A"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Financed by:</w:t>
            </w: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633A04" w14:textId="77777777" w:rsidR="00190D6B" w:rsidRPr="00190D6B" w:rsidRDefault="00190D6B" w:rsidP="00190D6B">
            <w:pPr>
              <w:spacing w:line="256" w:lineRule="auto"/>
              <w:rPr>
                <w:kern w:val="2"/>
                <w:szCs w:val="24"/>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B562AD" w14:textId="77777777" w:rsidR="00190D6B" w:rsidRPr="00190D6B" w:rsidRDefault="00190D6B" w:rsidP="00190D6B">
            <w:pPr>
              <w:spacing w:line="256" w:lineRule="auto"/>
              <w:rPr>
                <w:kern w:val="2"/>
                <w:szCs w:val="24"/>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975BAB" w14:textId="77777777" w:rsidR="00190D6B" w:rsidRPr="00190D6B" w:rsidRDefault="00190D6B" w:rsidP="00190D6B">
            <w:pPr>
              <w:spacing w:line="256" w:lineRule="auto"/>
              <w:rPr>
                <w:kern w:val="2"/>
                <w:szCs w:val="24"/>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A47A46" w14:textId="77777777" w:rsidR="00190D6B" w:rsidRPr="00190D6B" w:rsidRDefault="00190D6B" w:rsidP="00190D6B">
            <w:pPr>
              <w:spacing w:line="256" w:lineRule="auto"/>
              <w:rPr>
                <w:bCs/>
                <w:kern w:val="2"/>
                <w:szCs w:val="24"/>
                <w14:ligatures w14:val="standardContextual"/>
              </w:rPr>
            </w:pPr>
          </w:p>
        </w:tc>
      </w:tr>
      <w:tr w:rsidR="00190D6B" w:rsidRPr="00190D6B" w14:paraId="69B2EEA8" w14:textId="77777777" w:rsidTr="00190D6B">
        <w:trPr>
          <w:trHeight w:val="397"/>
        </w:trPr>
        <w:tc>
          <w:tcPr>
            <w:tcW w:w="3082" w:type="dxa"/>
            <w:tcBorders>
              <w:top w:val="single" w:sz="4" w:space="0" w:color="auto"/>
              <w:left w:val="single" w:sz="4" w:space="0" w:color="000000"/>
              <w:bottom w:val="single" w:sz="4" w:space="0" w:color="auto"/>
              <w:right w:val="single" w:sz="4" w:space="0" w:color="000000"/>
            </w:tcBorders>
            <w:vAlign w:val="center"/>
            <w:hideMark/>
          </w:tcPr>
          <w:p w14:paraId="1EC2A174"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Loans</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2BB8B0AA"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2.427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5E3535"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5.337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42C2F16"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8.815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E1729FF"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15.143</w:t>
            </w:r>
          </w:p>
        </w:tc>
      </w:tr>
      <w:tr w:rsidR="00190D6B" w:rsidRPr="00190D6B" w14:paraId="65C1D32D" w14:textId="77777777" w:rsidTr="00190D6B">
        <w:trPr>
          <w:trHeight w:val="397"/>
        </w:trPr>
        <w:tc>
          <w:tcPr>
            <w:tcW w:w="3082" w:type="dxa"/>
            <w:tcBorders>
              <w:top w:val="single" w:sz="4" w:space="0" w:color="auto"/>
              <w:left w:val="single" w:sz="4" w:space="0" w:color="000000"/>
              <w:bottom w:val="single" w:sz="4" w:space="0" w:color="auto"/>
              <w:right w:val="single" w:sz="4" w:space="0" w:color="000000"/>
            </w:tcBorders>
            <w:vAlign w:val="center"/>
            <w:hideMark/>
          </w:tcPr>
          <w:p w14:paraId="107A86C4"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Grants</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4790B79D"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1.384</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E0D489"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1.493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D463EB8"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6.869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AE10677"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5.966</w:t>
            </w:r>
          </w:p>
        </w:tc>
      </w:tr>
      <w:tr w:rsidR="00190D6B" w:rsidRPr="00190D6B" w14:paraId="5B072A9D" w14:textId="77777777" w:rsidTr="00190D6B">
        <w:trPr>
          <w:trHeight w:val="397"/>
        </w:trPr>
        <w:tc>
          <w:tcPr>
            <w:tcW w:w="3082" w:type="dxa"/>
            <w:tcBorders>
              <w:top w:val="single" w:sz="4" w:space="0" w:color="auto"/>
              <w:left w:val="single" w:sz="4" w:space="0" w:color="000000"/>
              <w:bottom w:val="single" w:sz="4" w:space="0" w:color="auto"/>
              <w:right w:val="single" w:sz="4" w:space="0" w:color="000000"/>
            </w:tcBorders>
            <w:vAlign w:val="center"/>
            <w:hideMark/>
          </w:tcPr>
          <w:p w14:paraId="57CF5E48"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Capital Receipts</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4960D070"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1.080</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2294230"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0.828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3DCFBB0"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1.151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FB05704"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0.780</w:t>
            </w:r>
          </w:p>
        </w:tc>
      </w:tr>
      <w:tr w:rsidR="00190D6B" w:rsidRPr="00190D6B" w14:paraId="6F67C4C0" w14:textId="77777777" w:rsidTr="00190D6B">
        <w:trPr>
          <w:trHeight w:val="397"/>
        </w:trPr>
        <w:tc>
          <w:tcPr>
            <w:tcW w:w="3082" w:type="dxa"/>
            <w:tcBorders>
              <w:top w:val="single" w:sz="4" w:space="0" w:color="auto"/>
              <w:left w:val="single" w:sz="4" w:space="0" w:color="000000"/>
              <w:bottom w:val="single" w:sz="4" w:space="0" w:color="auto"/>
              <w:right w:val="single" w:sz="4" w:space="0" w:color="000000"/>
            </w:tcBorders>
            <w:vAlign w:val="center"/>
            <w:hideMark/>
          </w:tcPr>
          <w:p w14:paraId="3CFAB41C"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Revenue/Reserves</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8DC5F4C"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0.296</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40F19A"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B8178B1"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0FFC651"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w:t>
            </w:r>
          </w:p>
        </w:tc>
      </w:tr>
    </w:tbl>
    <w:p w14:paraId="7AF3E3D9" w14:textId="77777777" w:rsidR="00190D6B" w:rsidRPr="00190D6B" w:rsidRDefault="00190D6B" w:rsidP="00190D6B">
      <w:pPr>
        <w:rPr>
          <w:bCs/>
          <w:szCs w:val="24"/>
        </w:rPr>
      </w:pPr>
    </w:p>
    <w:p w14:paraId="7978E900" w14:textId="77777777" w:rsidR="00190D6B" w:rsidRPr="00190D6B" w:rsidRDefault="00190D6B" w:rsidP="00190D6B">
      <w:pPr>
        <w:rPr>
          <w:bCs/>
          <w:szCs w:val="24"/>
        </w:rPr>
      </w:pPr>
    </w:p>
    <w:p w14:paraId="2E8F97DE" w14:textId="77777777" w:rsidR="00190D6B" w:rsidRPr="00190D6B" w:rsidRDefault="00190D6B" w:rsidP="00190D6B">
      <w:pPr>
        <w:rPr>
          <w:b/>
          <w:bCs/>
          <w:szCs w:val="24"/>
        </w:rPr>
      </w:pPr>
      <w:r w:rsidRPr="00190D6B">
        <w:rPr>
          <w:b/>
          <w:bCs/>
          <w:szCs w:val="24"/>
        </w:rPr>
        <w:t>1.2  Capital – Capital Financing Requirement and External Borrowings</w:t>
      </w:r>
    </w:p>
    <w:p w14:paraId="55C1E4A8" w14:textId="77777777" w:rsidR="00190D6B" w:rsidRPr="00190D6B" w:rsidRDefault="00190D6B" w:rsidP="00190D6B">
      <w:pPr>
        <w:rPr>
          <w:szCs w:val="24"/>
        </w:rPr>
      </w:pPr>
      <w:r w:rsidRPr="00190D6B">
        <w:rPr>
          <w:szCs w:val="24"/>
        </w:rPr>
        <w:t xml:space="preserve">The Council’s cumulative outstanding amount of debt finance was measured by the Capital Financing Requirement (CFR).  This increased with new debt-financed capital expenditure and reduces with MRP (minimum revenue provision).  See section 1.4 for further information on MRP. </w:t>
      </w:r>
    </w:p>
    <w:p w14:paraId="0A6DE60A" w14:textId="77777777" w:rsidR="00190D6B" w:rsidRPr="00190D6B" w:rsidRDefault="00190D6B" w:rsidP="00190D6B">
      <w:pPr>
        <w:rPr>
          <w:szCs w:val="24"/>
        </w:rPr>
      </w:pPr>
    </w:p>
    <w:p w14:paraId="351EBB6A" w14:textId="77777777" w:rsidR="00190D6B" w:rsidRPr="00190D6B" w:rsidRDefault="00190D6B" w:rsidP="00190D6B">
      <w:pPr>
        <w:rPr>
          <w:szCs w:val="24"/>
        </w:rPr>
      </w:pPr>
      <w:r w:rsidRPr="00190D6B">
        <w:rPr>
          <w:szCs w:val="24"/>
        </w:rPr>
        <w:lastRenderedPageBreak/>
        <w:t>Statutory guidance was that debt should remain below the capital financing requirement, except in the short term.  The Council had complied and expected to continue to comply with this requirement in the medium term as shown below.</w:t>
      </w:r>
    </w:p>
    <w:tbl>
      <w:tblPr>
        <w:tblW w:w="89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1"/>
        <w:gridCol w:w="1275"/>
        <w:gridCol w:w="1133"/>
        <w:gridCol w:w="1133"/>
        <w:gridCol w:w="1133"/>
      </w:tblGrid>
      <w:tr w:rsidR="00190D6B" w:rsidRPr="00190D6B" w14:paraId="37E52A63" w14:textId="77777777" w:rsidTr="00190D6B">
        <w:trPr>
          <w:trHeight w:val="340"/>
        </w:trPr>
        <w:tc>
          <w:tcPr>
            <w:tcW w:w="4253" w:type="dxa"/>
            <w:tcBorders>
              <w:top w:val="nil"/>
              <w:left w:val="nil"/>
              <w:bottom w:val="nil"/>
              <w:right w:val="nil"/>
            </w:tcBorders>
            <w:vAlign w:val="center"/>
          </w:tcPr>
          <w:p w14:paraId="7708AAAB" w14:textId="77777777" w:rsidR="00190D6B" w:rsidRPr="00190D6B" w:rsidRDefault="00190D6B" w:rsidP="00190D6B">
            <w:pPr>
              <w:spacing w:line="256" w:lineRule="auto"/>
              <w:rPr>
                <w:kern w:val="2"/>
                <w:szCs w:val="24"/>
                <w14:ligatures w14:val="standardContextual"/>
              </w:rPr>
            </w:pPr>
          </w:p>
        </w:tc>
        <w:tc>
          <w:tcPr>
            <w:tcW w:w="1276" w:type="dxa"/>
            <w:tcBorders>
              <w:top w:val="single" w:sz="4" w:space="0" w:color="auto"/>
              <w:left w:val="single" w:sz="4" w:space="0" w:color="auto"/>
              <w:bottom w:val="single" w:sz="4" w:space="0" w:color="auto"/>
              <w:right w:val="single" w:sz="4" w:space="0" w:color="000000"/>
            </w:tcBorders>
            <w:shd w:val="clear" w:color="auto" w:fill="0070C0"/>
            <w:vAlign w:val="center"/>
            <w:hideMark/>
          </w:tcPr>
          <w:p w14:paraId="2288682C"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Actual</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0070C0"/>
            <w:vAlign w:val="center"/>
            <w:hideMark/>
          </w:tcPr>
          <w:p w14:paraId="661111CF"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Revised Forecast</w:t>
            </w:r>
          </w:p>
        </w:tc>
      </w:tr>
      <w:tr w:rsidR="00190D6B" w:rsidRPr="00190D6B" w14:paraId="20E13DF2" w14:textId="77777777" w:rsidTr="00190D6B">
        <w:trPr>
          <w:trHeight w:val="340"/>
        </w:trPr>
        <w:tc>
          <w:tcPr>
            <w:tcW w:w="4253" w:type="dxa"/>
            <w:tcBorders>
              <w:top w:val="nil"/>
              <w:left w:val="nil"/>
              <w:bottom w:val="nil"/>
              <w:right w:val="single" w:sz="4" w:space="0" w:color="auto"/>
            </w:tcBorders>
            <w:vAlign w:val="center"/>
          </w:tcPr>
          <w:p w14:paraId="6D97D8ED" w14:textId="77777777" w:rsidR="00190D6B" w:rsidRPr="00190D6B" w:rsidRDefault="00190D6B" w:rsidP="00190D6B">
            <w:pPr>
              <w:spacing w:line="256" w:lineRule="auto"/>
              <w:rPr>
                <w:b/>
                <w:kern w:val="2"/>
                <w:szCs w:val="24"/>
                <w14:ligatures w14:val="standardContextual"/>
              </w:rPr>
            </w:pPr>
          </w:p>
        </w:tc>
        <w:tc>
          <w:tcPr>
            <w:tcW w:w="1276"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569E871"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2022/23</w:t>
            </w:r>
          </w:p>
        </w:tc>
        <w:tc>
          <w:tcPr>
            <w:tcW w:w="1134" w:type="dxa"/>
            <w:tcBorders>
              <w:top w:val="single" w:sz="4" w:space="0" w:color="auto"/>
              <w:left w:val="single" w:sz="4" w:space="0" w:color="auto"/>
              <w:bottom w:val="single" w:sz="4" w:space="0" w:color="000000"/>
              <w:right w:val="single" w:sz="4" w:space="0" w:color="000000"/>
            </w:tcBorders>
            <w:shd w:val="clear" w:color="auto" w:fill="0070C0"/>
            <w:vAlign w:val="center"/>
            <w:hideMark/>
          </w:tcPr>
          <w:p w14:paraId="7B072A10"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2023/24</w:t>
            </w:r>
          </w:p>
        </w:tc>
        <w:tc>
          <w:tcPr>
            <w:tcW w:w="113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5CE5A11F"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2024/25</w:t>
            </w:r>
          </w:p>
        </w:tc>
        <w:tc>
          <w:tcPr>
            <w:tcW w:w="113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7062FF18"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2025/26</w:t>
            </w:r>
          </w:p>
        </w:tc>
      </w:tr>
      <w:tr w:rsidR="00190D6B" w:rsidRPr="00190D6B" w14:paraId="26B30CAF" w14:textId="77777777" w:rsidTr="00190D6B">
        <w:trPr>
          <w:trHeight w:val="340"/>
        </w:trPr>
        <w:tc>
          <w:tcPr>
            <w:tcW w:w="4253" w:type="dxa"/>
            <w:tcBorders>
              <w:top w:val="nil"/>
              <w:left w:val="single" w:sz="4" w:space="0" w:color="auto"/>
              <w:bottom w:val="single" w:sz="4" w:space="0" w:color="auto"/>
              <w:right w:val="single" w:sz="4" w:space="0" w:color="auto"/>
            </w:tcBorders>
            <w:shd w:val="clear" w:color="auto" w:fill="0070C0"/>
            <w:vAlign w:val="center"/>
            <w:hideMark/>
          </w:tcPr>
          <w:p w14:paraId="7C123B10"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Table 1.2</w:t>
            </w:r>
          </w:p>
        </w:tc>
        <w:tc>
          <w:tcPr>
            <w:tcW w:w="1276" w:type="dxa"/>
            <w:tcBorders>
              <w:top w:val="single" w:sz="4" w:space="0" w:color="auto"/>
              <w:left w:val="single" w:sz="4" w:space="0" w:color="auto"/>
              <w:bottom w:val="single" w:sz="4" w:space="0" w:color="000000"/>
              <w:right w:val="single" w:sz="4" w:space="0" w:color="auto"/>
            </w:tcBorders>
            <w:shd w:val="clear" w:color="auto" w:fill="0070C0"/>
            <w:vAlign w:val="center"/>
            <w:hideMark/>
          </w:tcPr>
          <w:p w14:paraId="6270BFF5"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£m</w:t>
            </w:r>
          </w:p>
        </w:tc>
        <w:tc>
          <w:tcPr>
            <w:tcW w:w="1134" w:type="dxa"/>
            <w:tcBorders>
              <w:top w:val="single" w:sz="4" w:space="0" w:color="auto"/>
              <w:left w:val="single" w:sz="4" w:space="0" w:color="auto"/>
              <w:bottom w:val="single" w:sz="4" w:space="0" w:color="000000"/>
              <w:right w:val="single" w:sz="4" w:space="0" w:color="000000"/>
            </w:tcBorders>
            <w:shd w:val="clear" w:color="auto" w:fill="0070C0"/>
            <w:vAlign w:val="center"/>
            <w:hideMark/>
          </w:tcPr>
          <w:p w14:paraId="1A81109E"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£m</w:t>
            </w:r>
          </w:p>
        </w:tc>
        <w:tc>
          <w:tcPr>
            <w:tcW w:w="113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6467457A"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£m</w:t>
            </w:r>
          </w:p>
        </w:tc>
        <w:tc>
          <w:tcPr>
            <w:tcW w:w="113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68E14F7B"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£m</w:t>
            </w:r>
          </w:p>
        </w:tc>
      </w:tr>
      <w:tr w:rsidR="00190D6B" w:rsidRPr="00190D6B" w14:paraId="6DD85BC6" w14:textId="77777777" w:rsidTr="00190D6B">
        <w:trPr>
          <w:trHeight w:val="397"/>
        </w:trPr>
        <w:tc>
          <w:tcPr>
            <w:tcW w:w="4253" w:type="dxa"/>
            <w:tcBorders>
              <w:top w:val="single" w:sz="4" w:space="0" w:color="auto"/>
              <w:left w:val="single" w:sz="4" w:space="0" w:color="000000"/>
              <w:bottom w:val="single" w:sz="4" w:space="0" w:color="auto"/>
              <w:right w:val="single" w:sz="4" w:space="0" w:color="000000"/>
            </w:tcBorders>
            <w:vAlign w:val="center"/>
            <w:hideMark/>
          </w:tcPr>
          <w:p w14:paraId="3DFA57BD"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Capital Financing Requirement (CFR)</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804B00C"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76.328</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E293A6"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76.205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D473898"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78.880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05311A2"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87.407</w:t>
            </w:r>
          </w:p>
        </w:tc>
      </w:tr>
      <w:tr w:rsidR="00190D6B" w:rsidRPr="00190D6B" w14:paraId="7E863A4E" w14:textId="77777777" w:rsidTr="00190D6B">
        <w:trPr>
          <w:trHeight w:val="397"/>
        </w:trPr>
        <w:tc>
          <w:tcPr>
            <w:tcW w:w="4253" w:type="dxa"/>
            <w:tcBorders>
              <w:top w:val="single" w:sz="4" w:space="0" w:color="auto"/>
              <w:left w:val="single" w:sz="4" w:space="0" w:color="000000"/>
              <w:bottom w:val="single" w:sz="4" w:space="0" w:color="auto"/>
              <w:right w:val="single" w:sz="4" w:space="0" w:color="000000"/>
            </w:tcBorders>
            <w:vAlign w:val="center"/>
            <w:hideMark/>
          </w:tcPr>
          <w:p w14:paraId="2045B8A9"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External Gross Borrowing</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DC9FD71"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63.725</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0CADEB"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59.651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78F05B"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61.226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8A9A0AF"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71.591</w:t>
            </w:r>
          </w:p>
        </w:tc>
      </w:tr>
      <w:tr w:rsidR="00190D6B" w:rsidRPr="00190D6B" w14:paraId="0AC93AC0" w14:textId="77777777" w:rsidTr="00190D6B">
        <w:trPr>
          <w:trHeight w:val="397"/>
        </w:trPr>
        <w:tc>
          <w:tcPr>
            <w:tcW w:w="4253" w:type="dxa"/>
            <w:tcBorders>
              <w:top w:val="single" w:sz="4" w:space="0" w:color="auto"/>
              <w:left w:val="single" w:sz="4" w:space="0" w:color="000000"/>
              <w:bottom w:val="single" w:sz="4" w:space="0" w:color="auto"/>
              <w:right w:val="single" w:sz="4" w:space="0" w:color="000000"/>
            </w:tcBorders>
            <w:vAlign w:val="center"/>
            <w:hideMark/>
          </w:tcPr>
          <w:p w14:paraId="7E77AF47"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Gross Borrowing within CFR</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08C3B31"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C79F25"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Yes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3107D6"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Yes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3067BD3" w14:textId="77777777" w:rsidR="00190D6B" w:rsidRPr="00190D6B" w:rsidRDefault="00190D6B" w:rsidP="00190D6B">
            <w:pPr>
              <w:spacing w:line="256" w:lineRule="auto"/>
              <w:rPr>
                <w:bCs/>
                <w:kern w:val="2"/>
                <w:szCs w:val="24"/>
                <w14:ligatures w14:val="standardContextual"/>
              </w:rPr>
            </w:pPr>
            <w:r w:rsidRPr="00190D6B">
              <w:rPr>
                <w:kern w:val="2"/>
                <w:szCs w:val="24"/>
                <w14:ligatures w14:val="standardContextual"/>
              </w:rPr>
              <w:t>Yes</w:t>
            </w:r>
          </w:p>
        </w:tc>
      </w:tr>
    </w:tbl>
    <w:p w14:paraId="64DF9D35" w14:textId="77777777" w:rsidR="00190D6B" w:rsidRPr="00190D6B" w:rsidRDefault="00190D6B" w:rsidP="00190D6B">
      <w:pPr>
        <w:rPr>
          <w:szCs w:val="24"/>
        </w:rPr>
      </w:pPr>
    </w:p>
    <w:p w14:paraId="719EE2B4" w14:textId="77777777" w:rsidR="00190D6B" w:rsidRPr="00190D6B" w:rsidRDefault="00190D6B" w:rsidP="00190D6B">
      <w:pPr>
        <w:rPr>
          <w:szCs w:val="24"/>
        </w:rPr>
      </w:pPr>
      <w:r w:rsidRPr="00190D6B">
        <w:rPr>
          <w:bCs/>
          <w:szCs w:val="24"/>
        </w:rPr>
        <w:t>The difference between the CFR and the Gross Borrowing figures represented the Council’s underlying need to borrow (£16.5m 23/24 forecast) and indicated that historic capital expenditure had been temporarily financed from internal revenue resources.  This had been made possible due to an increase in the Council’s cash reserves in the current and previous years.  The position had been similar for several years now with the Council last taking out long-term borrowings in November 2018.</w:t>
      </w:r>
    </w:p>
    <w:p w14:paraId="776BF52B" w14:textId="77777777" w:rsidR="00190D6B" w:rsidRPr="00190D6B" w:rsidRDefault="00190D6B" w:rsidP="00190D6B">
      <w:pPr>
        <w:rPr>
          <w:bCs/>
          <w:szCs w:val="24"/>
        </w:rPr>
      </w:pPr>
    </w:p>
    <w:p w14:paraId="03A9747A" w14:textId="77777777" w:rsidR="00190D6B" w:rsidRPr="00190D6B" w:rsidRDefault="00190D6B" w:rsidP="00190D6B">
      <w:pPr>
        <w:rPr>
          <w:b/>
          <w:bCs/>
          <w:szCs w:val="24"/>
        </w:rPr>
      </w:pPr>
      <w:r w:rsidRPr="00190D6B">
        <w:rPr>
          <w:b/>
          <w:bCs/>
          <w:szCs w:val="24"/>
        </w:rPr>
        <w:t>1.3  Capital - Debt and the Authorised Limit and Operational Boundary</w:t>
      </w:r>
    </w:p>
    <w:p w14:paraId="16E6178F" w14:textId="77777777" w:rsidR="00190D6B" w:rsidRPr="00190D6B" w:rsidRDefault="00190D6B" w:rsidP="00190D6B">
      <w:pPr>
        <w:rPr>
          <w:bCs/>
          <w:szCs w:val="24"/>
        </w:rPr>
      </w:pPr>
      <w:r w:rsidRPr="00190D6B">
        <w:rPr>
          <w:bCs/>
          <w:szCs w:val="24"/>
        </w:rPr>
        <w:t>The Council was legally obliged to set an affordable borrowing limit each year, known as the ‘Authorised Limit’.  In line with statutory guidance, a lower ‘operational boundary’ was also set as a warning level should debt have approached the limit.</w:t>
      </w:r>
    </w:p>
    <w:p w14:paraId="14227503" w14:textId="77777777" w:rsidR="00190D6B" w:rsidRPr="00190D6B" w:rsidRDefault="00190D6B" w:rsidP="00190D6B">
      <w:pPr>
        <w:rPr>
          <w:bCs/>
          <w:szCs w:val="24"/>
        </w:rPr>
      </w:pPr>
    </w:p>
    <w:p w14:paraId="08EFA014" w14:textId="77777777" w:rsidR="00190D6B" w:rsidRPr="00190D6B" w:rsidRDefault="00190D6B" w:rsidP="00190D6B">
      <w:pPr>
        <w:rPr>
          <w:bCs/>
          <w:szCs w:val="24"/>
        </w:rPr>
      </w:pPr>
      <w:r w:rsidRPr="00190D6B">
        <w:rPr>
          <w:bCs/>
          <w:szCs w:val="24"/>
        </w:rPr>
        <w:t>The revised forecast for external gross borrowing at 31/03/24 was £59.6m (table 1.2).  The Council was therefore forecast to remain well within both the Authorised Limit and the Operational Boundary set for the year as follows:</w:t>
      </w:r>
    </w:p>
    <w:p w14:paraId="6BDCC447" w14:textId="77777777" w:rsidR="00190D6B" w:rsidRPr="00190D6B" w:rsidRDefault="00190D6B" w:rsidP="00190D6B">
      <w:pPr>
        <w:rPr>
          <w:bCs/>
          <w:szCs w:val="24"/>
        </w:rPr>
      </w:pPr>
    </w:p>
    <w:tbl>
      <w:tblPr>
        <w:tblStyle w:val="TableGrid1"/>
        <w:tblW w:w="6776" w:type="dxa"/>
        <w:tblInd w:w="0" w:type="dxa"/>
        <w:tblLook w:val="04A0" w:firstRow="1" w:lastRow="0" w:firstColumn="1" w:lastColumn="0" w:noHBand="0" w:noVBand="1"/>
      </w:tblPr>
      <w:tblGrid>
        <w:gridCol w:w="5217"/>
        <w:gridCol w:w="1559"/>
      </w:tblGrid>
      <w:tr w:rsidR="00190D6B" w:rsidRPr="00190D6B" w14:paraId="1436320D" w14:textId="77777777" w:rsidTr="008D45EC">
        <w:trPr>
          <w:trHeight w:val="416"/>
        </w:trPr>
        <w:tc>
          <w:tcPr>
            <w:tcW w:w="5217" w:type="dxa"/>
            <w:tcBorders>
              <w:top w:val="single" w:sz="4" w:space="0" w:color="auto"/>
              <w:left w:val="single" w:sz="4" w:space="0" w:color="auto"/>
              <w:bottom w:val="single" w:sz="4" w:space="0" w:color="auto"/>
              <w:right w:val="single" w:sz="4" w:space="0" w:color="auto"/>
            </w:tcBorders>
            <w:shd w:val="clear" w:color="auto" w:fill="0070C0"/>
            <w:hideMark/>
          </w:tcPr>
          <w:p w14:paraId="0F62CDA9" w14:textId="77777777" w:rsidR="00190D6B" w:rsidRPr="00190D6B" w:rsidRDefault="00190D6B" w:rsidP="008D45EC">
            <w:pPr>
              <w:rPr>
                <w:b/>
                <w:bCs/>
              </w:rPr>
            </w:pPr>
            <w:r w:rsidRPr="00190D6B">
              <w:rPr>
                <w:b/>
                <w:bCs/>
              </w:rPr>
              <w:t>Table 1.3</w:t>
            </w:r>
          </w:p>
        </w:tc>
        <w:tc>
          <w:tcPr>
            <w:tcW w:w="1559" w:type="dxa"/>
            <w:tcBorders>
              <w:top w:val="single" w:sz="4" w:space="0" w:color="auto"/>
              <w:left w:val="single" w:sz="4" w:space="0" w:color="auto"/>
              <w:bottom w:val="single" w:sz="4" w:space="0" w:color="auto"/>
              <w:right w:val="single" w:sz="4" w:space="0" w:color="auto"/>
            </w:tcBorders>
            <w:shd w:val="clear" w:color="auto" w:fill="0070C0"/>
            <w:hideMark/>
          </w:tcPr>
          <w:p w14:paraId="5C78753B" w14:textId="77777777" w:rsidR="00190D6B" w:rsidRPr="00190D6B" w:rsidRDefault="00190D6B" w:rsidP="008D45EC">
            <w:pPr>
              <w:rPr>
                <w:b/>
              </w:rPr>
            </w:pPr>
            <w:r w:rsidRPr="00190D6B">
              <w:rPr>
                <w:b/>
              </w:rPr>
              <w:t xml:space="preserve">2023/24 </w:t>
            </w:r>
          </w:p>
        </w:tc>
      </w:tr>
      <w:tr w:rsidR="00190D6B" w:rsidRPr="00190D6B" w14:paraId="404FF682" w14:textId="77777777" w:rsidTr="008D45EC">
        <w:tc>
          <w:tcPr>
            <w:tcW w:w="5217" w:type="dxa"/>
            <w:tcBorders>
              <w:top w:val="single" w:sz="4" w:space="0" w:color="auto"/>
              <w:left w:val="single" w:sz="4" w:space="0" w:color="auto"/>
              <w:bottom w:val="single" w:sz="4" w:space="0" w:color="auto"/>
              <w:right w:val="single" w:sz="4" w:space="0" w:color="auto"/>
            </w:tcBorders>
            <w:vAlign w:val="center"/>
            <w:hideMark/>
          </w:tcPr>
          <w:p w14:paraId="7E2AD97C" w14:textId="77777777" w:rsidR="00190D6B" w:rsidRPr="00190D6B" w:rsidRDefault="00190D6B" w:rsidP="008D45EC">
            <w:r w:rsidRPr="00190D6B">
              <w:t>Authorised limit – borrowing</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CE6762A" w14:textId="77777777" w:rsidR="00190D6B" w:rsidRPr="00190D6B" w:rsidRDefault="00190D6B" w:rsidP="008D45EC">
            <w:r w:rsidRPr="00190D6B">
              <w:t>£ 86.235m</w:t>
            </w:r>
          </w:p>
        </w:tc>
      </w:tr>
      <w:tr w:rsidR="00190D6B" w:rsidRPr="00190D6B" w14:paraId="29AF3106" w14:textId="77777777" w:rsidTr="008D45EC">
        <w:tc>
          <w:tcPr>
            <w:tcW w:w="5217" w:type="dxa"/>
            <w:tcBorders>
              <w:top w:val="single" w:sz="4" w:space="0" w:color="auto"/>
              <w:left w:val="single" w:sz="4" w:space="0" w:color="auto"/>
              <w:bottom w:val="single" w:sz="4" w:space="0" w:color="auto"/>
              <w:right w:val="single" w:sz="4" w:space="0" w:color="auto"/>
            </w:tcBorders>
            <w:hideMark/>
          </w:tcPr>
          <w:p w14:paraId="56B0BD7B" w14:textId="77777777" w:rsidR="00190D6B" w:rsidRPr="00190D6B" w:rsidRDefault="00190D6B" w:rsidP="008D45EC">
            <w:r w:rsidRPr="00190D6B">
              <w:t>Operational boundary – borrowing</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561F2DF" w14:textId="77777777" w:rsidR="00190D6B" w:rsidRPr="00190D6B" w:rsidRDefault="00190D6B" w:rsidP="008D45EC">
            <w:r w:rsidRPr="00190D6B">
              <w:t>£ 81.235m</w:t>
            </w:r>
          </w:p>
        </w:tc>
      </w:tr>
    </w:tbl>
    <w:p w14:paraId="40F88F1E" w14:textId="77777777" w:rsidR="00190D6B" w:rsidRPr="00190D6B" w:rsidRDefault="00190D6B" w:rsidP="00190D6B">
      <w:pPr>
        <w:rPr>
          <w:bCs/>
          <w:szCs w:val="24"/>
        </w:rPr>
      </w:pPr>
    </w:p>
    <w:p w14:paraId="1A9746DF" w14:textId="77777777" w:rsidR="00190D6B" w:rsidRPr="00190D6B" w:rsidRDefault="00190D6B" w:rsidP="00190D6B">
      <w:pPr>
        <w:rPr>
          <w:bCs/>
          <w:szCs w:val="24"/>
        </w:rPr>
      </w:pPr>
    </w:p>
    <w:p w14:paraId="38868BBD" w14:textId="77777777" w:rsidR="00190D6B" w:rsidRPr="00190D6B" w:rsidRDefault="00190D6B" w:rsidP="00190D6B">
      <w:pPr>
        <w:rPr>
          <w:bCs/>
          <w:szCs w:val="24"/>
        </w:rPr>
      </w:pPr>
    </w:p>
    <w:p w14:paraId="1CABAA61" w14:textId="77777777" w:rsidR="00190D6B" w:rsidRPr="00190D6B" w:rsidRDefault="00190D6B" w:rsidP="00190D6B">
      <w:pPr>
        <w:rPr>
          <w:szCs w:val="24"/>
        </w:rPr>
      </w:pPr>
    </w:p>
    <w:p w14:paraId="00B4011E" w14:textId="77777777" w:rsidR="00190D6B" w:rsidRPr="00190D6B" w:rsidRDefault="00190D6B" w:rsidP="00190D6B">
      <w:pPr>
        <w:rPr>
          <w:b/>
          <w:bCs/>
          <w:szCs w:val="24"/>
        </w:rPr>
      </w:pPr>
    </w:p>
    <w:p w14:paraId="149B8004" w14:textId="77777777" w:rsidR="00190D6B" w:rsidRPr="00190D6B" w:rsidRDefault="00190D6B" w:rsidP="00190D6B">
      <w:pPr>
        <w:rPr>
          <w:b/>
          <w:bCs/>
          <w:szCs w:val="24"/>
        </w:rPr>
      </w:pPr>
    </w:p>
    <w:p w14:paraId="2C8AE210" w14:textId="77777777" w:rsidR="00190D6B" w:rsidRPr="00190D6B" w:rsidRDefault="00190D6B" w:rsidP="00190D6B">
      <w:pPr>
        <w:rPr>
          <w:b/>
          <w:bCs/>
          <w:szCs w:val="24"/>
        </w:rPr>
      </w:pPr>
      <w:r w:rsidRPr="00190D6B">
        <w:rPr>
          <w:b/>
          <w:bCs/>
          <w:szCs w:val="24"/>
        </w:rPr>
        <w:t>1.4  Capital - Revenue Budget Implications</w:t>
      </w:r>
    </w:p>
    <w:p w14:paraId="670F3F2A" w14:textId="77777777" w:rsidR="00190D6B" w:rsidRPr="00190D6B" w:rsidRDefault="00190D6B" w:rsidP="00190D6B">
      <w:pPr>
        <w:rPr>
          <w:szCs w:val="24"/>
        </w:rPr>
      </w:pPr>
      <w:r w:rsidRPr="00190D6B">
        <w:rPr>
          <w:szCs w:val="24"/>
        </w:rPr>
        <w:t>Capital expenditure was not charged directly to the revenue budget. Instead, interest payable on borrowings and MRP (minimum revenue provision), together known as capital financing costs, were charged to revenue. These financing costs were compared to the net revenue stream i.e.. the amount funded from District Rates and general government grants, to show the proportion of the net revenue stream which was made up of capital financing costs.</w:t>
      </w:r>
    </w:p>
    <w:tbl>
      <w:tblPr>
        <w:tblStyle w:val="TableGrid1"/>
        <w:tblW w:w="9214" w:type="dxa"/>
        <w:tblInd w:w="-5" w:type="dxa"/>
        <w:tblLook w:val="04A0" w:firstRow="1" w:lastRow="0" w:firstColumn="1" w:lastColumn="0" w:noHBand="0" w:noVBand="1"/>
      </w:tblPr>
      <w:tblGrid>
        <w:gridCol w:w="4395"/>
        <w:gridCol w:w="1098"/>
        <w:gridCol w:w="1217"/>
        <w:gridCol w:w="1217"/>
        <w:gridCol w:w="1287"/>
      </w:tblGrid>
      <w:tr w:rsidR="00190D6B" w:rsidRPr="00190D6B" w14:paraId="595CF887" w14:textId="77777777" w:rsidTr="00190D6B">
        <w:tc>
          <w:tcPr>
            <w:tcW w:w="439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EF70B0E" w14:textId="77777777" w:rsidR="00190D6B" w:rsidRPr="00190D6B" w:rsidRDefault="00190D6B" w:rsidP="00190D6B">
            <w:pPr>
              <w:rPr>
                <w:b/>
                <w:bCs/>
              </w:rPr>
            </w:pPr>
            <w:r w:rsidRPr="00190D6B">
              <w:rPr>
                <w:b/>
                <w:bCs/>
              </w:rPr>
              <w:t>Table 1.4</w:t>
            </w:r>
          </w:p>
        </w:tc>
        <w:tc>
          <w:tcPr>
            <w:tcW w:w="109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67003AE" w14:textId="77777777" w:rsidR="00190D6B" w:rsidRPr="00190D6B" w:rsidRDefault="00190D6B" w:rsidP="00190D6B">
            <w:pPr>
              <w:rPr>
                <w:b/>
              </w:rPr>
            </w:pPr>
            <w:r w:rsidRPr="00190D6B">
              <w:rPr>
                <w:b/>
                <w:bCs/>
              </w:rPr>
              <w:t xml:space="preserve">2022/23 </w:t>
            </w:r>
            <w:r w:rsidRPr="00190D6B">
              <w:rPr>
                <w:b/>
              </w:rPr>
              <w:t>Actual</w:t>
            </w:r>
          </w:p>
        </w:tc>
        <w:tc>
          <w:tcPr>
            <w:tcW w:w="121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24A241F" w14:textId="77777777" w:rsidR="00190D6B" w:rsidRPr="00190D6B" w:rsidRDefault="00190D6B" w:rsidP="00190D6B">
            <w:pPr>
              <w:rPr>
                <w:b/>
              </w:rPr>
            </w:pPr>
            <w:r w:rsidRPr="00190D6B">
              <w:rPr>
                <w:b/>
                <w:bCs/>
              </w:rPr>
              <w:t>2023/24</w:t>
            </w:r>
            <w:r w:rsidRPr="00190D6B">
              <w:rPr>
                <w:b/>
              </w:rPr>
              <w:t xml:space="preserve"> Forecast</w:t>
            </w:r>
          </w:p>
        </w:tc>
        <w:tc>
          <w:tcPr>
            <w:tcW w:w="121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158811F" w14:textId="77777777" w:rsidR="00190D6B" w:rsidRPr="00190D6B" w:rsidRDefault="00190D6B" w:rsidP="00190D6B">
            <w:pPr>
              <w:rPr>
                <w:b/>
              </w:rPr>
            </w:pPr>
            <w:r w:rsidRPr="00190D6B">
              <w:rPr>
                <w:b/>
                <w:bCs/>
              </w:rPr>
              <w:t>2024/25</w:t>
            </w:r>
            <w:r w:rsidRPr="00190D6B">
              <w:rPr>
                <w:b/>
              </w:rPr>
              <w:t xml:space="preserve"> Forecast</w:t>
            </w:r>
          </w:p>
        </w:tc>
        <w:tc>
          <w:tcPr>
            <w:tcW w:w="128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B5E3D28" w14:textId="77777777" w:rsidR="00190D6B" w:rsidRPr="00190D6B" w:rsidRDefault="00190D6B" w:rsidP="00190D6B">
            <w:pPr>
              <w:rPr>
                <w:b/>
              </w:rPr>
            </w:pPr>
            <w:r w:rsidRPr="00190D6B">
              <w:rPr>
                <w:b/>
                <w:bCs/>
              </w:rPr>
              <w:t>2025/26</w:t>
            </w:r>
            <w:r w:rsidRPr="00190D6B">
              <w:rPr>
                <w:b/>
              </w:rPr>
              <w:t xml:space="preserve"> Forecast</w:t>
            </w:r>
          </w:p>
        </w:tc>
      </w:tr>
      <w:tr w:rsidR="00190D6B" w:rsidRPr="00190D6B" w14:paraId="25CFC84D" w14:textId="77777777" w:rsidTr="00190D6B">
        <w:trPr>
          <w:trHeight w:val="425"/>
        </w:trPr>
        <w:tc>
          <w:tcPr>
            <w:tcW w:w="4395" w:type="dxa"/>
            <w:tcBorders>
              <w:top w:val="single" w:sz="4" w:space="0" w:color="auto"/>
              <w:left w:val="single" w:sz="4" w:space="0" w:color="auto"/>
              <w:bottom w:val="single" w:sz="4" w:space="0" w:color="auto"/>
              <w:right w:val="single" w:sz="4" w:space="0" w:color="auto"/>
            </w:tcBorders>
            <w:vAlign w:val="center"/>
            <w:hideMark/>
          </w:tcPr>
          <w:p w14:paraId="5EB73A71" w14:textId="77777777" w:rsidR="00190D6B" w:rsidRPr="00190D6B" w:rsidRDefault="00190D6B" w:rsidP="00190D6B">
            <w:r w:rsidRPr="00190D6B">
              <w:t>Financing costs (£m)</w:t>
            </w:r>
          </w:p>
        </w:tc>
        <w:tc>
          <w:tcPr>
            <w:tcW w:w="1098" w:type="dxa"/>
            <w:tcBorders>
              <w:top w:val="single" w:sz="4" w:space="0" w:color="auto"/>
              <w:left w:val="single" w:sz="4" w:space="0" w:color="auto"/>
              <w:bottom w:val="single" w:sz="4" w:space="0" w:color="auto"/>
              <w:right w:val="single" w:sz="4" w:space="0" w:color="auto"/>
            </w:tcBorders>
            <w:vAlign w:val="center"/>
            <w:hideMark/>
          </w:tcPr>
          <w:p w14:paraId="3649F45E" w14:textId="77777777" w:rsidR="00190D6B" w:rsidRPr="00190D6B" w:rsidRDefault="00190D6B" w:rsidP="00190D6B">
            <w:r w:rsidRPr="00190D6B">
              <w:t>8.158</w:t>
            </w:r>
          </w:p>
        </w:tc>
        <w:tc>
          <w:tcPr>
            <w:tcW w:w="12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E308287" w14:textId="77777777" w:rsidR="00190D6B" w:rsidRPr="00190D6B" w:rsidRDefault="00190D6B" w:rsidP="00190D6B">
            <w:r w:rsidRPr="00190D6B">
              <w:t>7.868</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60C60B7" w14:textId="77777777" w:rsidR="00190D6B" w:rsidRPr="00190D6B" w:rsidRDefault="00190D6B" w:rsidP="00190D6B">
            <w:r w:rsidRPr="00190D6B">
              <w:t>8.526</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3E726FF" w14:textId="77777777" w:rsidR="00190D6B" w:rsidRPr="00190D6B" w:rsidRDefault="00190D6B" w:rsidP="00190D6B">
            <w:r w:rsidRPr="00190D6B">
              <w:t>9.367</w:t>
            </w:r>
          </w:p>
        </w:tc>
      </w:tr>
      <w:tr w:rsidR="00190D6B" w:rsidRPr="00190D6B" w14:paraId="3F46B497" w14:textId="77777777" w:rsidTr="00190D6B">
        <w:trPr>
          <w:trHeight w:val="425"/>
        </w:trPr>
        <w:tc>
          <w:tcPr>
            <w:tcW w:w="4395" w:type="dxa"/>
            <w:tcBorders>
              <w:top w:val="single" w:sz="4" w:space="0" w:color="auto"/>
              <w:left w:val="single" w:sz="4" w:space="0" w:color="auto"/>
              <w:bottom w:val="single" w:sz="4" w:space="0" w:color="auto"/>
              <w:right w:val="single" w:sz="4" w:space="0" w:color="auto"/>
            </w:tcBorders>
            <w:vAlign w:val="center"/>
            <w:hideMark/>
          </w:tcPr>
          <w:p w14:paraId="2F43E646" w14:textId="77777777" w:rsidR="00190D6B" w:rsidRPr="00190D6B" w:rsidRDefault="00190D6B" w:rsidP="00190D6B">
            <w:r w:rsidRPr="00190D6B">
              <w:t>Proportion of net revenue stream (%)</w:t>
            </w:r>
          </w:p>
        </w:tc>
        <w:tc>
          <w:tcPr>
            <w:tcW w:w="1098" w:type="dxa"/>
            <w:tcBorders>
              <w:top w:val="single" w:sz="4" w:space="0" w:color="auto"/>
              <w:left w:val="single" w:sz="4" w:space="0" w:color="auto"/>
              <w:bottom w:val="single" w:sz="4" w:space="0" w:color="auto"/>
              <w:right w:val="single" w:sz="4" w:space="0" w:color="auto"/>
            </w:tcBorders>
            <w:vAlign w:val="center"/>
            <w:hideMark/>
          </w:tcPr>
          <w:p w14:paraId="5AE5DD06" w14:textId="77777777" w:rsidR="00190D6B" w:rsidRPr="00190D6B" w:rsidRDefault="00190D6B" w:rsidP="00190D6B">
            <w:r w:rsidRPr="00190D6B">
              <w:t>14.0%</w:t>
            </w:r>
          </w:p>
        </w:tc>
        <w:tc>
          <w:tcPr>
            <w:tcW w:w="12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F5D27F7" w14:textId="77777777" w:rsidR="00190D6B" w:rsidRPr="00190D6B" w:rsidRDefault="00190D6B" w:rsidP="00190D6B">
            <w:r w:rsidRPr="00190D6B">
              <w:t>12.6%</w:t>
            </w:r>
          </w:p>
        </w:tc>
        <w:tc>
          <w:tcPr>
            <w:tcW w:w="1217" w:type="dxa"/>
            <w:tcBorders>
              <w:top w:val="single" w:sz="4" w:space="0" w:color="auto"/>
              <w:left w:val="single" w:sz="4" w:space="0" w:color="auto"/>
              <w:bottom w:val="single" w:sz="4" w:space="0" w:color="auto"/>
              <w:right w:val="single" w:sz="4" w:space="0" w:color="auto"/>
            </w:tcBorders>
            <w:vAlign w:val="center"/>
            <w:hideMark/>
          </w:tcPr>
          <w:p w14:paraId="73D30113" w14:textId="77777777" w:rsidR="00190D6B" w:rsidRPr="00190D6B" w:rsidRDefault="00190D6B" w:rsidP="00190D6B">
            <w:r w:rsidRPr="00190D6B">
              <w:t>13.2%</w:t>
            </w:r>
          </w:p>
        </w:tc>
        <w:tc>
          <w:tcPr>
            <w:tcW w:w="1287" w:type="dxa"/>
            <w:tcBorders>
              <w:top w:val="single" w:sz="4" w:space="0" w:color="auto"/>
              <w:left w:val="single" w:sz="4" w:space="0" w:color="auto"/>
              <w:bottom w:val="single" w:sz="4" w:space="0" w:color="auto"/>
              <w:right w:val="single" w:sz="4" w:space="0" w:color="auto"/>
            </w:tcBorders>
            <w:vAlign w:val="center"/>
            <w:hideMark/>
          </w:tcPr>
          <w:p w14:paraId="00DD27A6" w14:textId="77777777" w:rsidR="00190D6B" w:rsidRPr="00190D6B" w:rsidRDefault="00190D6B" w:rsidP="00190D6B">
            <w:r w:rsidRPr="00190D6B">
              <w:t>14.1%</w:t>
            </w:r>
          </w:p>
        </w:tc>
      </w:tr>
    </w:tbl>
    <w:p w14:paraId="168AE1EC" w14:textId="77777777" w:rsidR="00190D6B" w:rsidRPr="00190D6B" w:rsidRDefault="00190D6B" w:rsidP="00190D6B">
      <w:pPr>
        <w:rPr>
          <w:b/>
          <w:bCs/>
          <w:szCs w:val="24"/>
        </w:rPr>
      </w:pPr>
    </w:p>
    <w:p w14:paraId="6909CA3D" w14:textId="77777777" w:rsidR="00190D6B" w:rsidRPr="00190D6B" w:rsidRDefault="00190D6B" w:rsidP="00190D6B">
      <w:pPr>
        <w:rPr>
          <w:szCs w:val="24"/>
        </w:rPr>
      </w:pPr>
      <w:r w:rsidRPr="00190D6B">
        <w:rPr>
          <w:szCs w:val="24"/>
        </w:rPr>
        <w:t>The forecast financing costs for 2023/24 of £7.8m was in line with the budget set for the year.</w:t>
      </w:r>
    </w:p>
    <w:p w14:paraId="37A06625" w14:textId="77777777" w:rsidR="00190D6B" w:rsidRPr="00190D6B" w:rsidRDefault="00190D6B" w:rsidP="00190D6B">
      <w:pPr>
        <w:rPr>
          <w:szCs w:val="24"/>
        </w:rPr>
      </w:pPr>
    </w:p>
    <w:p w14:paraId="1F7B6712" w14:textId="77777777" w:rsidR="00190D6B" w:rsidRPr="00190D6B" w:rsidRDefault="00190D6B" w:rsidP="00190D6B">
      <w:pPr>
        <w:rPr>
          <w:b/>
          <w:bCs/>
          <w:szCs w:val="24"/>
        </w:rPr>
      </w:pPr>
      <w:r w:rsidRPr="00190D6B">
        <w:rPr>
          <w:b/>
          <w:bCs/>
          <w:szCs w:val="24"/>
        </w:rPr>
        <w:t>2.1  Treasury Management – Debt Activity</w:t>
      </w:r>
    </w:p>
    <w:p w14:paraId="5C2DD7E8" w14:textId="77777777" w:rsidR="00190D6B" w:rsidRPr="00190D6B" w:rsidRDefault="00190D6B" w:rsidP="00190D6B">
      <w:pPr>
        <w:rPr>
          <w:b/>
          <w:bCs/>
          <w:szCs w:val="24"/>
        </w:rPr>
      </w:pPr>
    </w:p>
    <w:p w14:paraId="65C0CC3A" w14:textId="77777777" w:rsidR="00190D6B" w:rsidRPr="00190D6B" w:rsidRDefault="00190D6B" w:rsidP="00190D6B">
      <w:pPr>
        <w:rPr>
          <w:szCs w:val="24"/>
        </w:rPr>
      </w:pPr>
      <w:r w:rsidRPr="00190D6B">
        <w:rPr>
          <w:szCs w:val="24"/>
        </w:rPr>
        <w:t>The following table summarised the position on long-term borrowings at 30/09/2023.</w:t>
      </w:r>
    </w:p>
    <w:p w14:paraId="3067AAF5" w14:textId="77777777" w:rsidR="00190D6B" w:rsidRPr="00190D6B" w:rsidRDefault="00190D6B" w:rsidP="00190D6B">
      <w:pPr>
        <w:rPr>
          <w:bCs/>
          <w:szCs w:val="24"/>
        </w:rPr>
      </w:pPr>
    </w:p>
    <w:tbl>
      <w:tblPr>
        <w:tblW w:w="904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7"/>
        <w:gridCol w:w="1701"/>
        <w:gridCol w:w="1417"/>
        <w:gridCol w:w="1701"/>
        <w:gridCol w:w="1559"/>
      </w:tblGrid>
      <w:tr w:rsidR="00190D6B" w:rsidRPr="00190D6B" w14:paraId="77000D35" w14:textId="77777777" w:rsidTr="00190D6B">
        <w:trPr>
          <w:trHeight w:val="340"/>
        </w:trPr>
        <w:tc>
          <w:tcPr>
            <w:tcW w:w="266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4164356"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Table 2.1</w:t>
            </w:r>
          </w:p>
        </w:tc>
        <w:tc>
          <w:tcPr>
            <w:tcW w:w="1701" w:type="dxa"/>
            <w:tcBorders>
              <w:top w:val="nil"/>
              <w:left w:val="single" w:sz="4" w:space="0" w:color="auto"/>
              <w:bottom w:val="single" w:sz="4" w:space="0" w:color="auto"/>
              <w:right w:val="nil"/>
            </w:tcBorders>
            <w:vAlign w:val="center"/>
          </w:tcPr>
          <w:p w14:paraId="3521F4E9" w14:textId="77777777" w:rsidR="00190D6B" w:rsidRPr="00190D6B" w:rsidRDefault="00190D6B" w:rsidP="00190D6B">
            <w:pPr>
              <w:spacing w:line="256" w:lineRule="auto"/>
              <w:rPr>
                <w:b/>
                <w:kern w:val="2"/>
                <w:szCs w:val="24"/>
                <w14:ligatures w14:val="standardContextual"/>
              </w:rPr>
            </w:pPr>
          </w:p>
        </w:tc>
        <w:tc>
          <w:tcPr>
            <w:tcW w:w="1417" w:type="dxa"/>
            <w:tcBorders>
              <w:top w:val="nil"/>
              <w:left w:val="nil"/>
              <w:bottom w:val="single" w:sz="4" w:space="0" w:color="auto"/>
              <w:right w:val="nil"/>
            </w:tcBorders>
            <w:vAlign w:val="center"/>
          </w:tcPr>
          <w:p w14:paraId="72BD7119" w14:textId="77777777" w:rsidR="00190D6B" w:rsidRPr="00190D6B" w:rsidRDefault="00190D6B" w:rsidP="00190D6B">
            <w:pPr>
              <w:spacing w:line="256" w:lineRule="auto"/>
              <w:rPr>
                <w:b/>
                <w:kern w:val="2"/>
                <w:szCs w:val="24"/>
                <w14:ligatures w14:val="standardContextual"/>
              </w:rPr>
            </w:pPr>
          </w:p>
        </w:tc>
        <w:tc>
          <w:tcPr>
            <w:tcW w:w="1701" w:type="dxa"/>
            <w:tcBorders>
              <w:top w:val="nil"/>
              <w:left w:val="nil"/>
              <w:bottom w:val="single" w:sz="4" w:space="0" w:color="auto"/>
              <w:right w:val="nil"/>
            </w:tcBorders>
            <w:vAlign w:val="center"/>
          </w:tcPr>
          <w:p w14:paraId="68A8BFD8" w14:textId="77777777" w:rsidR="00190D6B" w:rsidRPr="00190D6B" w:rsidRDefault="00190D6B" w:rsidP="00190D6B">
            <w:pPr>
              <w:spacing w:line="256" w:lineRule="auto"/>
              <w:rPr>
                <w:b/>
                <w:kern w:val="2"/>
                <w:szCs w:val="24"/>
                <w14:ligatures w14:val="standardContextual"/>
              </w:rPr>
            </w:pPr>
          </w:p>
        </w:tc>
        <w:tc>
          <w:tcPr>
            <w:tcW w:w="1559" w:type="dxa"/>
            <w:tcBorders>
              <w:top w:val="nil"/>
              <w:left w:val="nil"/>
              <w:bottom w:val="single" w:sz="4" w:space="0" w:color="auto"/>
              <w:right w:val="nil"/>
            </w:tcBorders>
            <w:vAlign w:val="center"/>
          </w:tcPr>
          <w:p w14:paraId="2CD4B3BC" w14:textId="77777777" w:rsidR="00190D6B" w:rsidRPr="00190D6B" w:rsidRDefault="00190D6B" w:rsidP="00190D6B">
            <w:pPr>
              <w:spacing w:line="256" w:lineRule="auto"/>
              <w:rPr>
                <w:b/>
                <w:kern w:val="2"/>
                <w:szCs w:val="24"/>
                <w14:ligatures w14:val="standardContextual"/>
              </w:rPr>
            </w:pPr>
          </w:p>
        </w:tc>
      </w:tr>
      <w:tr w:rsidR="00190D6B" w:rsidRPr="00190D6B" w14:paraId="0E655831" w14:textId="77777777" w:rsidTr="00190D6B">
        <w:tc>
          <w:tcPr>
            <w:tcW w:w="2665" w:type="dxa"/>
            <w:tcBorders>
              <w:top w:val="single" w:sz="4" w:space="0" w:color="auto"/>
              <w:left w:val="single" w:sz="4" w:space="0" w:color="000000"/>
              <w:bottom w:val="single" w:sz="4" w:space="0" w:color="000000"/>
              <w:right w:val="single" w:sz="4" w:space="0" w:color="auto"/>
            </w:tcBorders>
            <w:shd w:val="clear" w:color="auto" w:fill="0070C0"/>
            <w:vAlign w:val="center"/>
            <w:hideMark/>
          </w:tcPr>
          <w:p w14:paraId="5807A942"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Lender</w:t>
            </w:r>
          </w:p>
        </w:tc>
        <w:tc>
          <w:tcPr>
            <w:tcW w:w="1701" w:type="dxa"/>
            <w:tcBorders>
              <w:top w:val="single" w:sz="4" w:space="0" w:color="auto"/>
              <w:left w:val="single" w:sz="4" w:space="0" w:color="auto"/>
              <w:bottom w:val="single" w:sz="4" w:space="0" w:color="auto"/>
              <w:right w:val="single" w:sz="4" w:space="0" w:color="000000"/>
            </w:tcBorders>
            <w:shd w:val="clear" w:color="auto" w:fill="0070C0"/>
            <w:vAlign w:val="center"/>
            <w:hideMark/>
          </w:tcPr>
          <w:p w14:paraId="38F51E52"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Balance 01/04/23</w:t>
            </w:r>
          </w:p>
        </w:tc>
        <w:tc>
          <w:tcPr>
            <w:tcW w:w="1417" w:type="dxa"/>
            <w:tcBorders>
              <w:top w:val="single" w:sz="4" w:space="0" w:color="auto"/>
              <w:left w:val="single" w:sz="4" w:space="0" w:color="000000"/>
              <w:bottom w:val="single" w:sz="4" w:space="0" w:color="auto"/>
              <w:right w:val="single" w:sz="4" w:space="0" w:color="000000"/>
            </w:tcBorders>
            <w:shd w:val="clear" w:color="auto" w:fill="0070C0"/>
            <w:vAlign w:val="center"/>
            <w:hideMark/>
          </w:tcPr>
          <w:p w14:paraId="2E99055C"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New Loans</w:t>
            </w:r>
          </w:p>
        </w:tc>
        <w:tc>
          <w:tcPr>
            <w:tcW w:w="1701" w:type="dxa"/>
            <w:tcBorders>
              <w:top w:val="single" w:sz="4" w:space="0" w:color="auto"/>
              <w:left w:val="single" w:sz="4" w:space="0" w:color="000000"/>
              <w:bottom w:val="single" w:sz="4" w:space="0" w:color="auto"/>
              <w:right w:val="single" w:sz="4" w:space="0" w:color="000000"/>
            </w:tcBorders>
            <w:shd w:val="clear" w:color="auto" w:fill="0070C0"/>
            <w:vAlign w:val="center"/>
            <w:hideMark/>
          </w:tcPr>
          <w:p w14:paraId="3F6F5E88"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 xml:space="preserve">Repayments </w:t>
            </w:r>
          </w:p>
        </w:tc>
        <w:tc>
          <w:tcPr>
            <w:tcW w:w="1559" w:type="dxa"/>
            <w:tcBorders>
              <w:top w:val="single" w:sz="4" w:space="0" w:color="auto"/>
              <w:left w:val="single" w:sz="4" w:space="0" w:color="000000"/>
              <w:bottom w:val="single" w:sz="4" w:space="0" w:color="auto"/>
              <w:right w:val="single" w:sz="4" w:space="0" w:color="auto"/>
            </w:tcBorders>
            <w:shd w:val="clear" w:color="auto" w:fill="0070C0"/>
            <w:vAlign w:val="center"/>
            <w:hideMark/>
          </w:tcPr>
          <w:p w14:paraId="2E8A6584"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Balance 30/09/23</w:t>
            </w:r>
          </w:p>
        </w:tc>
      </w:tr>
      <w:tr w:rsidR="00190D6B" w:rsidRPr="00190D6B" w14:paraId="4C4CF910" w14:textId="77777777" w:rsidTr="00190D6B">
        <w:trPr>
          <w:trHeight w:val="510"/>
        </w:trPr>
        <w:tc>
          <w:tcPr>
            <w:tcW w:w="2665" w:type="dxa"/>
            <w:tcBorders>
              <w:top w:val="single" w:sz="4" w:space="0" w:color="000000"/>
              <w:left w:val="single" w:sz="4" w:space="0" w:color="000000"/>
              <w:bottom w:val="single" w:sz="4" w:space="0" w:color="000000"/>
              <w:right w:val="single" w:sz="4" w:space="0" w:color="000000"/>
            </w:tcBorders>
            <w:vAlign w:val="center"/>
            <w:hideMark/>
          </w:tcPr>
          <w:p w14:paraId="60F4FE1B"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Dept of Finance</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31C53564"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£ 56.450m</w:t>
            </w:r>
          </w:p>
        </w:tc>
        <w:tc>
          <w:tcPr>
            <w:tcW w:w="1417" w:type="dxa"/>
            <w:tcBorders>
              <w:top w:val="single" w:sz="4" w:space="0" w:color="auto"/>
              <w:left w:val="single" w:sz="4" w:space="0" w:color="000000"/>
              <w:bottom w:val="single" w:sz="4" w:space="0" w:color="000000"/>
              <w:right w:val="single" w:sz="4" w:space="0" w:color="000000"/>
            </w:tcBorders>
            <w:vAlign w:val="center"/>
            <w:hideMark/>
          </w:tcPr>
          <w:p w14:paraId="759E0029"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       -</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497925FF"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(£ 1.604m)</w:t>
            </w:r>
          </w:p>
        </w:tc>
        <w:tc>
          <w:tcPr>
            <w:tcW w:w="1559" w:type="dxa"/>
            <w:tcBorders>
              <w:top w:val="single" w:sz="4" w:space="0" w:color="auto"/>
              <w:left w:val="single" w:sz="4" w:space="0" w:color="000000"/>
              <w:bottom w:val="single" w:sz="4" w:space="0" w:color="000000"/>
              <w:right w:val="single" w:sz="4" w:space="0" w:color="000000"/>
            </w:tcBorders>
            <w:vAlign w:val="center"/>
            <w:hideMark/>
          </w:tcPr>
          <w:p w14:paraId="47B38047"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£ 54.846m</w:t>
            </w:r>
          </w:p>
        </w:tc>
      </w:tr>
      <w:tr w:rsidR="00190D6B" w:rsidRPr="00190D6B" w14:paraId="36A3A3A5" w14:textId="77777777" w:rsidTr="00190D6B">
        <w:trPr>
          <w:trHeight w:val="510"/>
        </w:trPr>
        <w:tc>
          <w:tcPr>
            <w:tcW w:w="2665" w:type="dxa"/>
            <w:tcBorders>
              <w:top w:val="single" w:sz="4" w:space="0" w:color="000000"/>
              <w:left w:val="single" w:sz="4" w:space="0" w:color="000000"/>
              <w:bottom w:val="single" w:sz="4" w:space="0" w:color="000000"/>
              <w:right w:val="single" w:sz="4" w:space="0" w:color="000000"/>
            </w:tcBorders>
            <w:vAlign w:val="center"/>
            <w:hideMark/>
          </w:tcPr>
          <w:p w14:paraId="3FFBA96A"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Banks (LOBOs)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49F0FBD"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   7.275m</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52BA365"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6283C73"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(£ 1.000m)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0A3CAB0"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   6.275m</w:t>
            </w:r>
          </w:p>
        </w:tc>
      </w:tr>
      <w:tr w:rsidR="00190D6B" w:rsidRPr="00190D6B" w14:paraId="6E44BEE5" w14:textId="77777777" w:rsidTr="00190D6B">
        <w:trPr>
          <w:trHeight w:val="510"/>
        </w:trPr>
        <w:tc>
          <w:tcPr>
            <w:tcW w:w="2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EC9C563"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Totals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DA635A3" w14:textId="77777777" w:rsidR="00190D6B" w:rsidRPr="00190D6B" w:rsidRDefault="00190D6B" w:rsidP="00190D6B">
            <w:pPr>
              <w:spacing w:line="256" w:lineRule="auto"/>
              <w:rPr>
                <w:b/>
                <w:bCs/>
                <w:kern w:val="2"/>
                <w:szCs w:val="24"/>
                <w14:ligatures w14:val="standardContextual"/>
              </w:rPr>
            </w:pPr>
            <w:r w:rsidRPr="00190D6B">
              <w:rPr>
                <w:b/>
                <w:bCs/>
                <w:kern w:val="2"/>
                <w:szCs w:val="24"/>
                <w14:ligatures w14:val="standardContextual"/>
              </w:rPr>
              <w:t>£ 63.725m</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C64A3C7" w14:textId="77777777" w:rsidR="00190D6B" w:rsidRPr="00190D6B" w:rsidRDefault="00190D6B" w:rsidP="00190D6B">
            <w:pPr>
              <w:spacing w:line="256" w:lineRule="auto"/>
              <w:rPr>
                <w:b/>
                <w:bCs/>
                <w:kern w:val="2"/>
                <w:szCs w:val="24"/>
                <w14:ligatures w14:val="standardContextual"/>
              </w:rPr>
            </w:pPr>
            <w:r w:rsidRPr="00190D6B">
              <w:rPr>
                <w:b/>
                <w:bCs/>
                <w:kern w:val="2"/>
                <w:szCs w:val="24"/>
                <w14:ligatures w14:val="standardContextual"/>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BEBE2E8" w14:textId="77777777" w:rsidR="00190D6B" w:rsidRPr="00190D6B" w:rsidRDefault="00190D6B" w:rsidP="00190D6B">
            <w:pPr>
              <w:spacing w:line="256" w:lineRule="auto"/>
              <w:rPr>
                <w:b/>
                <w:bCs/>
                <w:kern w:val="2"/>
                <w:szCs w:val="24"/>
                <w14:ligatures w14:val="standardContextual"/>
              </w:rPr>
            </w:pPr>
            <w:r w:rsidRPr="00190D6B">
              <w:rPr>
                <w:b/>
                <w:bCs/>
                <w:kern w:val="2"/>
                <w:szCs w:val="24"/>
                <w14:ligatures w14:val="standardContextual"/>
              </w:rPr>
              <w:t>(£ 2.604m)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6CC16A" w14:textId="77777777" w:rsidR="00190D6B" w:rsidRPr="00190D6B" w:rsidRDefault="00190D6B" w:rsidP="00190D6B">
            <w:pPr>
              <w:spacing w:line="256" w:lineRule="auto"/>
              <w:rPr>
                <w:b/>
                <w:bCs/>
                <w:kern w:val="2"/>
                <w:szCs w:val="24"/>
                <w14:ligatures w14:val="standardContextual"/>
              </w:rPr>
            </w:pPr>
            <w:r w:rsidRPr="00190D6B">
              <w:rPr>
                <w:b/>
                <w:bCs/>
                <w:kern w:val="2"/>
                <w:szCs w:val="24"/>
                <w14:ligatures w14:val="standardContextual"/>
              </w:rPr>
              <w:t>£ 61.121m</w:t>
            </w:r>
          </w:p>
        </w:tc>
      </w:tr>
    </w:tbl>
    <w:p w14:paraId="5E5C4AA8" w14:textId="77777777" w:rsidR="00190D6B" w:rsidRPr="00190D6B" w:rsidRDefault="00190D6B" w:rsidP="00190D6B">
      <w:pPr>
        <w:rPr>
          <w:bCs/>
          <w:szCs w:val="24"/>
        </w:rPr>
      </w:pPr>
    </w:p>
    <w:p w14:paraId="15A8E56D" w14:textId="77777777" w:rsidR="00190D6B" w:rsidRPr="00190D6B" w:rsidRDefault="00190D6B" w:rsidP="00190D6B">
      <w:pPr>
        <w:rPr>
          <w:bCs/>
          <w:szCs w:val="24"/>
        </w:rPr>
      </w:pPr>
      <w:r w:rsidRPr="00190D6B">
        <w:rPr>
          <w:bCs/>
          <w:szCs w:val="24"/>
        </w:rPr>
        <w:t>The Council did not currently hold any short-term borrowings.</w:t>
      </w:r>
    </w:p>
    <w:p w14:paraId="0B764AA3" w14:textId="77777777" w:rsidR="00190D6B" w:rsidRPr="00190D6B" w:rsidRDefault="00190D6B" w:rsidP="00190D6B">
      <w:pPr>
        <w:rPr>
          <w:bCs/>
          <w:szCs w:val="24"/>
        </w:rPr>
      </w:pPr>
    </w:p>
    <w:p w14:paraId="5419FFFE" w14:textId="77777777" w:rsidR="00190D6B" w:rsidRPr="00190D6B" w:rsidRDefault="00190D6B" w:rsidP="00190D6B">
      <w:pPr>
        <w:rPr>
          <w:bCs/>
          <w:szCs w:val="24"/>
        </w:rPr>
      </w:pPr>
      <w:r w:rsidRPr="00190D6B">
        <w:rPr>
          <w:bCs/>
          <w:szCs w:val="24"/>
        </w:rPr>
        <w:t xml:space="preserve">The revised capital financing requirement (table 1.2) showed that the Council could increase its level of external borrowings to £76.2m by 31 March 2024.  However, an assessment of the Council’s cashflow position forecasted that there would be adequate cash reserves to temporarily finance capital expenditure for the remainder of the current year and therefore no further borrowing was anticipated before 31 March 2024.  </w:t>
      </w:r>
    </w:p>
    <w:p w14:paraId="047E96A2" w14:textId="77777777" w:rsidR="00190D6B" w:rsidRPr="00190D6B" w:rsidRDefault="00190D6B" w:rsidP="00190D6B">
      <w:pPr>
        <w:rPr>
          <w:bCs/>
          <w:szCs w:val="24"/>
        </w:rPr>
      </w:pPr>
    </w:p>
    <w:p w14:paraId="076572C9" w14:textId="77777777" w:rsidR="00190D6B" w:rsidRPr="00190D6B" w:rsidRDefault="00190D6B" w:rsidP="00190D6B">
      <w:pPr>
        <w:rPr>
          <w:bCs/>
          <w:szCs w:val="24"/>
        </w:rPr>
      </w:pPr>
      <w:r w:rsidRPr="00190D6B">
        <w:rPr>
          <w:bCs/>
          <w:szCs w:val="24"/>
        </w:rPr>
        <w:t>Therefore, after further repayments on existing long-term loans were made in February 2024, the level of external borrowings at 31 March 2024 was forecast to be £59.65m.</w:t>
      </w:r>
    </w:p>
    <w:p w14:paraId="18A76EEC" w14:textId="77777777" w:rsidR="00190D6B" w:rsidRPr="00190D6B" w:rsidRDefault="00190D6B" w:rsidP="00190D6B">
      <w:pPr>
        <w:rPr>
          <w:szCs w:val="24"/>
        </w:rPr>
      </w:pPr>
    </w:p>
    <w:p w14:paraId="6A57063C" w14:textId="77777777" w:rsidR="00190D6B" w:rsidRPr="00190D6B" w:rsidRDefault="00190D6B" w:rsidP="00190D6B">
      <w:pPr>
        <w:rPr>
          <w:b/>
          <w:bCs/>
          <w:szCs w:val="24"/>
        </w:rPr>
      </w:pPr>
      <w:r w:rsidRPr="00190D6B">
        <w:rPr>
          <w:b/>
          <w:bCs/>
          <w:szCs w:val="24"/>
        </w:rPr>
        <w:t>2.2 Treasury Management - Debt Related Treasury Activity Limits</w:t>
      </w:r>
    </w:p>
    <w:p w14:paraId="279715F9" w14:textId="77777777" w:rsidR="00190D6B" w:rsidRPr="00190D6B" w:rsidRDefault="00190D6B" w:rsidP="00190D6B">
      <w:pPr>
        <w:rPr>
          <w:bCs/>
          <w:szCs w:val="24"/>
        </w:rPr>
      </w:pPr>
    </w:p>
    <w:p w14:paraId="6A32B3B1" w14:textId="77777777" w:rsidR="00190D6B" w:rsidRPr="00190D6B" w:rsidRDefault="00190D6B" w:rsidP="00190D6B">
      <w:pPr>
        <w:rPr>
          <w:szCs w:val="24"/>
        </w:rPr>
      </w:pPr>
      <w:r w:rsidRPr="00190D6B">
        <w:rPr>
          <w:szCs w:val="24"/>
        </w:rPr>
        <w:t xml:space="preserve">The table below showed the position of all debt related treasury activity limits.  </w:t>
      </w:r>
    </w:p>
    <w:tbl>
      <w:tblPr>
        <w:tblW w:w="8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416"/>
        <w:gridCol w:w="1417"/>
      </w:tblGrid>
      <w:tr w:rsidR="00190D6B" w:rsidRPr="00190D6B" w14:paraId="28BBE437" w14:textId="77777777" w:rsidTr="00190D6B">
        <w:trPr>
          <w:cantSplit/>
          <w:trHeight w:val="340"/>
        </w:trPr>
        <w:tc>
          <w:tcPr>
            <w:tcW w:w="581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6247D05" w14:textId="77777777" w:rsidR="00190D6B" w:rsidRPr="00190D6B" w:rsidRDefault="00190D6B" w:rsidP="00190D6B">
            <w:pPr>
              <w:spacing w:line="256" w:lineRule="auto"/>
              <w:rPr>
                <w:b/>
                <w:bCs/>
                <w:kern w:val="2"/>
                <w:szCs w:val="24"/>
                <w14:ligatures w14:val="standardContextual"/>
              </w:rPr>
            </w:pPr>
            <w:r w:rsidRPr="00190D6B">
              <w:rPr>
                <w:b/>
                <w:bCs/>
                <w:kern w:val="2"/>
                <w:szCs w:val="24"/>
                <w14:ligatures w14:val="standardContextual"/>
              </w:rPr>
              <w:t>Table 2.21</w:t>
            </w:r>
          </w:p>
        </w:tc>
        <w:tc>
          <w:tcPr>
            <w:tcW w:w="2835" w:type="dxa"/>
            <w:gridSpan w:val="2"/>
            <w:tcBorders>
              <w:top w:val="nil"/>
              <w:left w:val="single" w:sz="4" w:space="0" w:color="auto"/>
              <w:bottom w:val="single" w:sz="4" w:space="0" w:color="auto"/>
              <w:right w:val="nil"/>
            </w:tcBorders>
            <w:vAlign w:val="center"/>
          </w:tcPr>
          <w:p w14:paraId="30DCFBFD" w14:textId="77777777" w:rsidR="00190D6B" w:rsidRPr="00190D6B" w:rsidRDefault="00190D6B" w:rsidP="00190D6B">
            <w:pPr>
              <w:spacing w:line="256" w:lineRule="auto"/>
              <w:rPr>
                <w:b/>
                <w:bCs/>
                <w:kern w:val="2"/>
                <w:szCs w:val="24"/>
                <w14:ligatures w14:val="standardContextual"/>
              </w:rPr>
            </w:pPr>
          </w:p>
        </w:tc>
      </w:tr>
      <w:tr w:rsidR="00190D6B" w:rsidRPr="00190D6B" w14:paraId="328D87DD" w14:textId="77777777" w:rsidTr="00190D6B">
        <w:trPr>
          <w:cantSplit/>
          <w:trHeight w:val="20"/>
        </w:trPr>
        <w:tc>
          <w:tcPr>
            <w:tcW w:w="581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B2EDA83" w14:textId="77777777" w:rsidR="00190D6B" w:rsidRPr="00190D6B" w:rsidRDefault="00190D6B" w:rsidP="00190D6B">
            <w:pPr>
              <w:spacing w:line="256" w:lineRule="auto"/>
              <w:rPr>
                <w:b/>
                <w:bCs/>
                <w:kern w:val="2"/>
                <w:szCs w:val="24"/>
                <w14:ligatures w14:val="standardContextual"/>
              </w:rPr>
            </w:pPr>
            <w:r w:rsidRPr="00190D6B">
              <w:rPr>
                <w:b/>
                <w:bCs/>
                <w:kern w:val="2"/>
                <w:szCs w:val="24"/>
                <w14:ligatures w14:val="standardContextual"/>
              </w:rPr>
              <w:t>Interest rate exposures</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F81A6D5" w14:textId="77777777" w:rsidR="00190D6B" w:rsidRPr="00190D6B" w:rsidRDefault="00190D6B" w:rsidP="00190D6B">
            <w:pPr>
              <w:spacing w:line="256" w:lineRule="auto"/>
              <w:rPr>
                <w:b/>
                <w:bCs/>
                <w:kern w:val="2"/>
                <w:szCs w:val="24"/>
                <w14:ligatures w14:val="standardContextual"/>
              </w:rPr>
            </w:pPr>
            <w:r w:rsidRPr="00190D6B">
              <w:rPr>
                <w:b/>
                <w:bCs/>
                <w:kern w:val="2"/>
                <w:szCs w:val="24"/>
                <w14:ligatures w14:val="standardContextual"/>
              </w:rPr>
              <w:t>Limit 2023/24</w:t>
            </w:r>
          </w:p>
        </w:tc>
        <w:tc>
          <w:tcPr>
            <w:tcW w:w="141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BEA3204" w14:textId="77777777" w:rsidR="00190D6B" w:rsidRPr="00190D6B" w:rsidRDefault="00190D6B" w:rsidP="00190D6B">
            <w:pPr>
              <w:spacing w:line="256" w:lineRule="auto"/>
              <w:rPr>
                <w:b/>
                <w:bCs/>
                <w:kern w:val="2"/>
                <w:szCs w:val="24"/>
                <w14:ligatures w14:val="standardContextual"/>
              </w:rPr>
            </w:pPr>
            <w:r w:rsidRPr="00190D6B">
              <w:rPr>
                <w:b/>
                <w:bCs/>
                <w:kern w:val="2"/>
                <w:szCs w:val="24"/>
                <w14:ligatures w14:val="standardContextual"/>
              </w:rPr>
              <w:t>Actual at 30/09/23</w:t>
            </w:r>
          </w:p>
        </w:tc>
      </w:tr>
      <w:tr w:rsidR="00190D6B" w:rsidRPr="00190D6B" w14:paraId="4F6D2A44" w14:textId="77777777" w:rsidTr="00190D6B">
        <w:trPr>
          <w:trHeight w:val="510"/>
        </w:trPr>
        <w:tc>
          <w:tcPr>
            <w:tcW w:w="5812" w:type="dxa"/>
            <w:tcBorders>
              <w:top w:val="single" w:sz="4" w:space="0" w:color="auto"/>
              <w:left w:val="single" w:sz="4" w:space="0" w:color="auto"/>
              <w:bottom w:val="single" w:sz="4" w:space="0" w:color="auto"/>
              <w:right w:val="single" w:sz="4" w:space="0" w:color="auto"/>
            </w:tcBorders>
            <w:vAlign w:val="center"/>
            <w:hideMark/>
          </w:tcPr>
          <w:p w14:paraId="7AA1FCE7" w14:textId="77777777" w:rsidR="00190D6B" w:rsidRPr="00190D6B" w:rsidRDefault="00190D6B" w:rsidP="00190D6B">
            <w:pPr>
              <w:spacing w:line="256" w:lineRule="auto"/>
              <w:rPr>
                <w:b/>
                <w:bCs/>
                <w:kern w:val="2"/>
                <w:szCs w:val="24"/>
                <w14:ligatures w14:val="standardContextual"/>
              </w:rPr>
            </w:pPr>
            <w:r w:rsidRPr="00190D6B">
              <w:rPr>
                <w:bCs/>
                <w:kern w:val="2"/>
                <w:szCs w:val="24"/>
                <w14:ligatures w14:val="standardContextual"/>
              </w:rPr>
              <w:t>Quantity of debt held at variable interest rates - upper limit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701F08"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634C25"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2%</w:t>
            </w:r>
          </w:p>
        </w:tc>
      </w:tr>
      <w:tr w:rsidR="00190D6B" w:rsidRPr="00190D6B" w14:paraId="111B21BA" w14:textId="77777777" w:rsidTr="00190D6B">
        <w:trPr>
          <w:trHeight w:val="510"/>
        </w:trPr>
        <w:tc>
          <w:tcPr>
            <w:tcW w:w="5812" w:type="dxa"/>
            <w:tcBorders>
              <w:top w:val="single" w:sz="4" w:space="0" w:color="auto"/>
              <w:left w:val="single" w:sz="4" w:space="0" w:color="auto"/>
              <w:bottom w:val="single" w:sz="4" w:space="0" w:color="auto"/>
              <w:right w:val="single" w:sz="4" w:space="0" w:color="auto"/>
            </w:tcBorders>
            <w:vAlign w:val="center"/>
            <w:hideMark/>
          </w:tcPr>
          <w:p w14:paraId="29FB523D"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Quantity of debt held at fixed interest rates - upper limit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8EB857"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42B4B3"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98%</w:t>
            </w:r>
          </w:p>
        </w:tc>
      </w:tr>
    </w:tbl>
    <w:p w14:paraId="58E9A939" w14:textId="77777777" w:rsidR="00190D6B" w:rsidRPr="00190D6B" w:rsidRDefault="00190D6B" w:rsidP="00190D6B">
      <w:pPr>
        <w:rPr>
          <w:szCs w:val="24"/>
        </w:rPr>
      </w:pPr>
    </w:p>
    <w:tbl>
      <w:tblPr>
        <w:tblW w:w="8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559"/>
        <w:gridCol w:w="1558"/>
        <w:gridCol w:w="1133"/>
      </w:tblGrid>
      <w:tr w:rsidR="00190D6B" w:rsidRPr="00190D6B" w14:paraId="2953AFF7" w14:textId="77777777" w:rsidTr="00190D6B">
        <w:trPr>
          <w:cantSplit/>
          <w:trHeight w:val="20"/>
        </w:trPr>
        <w:tc>
          <w:tcPr>
            <w:tcW w:w="439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70DC295" w14:textId="77777777" w:rsidR="00190D6B" w:rsidRPr="00190D6B" w:rsidRDefault="00190D6B" w:rsidP="00190D6B">
            <w:pPr>
              <w:spacing w:line="256" w:lineRule="auto"/>
              <w:rPr>
                <w:b/>
                <w:bCs/>
                <w:kern w:val="2"/>
                <w:szCs w:val="24"/>
                <w14:ligatures w14:val="standardContextual"/>
              </w:rPr>
            </w:pPr>
            <w:r w:rsidRPr="00190D6B">
              <w:rPr>
                <w:b/>
                <w:bCs/>
                <w:kern w:val="2"/>
                <w:szCs w:val="24"/>
                <w14:ligatures w14:val="standardContextual"/>
              </w:rPr>
              <w:t>Table 2.22</w:t>
            </w:r>
          </w:p>
        </w:tc>
        <w:tc>
          <w:tcPr>
            <w:tcW w:w="4253" w:type="dxa"/>
            <w:gridSpan w:val="3"/>
            <w:tcBorders>
              <w:top w:val="nil"/>
              <w:left w:val="single" w:sz="4" w:space="0" w:color="auto"/>
              <w:bottom w:val="single" w:sz="4" w:space="0" w:color="auto"/>
              <w:right w:val="nil"/>
            </w:tcBorders>
            <w:vAlign w:val="center"/>
          </w:tcPr>
          <w:p w14:paraId="05EE7D90" w14:textId="77777777" w:rsidR="00190D6B" w:rsidRPr="00190D6B" w:rsidRDefault="00190D6B" w:rsidP="00190D6B">
            <w:pPr>
              <w:spacing w:line="256" w:lineRule="auto"/>
              <w:rPr>
                <w:b/>
                <w:bCs/>
                <w:kern w:val="2"/>
                <w:szCs w:val="24"/>
                <w14:ligatures w14:val="standardContextual"/>
              </w:rPr>
            </w:pPr>
          </w:p>
        </w:tc>
      </w:tr>
      <w:tr w:rsidR="00190D6B" w:rsidRPr="00190D6B" w14:paraId="6C92180A" w14:textId="77777777" w:rsidTr="00190D6B">
        <w:trPr>
          <w:cantSplit/>
          <w:trHeight w:val="20"/>
        </w:trPr>
        <w:tc>
          <w:tcPr>
            <w:tcW w:w="439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A92687B" w14:textId="77777777" w:rsidR="00190D6B" w:rsidRPr="00190D6B" w:rsidRDefault="00190D6B" w:rsidP="00190D6B">
            <w:pPr>
              <w:spacing w:line="256" w:lineRule="auto"/>
              <w:rPr>
                <w:b/>
                <w:bCs/>
                <w:kern w:val="2"/>
                <w:szCs w:val="24"/>
                <w14:ligatures w14:val="standardContextual"/>
              </w:rPr>
            </w:pPr>
            <w:r w:rsidRPr="00190D6B">
              <w:rPr>
                <w:b/>
                <w:bCs/>
                <w:kern w:val="2"/>
                <w:szCs w:val="24"/>
                <w14:ligatures w14:val="standardContextual"/>
              </w:rPr>
              <w:t xml:space="preserve">Maturity structure of fixed interest rate borrowing </w:t>
            </w:r>
          </w:p>
        </w:tc>
        <w:tc>
          <w:tcPr>
            <w:tcW w:w="156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BEF0AE" w14:textId="77777777" w:rsidR="00190D6B" w:rsidRPr="00190D6B" w:rsidRDefault="00190D6B" w:rsidP="00190D6B">
            <w:pPr>
              <w:spacing w:line="256" w:lineRule="auto"/>
              <w:rPr>
                <w:b/>
                <w:bCs/>
                <w:kern w:val="2"/>
                <w:szCs w:val="24"/>
                <w14:ligatures w14:val="standardContextual"/>
              </w:rPr>
            </w:pPr>
            <w:r w:rsidRPr="00190D6B">
              <w:rPr>
                <w:b/>
                <w:bCs/>
                <w:kern w:val="2"/>
                <w:szCs w:val="24"/>
                <w14:ligatures w14:val="standardContextual"/>
              </w:rPr>
              <w:t>Lower Limit 2023/24</w:t>
            </w:r>
          </w:p>
        </w:tc>
        <w:tc>
          <w:tcPr>
            <w:tcW w:w="155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1240D51" w14:textId="77777777" w:rsidR="00190D6B" w:rsidRPr="00190D6B" w:rsidRDefault="00190D6B" w:rsidP="00190D6B">
            <w:pPr>
              <w:spacing w:line="256" w:lineRule="auto"/>
              <w:rPr>
                <w:b/>
                <w:bCs/>
                <w:kern w:val="2"/>
                <w:szCs w:val="24"/>
                <w14:ligatures w14:val="standardContextual"/>
              </w:rPr>
            </w:pPr>
            <w:r w:rsidRPr="00190D6B">
              <w:rPr>
                <w:b/>
                <w:bCs/>
                <w:kern w:val="2"/>
                <w:szCs w:val="24"/>
                <w14:ligatures w14:val="standardContextual"/>
              </w:rPr>
              <w:t>Upper Limit 2023/24</w:t>
            </w:r>
          </w:p>
        </w:tc>
        <w:tc>
          <w:tcPr>
            <w:tcW w:w="1134" w:type="dxa"/>
            <w:tcBorders>
              <w:top w:val="single" w:sz="4" w:space="0" w:color="auto"/>
              <w:left w:val="single" w:sz="4" w:space="0" w:color="auto"/>
              <w:bottom w:val="single" w:sz="4" w:space="0" w:color="auto"/>
              <w:right w:val="single" w:sz="4" w:space="0" w:color="auto"/>
            </w:tcBorders>
            <w:shd w:val="clear" w:color="auto" w:fill="0070C0"/>
            <w:hideMark/>
          </w:tcPr>
          <w:p w14:paraId="2F1FA88E" w14:textId="77777777" w:rsidR="00190D6B" w:rsidRPr="00190D6B" w:rsidRDefault="00190D6B" w:rsidP="00190D6B">
            <w:pPr>
              <w:spacing w:line="256" w:lineRule="auto"/>
              <w:rPr>
                <w:b/>
                <w:bCs/>
                <w:kern w:val="2"/>
                <w:szCs w:val="24"/>
                <w14:ligatures w14:val="standardContextual"/>
              </w:rPr>
            </w:pPr>
            <w:r w:rsidRPr="00190D6B">
              <w:rPr>
                <w:b/>
                <w:bCs/>
                <w:kern w:val="2"/>
                <w:szCs w:val="24"/>
                <w14:ligatures w14:val="standardContextual"/>
              </w:rPr>
              <w:t>Forecast 2023/24</w:t>
            </w:r>
          </w:p>
        </w:tc>
      </w:tr>
      <w:tr w:rsidR="00190D6B" w:rsidRPr="00190D6B" w14:paraId="761A5906" w14:textId="77777777" w:rsidTr="00190D6B">
        <w:trPr>
          <w:cantSplit/>
          <w:trHeight w:val="397"/>
        </w:trPr>
        <w:tc>
          <w:tcPr>
            <w:tcW w:w="4394" w:type="dxa"/>
            <w:tcBorders>
              <w:top w:val="single" w:sz="4" w:space="0" w:color="auto"/>
              <w:left w:val="single" w:sz="4" w:space="0" w:color="auto"/>
              <w:bottom w:val="single" w:sz="4" w:space="0" w:color="auto"/>
              <w:right w:val="single" w:sz="4" w:space="0" w:color="auto"/>
            </w:tcBorders>
            <w:vAlign w:val="center"/>
            <w:hideMark/>
          </w:tcPr>
          <w:p w14:paraId="3BB12A46"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Under 12 months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6AF95FA"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19436D"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3CA1DD"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4.7%</w:t>
            </w:r>
          </w:p>
        </w:tc>
      </w:tr>
      <w:tr w:rsidR="00190D6B" w:rsidRPr="00190D6B" w14:paraId="41649BCF" w14:textId="77777777" w:rsidTr="00190D6B">
        <w:trPr>
          <w:cantSplit/>
          <w:trHeight w:val="397"/>
        </w:trPr>
        <w:tc>
          <w:tcPr>
            <w:tcW w:w="4394" w:type="dxa"/>
            <w:tcBorders>
              <w:top w:val="single" w:sz="4" w:space="0" w:color="auto"/>
              <w:left w:val="single" w:sz="4" w:space="0" w:color="auto"/>
              <w:bottom w:val="single" w:sz="4" w:space="0" w:color="auto"/>
              <w:right w:val="single" w:sz="4" w:space="0" w:color="auto"/>
            </w:tcBorders>
            <w:vAlign w:val="center"/>
            <w:hideMark/>
          </w:tcPr>
          <w:p w14:paraId="6BD62ECB"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12 months to 2 years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CE0614"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CBE923"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BB9C37"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6.0%</w:t>
            </w:r>
          </w:p>
        </w:tc>
      </w:tr>
      <w:tr w:rsidR="00190D6B" w:rsidRPr="00190D6B" w14:paraId="4CDFE661" w14:textId="77777777" w:rsidTr="00190D6B">
        <w:trPr>
          <w:cantSplit/>
          <w:trHeight w:val="397"/>
        </w:trPr>
        <w:tc>
          <w:tcPr>
            <w:tcW w:w="4394" w:type="dxa"/>
            <w:tcBorders>
              <w:top w:val="single" w:sz="4" w:space="0" w:color="auto"/>
              <w:left w:val="single" w:sz="4" w:space="0" w:color="auto"/>
              <w:bottom w:val="single" w:sz="4" w:space="0" w:color="auto"/>
              <w:right w:val="single" w:sz="4" w:space="0" w:color="auto"/>
            </w:tcBorders>
            <w:vAlign w:val="center"/>
            <w:hideMark/>
          </w:tcPr>
          <w:p w14:paraId="4BBA2605"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lastRenderedPageBreak/>
              <w:t>2 years to 5 years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F517525"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07D26D"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206C19"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13.8%</w:t>
            </w:r>
          </w:p>
        </w:tc>
      </w:tr>
      <w:tr w:rsidR="00190D6B" w:rsidRPr="00190D6B" w14:paraId="726C48B0" w14:textId="77777777" w:rsidTr="00190D6B">
        <w:trPr>
          <w:cantSplit/>
          <w:trHeight w:val="397"/>
        </w:trPr>
        <w:tc>
          <w:tcPr>
            <w:tcW w:w="4394" w:type="dxa"/>
            <w:tcBorders>
              <w:top w:val="single" w:sz="4" w:space="0" w:color="auto"/>
              <w:left w:val="single" w:sz="4" w:space="0" w:color="auto"/>
              <w:bottom w:val="single" w:sz="4" w:space="0" w:color="auto"/>
              <w:right w:val="single" w:sz="4" w:space="0" w:color="auto"/>
            </w:tcBorders>
            <w:vAlign w:val="center"/>
            <w:hideMark/>
          </w:tcPr>
          <w:p w14:paraId="4495F546"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5 years to 10 years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7EF56B2"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DDC374"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A01C59"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27.2%</w:t>
            </w:r>
          </w:p>
        </w:tc>
      </w:tr>
      <w:tr w:rsidR="00190D6B" w:rsidRPr="00190D6B" w14:paraId="30024679" w14:textId="77777777" w:rsidTr="00190D6B">
        <w:trPr>
          <w:cantSplit/>
          <w:trHeight w:val="397"/>
        </w:trPr>
        <w:tc>
          <w:tcPr>
            <w:tcW w:w="4394" w:type="dxa"/>
            <w:tcBorders>
              <w:top w:val="single" w:sz="4" w:space="0" w:color="auto"/>
              <w:left w:val="single" w:sz="4" w:space="0" w:color="auto"/>
              <w:bottom w:val="single" w:sz="4" w:space="0" w:color="auto"/>
              <w:right w:val="single" w:sz="4" w:space="0" w:color="auto"/>
            </w:tcBorders>
            <w:vAlign w:val="center"/>
            <w:hideMark/>
          </w:tcPr>
          <w:p w14:paraId="3F2D7748"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10 years and above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45DBFF"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15B37B"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935A77"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48.3%</w:t>
            </w:r>
          </w:p>
        </w:tc>
      </w:tr>
    </w:tbl>
    <w:p w14:paraId="62564F1F" w14:textId="77777777" w:rsidR="00190D6B" w:rsidRPr="00190D6B" w:rsidRDefault="00190D6B" w:rsidP="00190D6B">
      <w:pPr>
        <w:rPr>
          <w:b/>
          <w:szCs w:val="24"/>
        </w:rPr>
      </w:pPr>
    </w:p>
    <w:p w14:paraId="24264253" w14:textId="77777777" w:rsidR="00190D6B" w:rsidRPr="00190D6B" w:rsidRDefault="00190D6B" w:rsidP="00190D6B">
      <w:pPr>
        <w:rPr>
          <w:b/>
          <w:bCs/>
          <w:szCs w:val="24"/>
        </w:rPr>
      </w:pPr>
      <w:r w:rsidRPr="00190D6B">
        <w:rPr>
          <w:b/>
          <w:bCs/>
          <w:szCs w:val="24"/>
        </w:rPr>
        <w:t>2.3 Treasury Management - Investment Activity</w:t>
      </w:r>
    </w:p>
    <w:p w14:paraId="6ACB3514" w14:textId="77777777" w:rsidR="00190D6B" w:rsidRPr="00190D6B" w:rsidRDefault="00190D6B" w:rsidP="00190D6B">
      <w:pPr>
        <w:rPr>
          <w:bCs/>
          <w:szCs w:val="24"/>
        </w:rPr>
      </w:pPr>
      <w:r w:rsidRPr="00190D6B">
        <w:rPr>
          <w:bCs/>
          <w:szCs w:val="24"/>
        </w:rPr>
        <w:t xml:space="preserve">The objectives of the Council’s investment strategy were safeguarding the repayment of the principal and interest on its investments on time, with the investment return being a secondary objective. The current investment climate continued to be one of overriding risk consideration, particularly that of counterparty risk.  In line with advice provided by treasury management consultants, officers continue to implement an operational investment strategy of placing short-term investments with approved high-quality counterparties.  </w:t>
      </w:r>
    </w:p>
    <w:p w14:paraId="10C032AF" w14:textId="77777777" w:rsidR="00190D6B" w:rsidRPr="00190D6B" w:rsidRDefault="00190D6B" w:rsidP="00190D6B">
      <w:pPr>
        <w:rPr>
          <w:bCs/>
          <w:szCs w:val="24"/>
        </w:rPr>
      </w:pPr>
    </w:p>
    <w:p w14:paraId="38652523" w14:textId="77777777" w:rsidR="00190D6B" w:rsidRPr="00190D6B" w:rsidRDefault="00190D6B" w:rsidP="00190D6B">
      <w:pPr>
        <w:rPr>
          <w:bCs/>
          <w:szCs w:val="24"/>
        </w:rPr>
      </w:pPr>
      <w:r w:rsidRPr="00190D6B">
        <w:rPr>
          <w:szCs w:val="24"/>
        </w:rPr>
        <w:t>F</w:t>
      </w:r>
      <w:r w:rsidRPr="00190D6B">
        <w:rPr>
          <w:bCs/>
          <w:szCs w:val="24"/>
        </w:rPr>
        <w:t xml:space="preserve">or the period from 1 April to 30 September 2023, Council had earned interest of £274k on investment deals with approved financial institutions as summarised below:  </w:t>
      </w:r>
    </w:p>
    <w:p w14:paraId="1B4E8715" w14:textId="77777777" w:rsidR="00190D6B" w:rsidRPr="00190D6B" w:rsidRDefault="00190D6B" w:rsidP="00190D6B">
      <w:pPr>
        <w:rPr>
          <w:bCs/>
          <w:szCs w:val="24"/>
        </w:rPr>
      </w:pPr>
    </w:p>
    <w:tbl>
      <w:tblPr>
        <w:tblW w:w="9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1"/>
        <w:gridCol w:w="1277"/>
        <w:gridCol w:w="1276"/>
        <w:gridCol w:w="1277"/>
        <w:gridCol w:w="1274"/>
      </w:tblGrid>
      <w:tr w:rsidR="00190D6B" w:rsidRPr="00190D6B" w14:paraId="55A17C0E" w14:textId="77777777" w:rsidTr="00190D6B">
        <w:tc>
          <w:tcPr>
            <w:tcW w:w="3969" w:type="dxa"/>
            <w:tcBorders>
              <w:top w:val="single" w:sz="4" w:space="0" w:color="000000"/>
              <w:left w:val="single" w:sz="4" w:space="0" w:color="000000"/>
              <w:bottom w:val="single" w:sz="4" w:space="0" w:color="000000"/>
              <w:right w:val="single" w:sz="4" w:space="0" w:color="000000"/>
            </w:tcBorders>
            <w:shd w:val="clear" w:color="auto" w:fill="0070C0"/>
            <w:hideMark/>
          </w:tcPr>
          <w:p w14:paraId="2EA10287"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Table 2.31</w:t>
            </w:r>
          </w:p>
        </w:tc>
        <w:tc>
          <w:tcPr>
            <w:tcW w:w="127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71EABCF9"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Average Deposit Size</w:t>
            </w:r>
          </w:p>
        </w:tc>
        <w:tc>
          <w:tcPr>
            <w:tcW w:w="127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556084AE"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Average Term</w:t>
            </w:r>
          </w:p>
        </w:tc>
        <w:tc>
          <w:tcPr>
            <w:tcW w:w="1277"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72CEFA86"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Average Interest Rate</w:t>
            </w:r>
          </w:p>
        </w:tc>
        <w:tc>
          <w:tcPr>
            <w:tcW w:w="127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096DD56D"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Interest Earned</w:t>
            </w:r>
          </w:p>
        </w:tc>
      </w:tr>
      <w:tr w:rsidR="00190D6B" w:rsidRPr="00190D6B" w14:paraId="5218F92C" w14:textId="77777777" w:rsidTr="00190D6B">
        <w:trPr>
          <w:trHeight w:val="397"/>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2F210D8A"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CCLA Public Sector Deposit Fund</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211228E"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£2.5m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66756A4"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Call A/c</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57375C5"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4.71%</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7979D623"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£59,090</w:t>
            </w:r>
          </w:p>
        </w:tc>
      </w:tr>
      <w:tr w:rsidR="00190D6B" w:rsidRPr="00190D6B" w14:paraId="5478D045" w14:textId="77777777" w:rsidTr="00190D6B">
        <w:trPr>
          <w:trHeight w:val="397"/>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231BDB96"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Invesco Investment Mgt Ltd</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EC3D1B8"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£1.8m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95183F1"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Call A/c</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73F9763"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4.40%</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2D9F547B"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£46,120</w:t>
            </w:r>
          </w:p>
        </w:tc>
      </w:tr>
      <w:tr w:rsidR="00190D6B" w:rsidRPr="00190D6B" w14:paraId="2577690E" w14:textId="77777777" w:rsidTr="00190D6B">
        <w:trPr>
          <w:trHeight w:val="397"/>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39DABBE3"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State Street Global Advisors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766BE9F"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£2.5m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BAB945B"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Call A/c</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067428B"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4.65%</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7470C661"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£58,203</w:t>
            </w:r>
          </w:p>
        </w:tc>
      </w:tr>
      <w:tr w:rsidR="00190D6B" w:rsidRPr="00190D6B" w14:paraId="7EAD47EF" w14:textId="77777777" w:rsidTr="00190D6B">
        <w:trPr>
          <w:trHeight w:val="397"/>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710614A0"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Barclays Bank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1523677"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£1.5m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A001BEB"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Call A/c</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13BD20D"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4.67%</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3EF601BB"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£26,664</w:t>
            </w:r>
          </w:p>
        </w:tc>
      </w:tr>
      <w:tr w:rsidR="00190D6B" w:rsidRPr="00190D6B" w14:paraId="50B465D6" w14:textId="77777777" w:rsidTr="00190D6B">
        <w:trPr>
          <w:trHeight w:val="397"/>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58AD9655"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Bank of Scotland</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66D141F"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£1.8m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1A9A98C"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Call A/c</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4DA5A38"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4.70%</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17C3E1A6"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£43,626</w:t>
            </w:r>
          </w:p>
        </w:tc>
      </w:tr>
      <w:tr w:rsidR="00190D6B" w:rsidRPr="00190D6B" w14:paraId="00C0572F" w14:textId="77777777" w:rsidTr="00190D6B">
        <w:trPr>
          <w:trHeight w:val="397"/>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33B395FD"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Santander</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B8DDD2F"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£1.0m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C6B187B"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Call A/c</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39720AB"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2.87%</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27CD0EDF"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£8,805</w:t>
            </w:r>
          </w:p>
        </w:tc>
      </w:tr>
      <w:tr w:rsidR="00190D6B" w:rsidRPr="00190D6B" w14:paraId="609E7F31" w14:textId="77777777" w:rsidTr="00190D6B">
        <w:trPr>
          <w:trHeight w:val="397"/>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6DDD5534"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Other Local Authorities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F1A8F65"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£3.0m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8FC0377"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3 mths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71DA3AE"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4.20%</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671D0D92"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£31,414</w:t>
            </w:r>
          </w:p>
        </w:tc>
      </w:tr>
      <w:tr w:rsidR="00190D6B" w:rsidRPr="00190D6B" w14:paraId="0443959E" w14:textId="77777777" w:rsidTr="00190D6B">
        <w:trPr>
          <w:trHeight w:val="397"/>
        </w:trPr>
        <w:tc>
          <w:tcPr>
            <w:tcW w:w="779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825CE2"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Totals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321B07"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£273,922</w:t>
            </w:r>
          </w:p>
        </w:tc>
      </w:tr>
    </w:tbl>
    <w:p w14:paraId="2FCF791C" w14:textId="77777777" w:rsidR="00190D6B" w:rsidRPr="00190D6B" w:rsidRDefault="00190D6B" w:rsidP="00190D6B">
      <w:pPr>
        <w:rPr>
          <w:szCs w:val="24"/>
        </w:rPr>
      </w:pPr>
    </w:p>
    <w:p w14:paraId="4565EF2E" w14:textId="77777777" w:rsidR="00190D6B" w:rsidRPr="00190D6B" w:rsidRDefault="00190D6B" w:rsidP="00190D6B">
      <w:pPr>
        <w:rPr>
          <w:szCs w:val="24"/>
        </w:rPr>
      </w:pPr>
      <w:r w:rsidRPr="00190D6B">
        <w:rPr>
          <w:szCs w:val="24"/>
        </w:rPr>
        <w:t xml:space="preserve">This compared favourably to the budget set for the year of £220k.  The forecast investment interest income for the financial year was expected to be a minimum of £400k, which would result in a favourable variance of £180k.  </w:t>
      </w:r>
    </w:p>
    <w:p w14:paraId="7295808A" w14:textId="77777777" w:rsidR="00190D6B" w:rsidRPr="00190D6B" w:rsidRDefault="00190D6B" w:rsidP="00190D6B">
      <w:pPr>
        <w:rPr>
          <w:szCs w:val="24"/>
        </w:rPr>
      </w:pPr>
    </w:p>
    <w:p w14:paraId="6C711D40" w14:textId="77777777" w:rsidR="00190D6B" w:rsidRPr="00190D6B" w:rsidRDefault="00190D6B" w:rsidP="00190D6B">
      <w:pPr>
        <w:rPr>
          <w:szCs w:val="24"/>
        </w:rPr>
      </w:pPr>
      <w:r w:rsidRPr="00190D6B">
        <w:rPr>
          <w:szCs w:val="24"/>
        </w:rPr>
        <w:t>The total balance of funds held in investment accounted at 30 September 2023 was £11.4m.  The table below showed the risk and return metrics on these investments against other NI Councils.</w:t>
      </w:r>
    </w:p>
    <w:p w14:paraId="4A7C087A" w14:textId="77777777" w:rsidR="00190D6B" w:rsidRPr="00190D6B" w:rsidRDefault="00190D6B" w:rsidP="00190D6B">
      <w:pPr>
        <w:rPr>
          <w:szCs w:val="24"/>
        </w:rPr>
      </w:pP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1560"/>
        <w:gridCol w:w="1702"/>
        <w:gridCol w:w="1418"/>
        <w:gridCol w:w="1730"/>
      </w:tblGrid>
      <w:tr w:rsidR="00190D6B" w:rsidRPr="00190D6B" w14:paraId="43789386" w14:textId="77777777" w:rsidTr="00190D6B">
        <w:tc>
          <w:tcPr>
            <w:tcW w:w="2665" w:type="dxa"/>
            <w:tcBorders>
              <w:top w:val="nil"/>
              <w:left w:val="nil"/>
              <w:bottom w:val="single" w:sz="4" w:space="0" w:color="auto"/>
              <w:right w:val="single" w:sz="4" w:space="0" w:color="auto"/>
            </w:tcBorders>
            <w:hideMark/>
          </w:tcPr>
          <w:p w14:paraId="135DFD46"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Table 2.3</w:t>
            </w:r>
          </w:p>
        </w:tc>
        <w:tc>
          <w:tcPr>
            <w:tcW w:w="3260"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17CA2ED0"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Counterparties</w:t>
            </w:r>
          </w:p>
        </w:tc>
        <w:tc>
          <w:tcPr>
            <w:tcW w:w="3147" w:type="dxa"/>
            <w:gridSpan w:val="2"/>
            <w:tcBorders>
              <w:top w:val="single" w:sz="4" w:space="0" w:color="000000"/>
              <w:left w:val="single" w:sz="4" w:space="0" w:color="auto"/>
              <w:bottom w:val="single" w:sz="4" w:space="0" w:color="000000"/>
              <w:right w:val="single" w:sz="4" w:space="0" w:color="000000"/>
            </w:tcBorders>
            <w:shd w:val="clear" w:color="auto" w:fill="0070C0"/>
            <w:vAlign w:val="center"/>
            <w:hideMark/>
          </w:tcPr>
          <w:p w14:paraId="4272A6DF"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Investments</w:t>
            </w:r>
          </w:p>
        </w:tc>
      </w:tr>
      <w:tr w:rsidR="00190D6B" w:rsidRPr="00190D6B" w14:paraId="10E740EE" w14:textId="77777777" w:rsidTr="00190D6B">
        <w:trPr>
          <w:trHeight w:val="454"/>
        </w:trPr>
        <w:tc>
          <w:tcPr>
            <w:tcW w:w="2665" w:type="dxa"/>
            <w:tcBorders>
              <w:top w:val="single" w:sz="4" w:space="0" w:color="auto"/>
              <w:left w:val="single" w:sz="4" w:space="0" w:color="auto"/>
              <w:bottom w:val="single" w:sz="4" w:space="0" w:color="auto"/>
              <w:right w:val="single" w:sz="4" w:space="0" w:color="auto"/>
            </w:tcBorders>
            <w:shd w:val="clear" w:color="auto" w:fill="0070C0"/>
            <w:hideMark/>
          </w:tcPr>
          <w:p w14:paraId="03C065B5"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Table 2.32</w:t>
            </w:r>
          </w:p>
        </w:tc>
        <w:tc>
          <w:tcPr>
            <w:tcW w:w="1559" w:type="dxa"/>
            <w:tcBorders>
              <w:top w:val="single" w:sz="4" w:space="0" w:color="auto"/>
              <w:left w:val="single" w:sz="4" w:space="0" w:color="auto"/>
              <w:bottom w:val="single" w:sz="4" w:space="0" w:color="000000"/>
              <w:right w:val="single" w:sz="4" w:space="0" w:color="000000"/>
            </w:tcBorders>
            <w:shd w:val="clear" w:color="auto" w:fill="0070C0"/>
            <w:vAlign w:val="center"/>
            <w:hideMark/>
          </w:tcPr>
          <w:p w14:paraId="070A850F"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Credit Score</w:t>
            </w:r>
          </w:p>
        </w:tc>
        <w:tc>
          <w:tcPr>
            <w:tcW w:w="1701" w:type="dxa"/>
            <w:tcBorders>
              <w:top w:val="single" w:sz="4" w:space="0" w:color="auto"/>
              <w:left w:val="single" w:sz="4" w:space="0" w:color="000000"/>
              <w:bottom w:val="single" w:sz="4" w:space="0" w:color="000000"/>
              <w:right w:val="single" w:sz="4" w:space="0" w:color="000000"/>
            </w:tcBorders>
            <w:shd w:val="clear" w:color="auto" w:fill="0070C0"/>
            <w:vAlign w:val="center"/>
            <w:hideMark/>
          </w:tcPr>
          <w:p w14:paraId="399F3BAF"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 xml:space="preserve">Credit Rating </w:t>
            </w:r>
          </w:p>
        </w:tc>
        <w:tc>
          <w:tcPr>
            <w:tcW w:w="1418"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2CC17AFF"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Liquidity</w:t>
            </w:r>
          </w:p>
        </w:tc>
        <w:tc>
          <w:tcPr>
            <w:tcW w:w="1729"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15985AFC" w14:textId="77777777" w:rsidR="00190D6B" w:rsidRPr="00190D6B" w:rsidRDefault="00190D6B" w:rsidP="00190D6B">
            <w:pPr>
              <w:spacing w:line="256" w:lineRule="auto"/>
              <w:rPr>
                <w:b/>
                <w:kern w:val="2"/>
                <w:szCs w:val="24"/>
                <w14:ligatures w14:val="standardContextual"/>
              </w:rPr>
            </w:pPr>
            <w:r w:rsidRPr="00190D6B">
              <w:rPr>
                <w:b/>
                <w:kern w:val="2"/>
                <w:szCs w:val="24"/>
                <w14:ligatures w14:val="standardContextual"/>
              </w:rPr>
              <w:t>Rate of Return (%)</w:t>
            </w:r>
          </w:p>
        </w:tc>
      </w:tr>
      <w:tr w:rsidR="00190D6B" w:rsidRPr="00190D6B" w14:paraId="1ABA1AD9" w14:textId="77777777" w:rsidTr="00190D6B">
        <w:trPr>
          <w:trHeight w:val="340"/>
        </w:trPr>
        <w:tc>
          <w:tcPr>
            <w:tcW w:w="2665" w:type="dxa"/>
            <w:tcBorders>
              <w:top w:val="single" w:sz="4" w:space="0" w:color="auto"/>
              <w:left w:val="single" w:sz="4" w:space="0" w:color="000000"/>
              <w:bottom w:val="single" w:sz="4" w:space="0" w:color="000000"/>
              <w:right w:val="single" w:sz="4" w:space="0" w:color="000000"/>
            </w:tcBorders>
            <w:vAlign w:val="center"/>
            <w:hideMark/>
          </w:tcPr>
          <w:p w14:paraId="12B2939A"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ANDBC</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7D523B4"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5.07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6C7A966"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4BA954E"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100%</w:t>
            </w:r>
          </w:p>
        </w:tc>
        <w:tc>
          <w:tcPr>
            <w:tcW w:w="1729" w:type="dxa"/>
            <w:tcBorders>
              <w:top w:val="single" w:sz="4" w:space="0" w:color="000000"/>
              <w:left w:val="single" w:sz="4" w:space="0" w:color="000000"/>
              <w:bottom w:val="single" w:sz="4" w:space="0" w:color="000000"/>
              <w:right w:val="single" w:sz="4" w:space="0" w:color="000000"/>
            </w:tcBorders>
            <w:vAlign w:val="center"/>
            <w:hideMark/>
          </w:tcPr>
          <w:p w14:paraId="64FEB6DD"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5.20%</w:t>
            </w:r>
          </w:p>
        </w:tc>
      </w:tr>
      <w:tr w:rsidR="00190D6B" w:rsidRPr="00190D6B" w14:paraId="30FAE4FE" w14:textId="77777777" w:rsidTr="00190D6B">
        <w:trPr>
          <w:trHeight w:val="340"/>
        </w:trPr>
        <w:tc>
          <w:tcPr>
            <w:tcW w:w="2665" w:type="dxa"/>
            <w:tcBorders>
              <w:top w:val="single" w:sz="4" w:space="0" w:color="000000"/>
              <w:left w:val="single" w:sz="4" w:space="0" w:color="000000"/>
              <w:bottom w:val="single" w:sz="4" w:space="0" w:color="000000"/>
              <w:right w:val="single" w:sz="4" w:space="0" w:color="000000"/>
            </w:tcBorders>
            <w:vAlign w:val="center"/>
            <w:hideMark/>
          </w:tcPr>
          <w:p w14:paraId="70A4B326" w14:textId="77777777" w:rsidR="00190D6B" w:rsidRPr="00190D6B" w:rsidRDefault="00190D6B" w:rsidP="00190D6B">
            <w:pPr>
              <w:spacing w:line="256" w:lineRule="auto"/>
              <w:rPr>
                <w:bCs/>
                <w:kern w:val="2"/>
                <w:szCs w:val="24"/>
                <w14:ligatures w14:val="standardContextual"/>
              </w:rPr>
            </w:pPr>
            <w:r w:rsidRPr="00190D6B">
              <w:rPr>
                <w:bCs/>
                <w:kern w:val="2"/>
                <w:szCs w:val="24"/>
                <w14:ligatures w14:val="standardContextual"/>
              </w:rPr>
              <w:t>NI Council Average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9799B1C"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4.92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406700"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6BC3F25"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76%</w:t>
            </w:r>
          </w:p>
        </w:tc>
        <w:tc>
          <w:tcPr>
            <w:tcW w:w="1729" w:type="dxa"/>
            <w:tcBorders>
              <w:top w:val="single" w:sz="4" w:space="0" w:color="000000"/>
              <w:left w:val="single" w:sz="4" w:space="0" w:color="000000"/>
              <w:bottom w:val="single" w:sz="4" w:space="0" w:color="000000"/>
              <w:right w:val="single" w:sz="4" w:space="0" w:color="000000"/>
            </w:tcBorders>
            <w:vAlign w:val="center"/>
            <w:hideMark/>
          </w:tcPr>
          <w:p w14:paraId="3ECF479B" w14:textId="77777777" w:rsidR="00190D6B" w:rsidRPr="00190D6B" w:rsidRDefault="00190D6B" w:rsidP="00190D6B">
            <w:pPr>
              <w:spacing w:line="256" w:lineRule="auto"/>
              <w:rPr>
                <w:kern w:val="2"/>
                <w:szCs w:val="24"/>
                <w14:ligatures w14:val="standardContextual"/>
              </w:rPr>
            </w:pPr>
            <w:r w:rsidRPr="00190D6B">
              <w:rPr>
                <w:kern w:val="2"/>
                <w:szCs w:val="24"/>
                <w14:ligatures w14:val="standardContextual"/>
              </w:rPr>
              <w:t>4.84%</w:t>
            </w:r>
          </w:p>
        </w:tc>
      </w:tr>
    </w:tbl>
    <w:p w14:paraId="242FBC64" w14:textId="77777777" w:rsidR="00190D6B" w:rsidRPr="00190D6B" w:rsidRDefault="00190D6B" w:rsidP="00190D6B">
      <w:pPr>
        <w:rPr>
          <w:szCs w:val="24"/>
        </w:rPr>
      </w:pPr>
      <w:r w:rsidRPr="00190D6B">
        <w:rPr>
          <w:szCs w:val="24"/>
        </w:rPr>
        <w:t>Source: Arlingclose Ltd Local Authority Quarterly Investment Benchmarking report Sept-23</w:t>
      </w:r>
    </w:p>
    <w:p w14:paraId="565B132E" w14:textId="77777777" w:rsidR="00190D6B" w:rsidRPr="00190D6B" w:rsidRDefault="00190D6B" w:rsidP="00190D6B">
      <w:pPr>
        <w:rPr>
          <w:szCs w:val="24"/>
        </w:rPr>
      </w:pPr>
    </w:p>
    <w:p w14:paraId="7EFBB728" w14:textId="77777777" w:rsidR="00190D6B" w:rsidRPr="00190D6B" w:rsidRDefault="00190D6B" w:rsidP="00190D6B">
      <w:pPr>
        <w:rPr>
          <w:szCs w:val="24"/>
        </w:rPr>
      </w:pPr>
      <w:r w:rsidRPr="00190D6B">
        <w:rPr>
          <w:szCs w:val="24"/>
        </w:rPr>
        <w:lastRenderedPageBreak/>
        <w:t xml:space="preserve">The Council’s limit for total principal sums invested for periods longer than 364 days was £500k.  The Council had not entered into any such investments. </w:t>
      </w:r>
    </w:p>
    <w:p w14:paraId="19AE6581" w14:textId="77777777" w:rsidR="00190D6B" w:rsidRPr="00190D6B" w:rsidRDefault="00190D6B" w:rsidP="00190D6B">
      <w:pPr>
        <w:rPr>
          <w:szCs w:val="24"/>
        </w:rPr>
      </w:pPr>
    </w:p>
    <w:p w14:paraId="5278D5F6" w14:textId="77777777" w:rsidR="00190D6B" w:rsidRPr="00190D6B" w:rsidRDefault="00190D6B" w:rsidP="00190D6B">
      <w:r w:rsidRPr="00190D6B">
        <w:rPr>
          <w:szCs w:val="24"/>
        </w:rPr>
        <w:t>RECOMMENDED that Council notes this report.</w:t>
      </w:r>
    </w:p>
    <w:p w14:paraId="00B51EE1" w14:textId="77777777" w:rsidR="00190D6B" w:rsidRPr="00190D6B" w:rsidRDefault="00190D6B" w:rsidP="00190D6B">
      <w:pPr>
        <w:rPr>
          <w:b/>
          <w:bCs/>
        </w:rPr>
      </w:pPr>
    </w:p>
    <w:p w14:paraId="3F6E4F6B" w14:textId="77777777" w:rsidR="00190D6B" w:rsidRPr="00190D6B" w:rsidRDefault="00190D6B" w:rsidP="00190D6B">
      <w:pPr>
        <w:rPr>
          <w:b/>
          <w:bCs/>
        </w:rPr>
      </w:pPr>
      <w:r w:rsidRPr="00190D6B">
        <w:rPr>
          <w:b/>
          <w:bCs/>
        </w:rPr>
        <w:t>AGREED TO RECOMMEND, on the proposal of Alderman McIlveen, seconded by Alderman Graham, that the recommendation be adopted.</w:t>
      </w:r>
    </w:p>
    <w:p w14:paraId="05E97FC3" w14:textId="77777777" w:rsidR="00190D6B" w:rsidRPr="00190D6B" w:rsidRDefault="00190D6B" w:rsidP="00190D6B">
      <w:pPr>
        <w:rPr>
          <w:rFonts w:eastAsia="Times New Roman" w:cs="Arial"/>
          <w:b/>
          <w:szCs w:val="24"/>
          <w:lang w:eastAsia="en-GB"/>
        </w:rPr>
      </w:pPr>
    </w:p>
    <w:p w14:paraId="69D70A25" w14:textId="77777777" w:rsidR="00190D6B" w:rsidRPr="00190D6B" w:rsidRDefault="00190D6B" w:rsidP="00190D6B">
      <w:pPr>
        <w:keepNext/>
        <w:keepLines/>
        <w:ind w:left="720" w:hanging="720"/>
        <w:outlineLvl w:val="0"/>
        <w:rPr>
          <w:rFonts w:eastAsia="Times New Roman"/>
          <w:b/>
          <w:caps/>
          <w:sz w:val="28"/>
          <w:szCs w:val="32"/>
          <w:u w:val="single"/>
        </w:rPr>
      </w:pPr>
      <w:r w:rsidRPr="00190D6B">
        <w:rPr>
          <w:rFonts w:eastAsia="Times New Roman"/>
          <w:b/>
          <w:caps/>
          <w:sz w:val="28"/>
          <w:szCs w:val="32"/>
        </w:rPr>
        <w:t>7.</w:t>
      </w:r>
      <w:r w:rsidRPr="00190D6B">
        <w:rPr>
          <w:rFonts w:eastAsia="Times New Roman"/>
          <w:b/>
          <w:caps/>
          <w:sz w:val="28"/>
          <w:szCs w:val="32"/>
        </w:rPr>
        <w:tab/>
      </w:r>
      <w:r w:rsidRPr="00190D6B">
        <w:rPr>
          <w:rFonts w:eastAsia="Times New Roman"/>
          <w:b/>
          <w:caps/>
          <w:sz w:val="28"/>
          <w:szCs w:val="32"/>
          <w:u w:val="single"/>
        </w:rPr>
        <w:t>Member Development Charter Plus Assessment Plus Update (HR27)</w:t>
      </w:r>
    </w:p>
    <w:p w14:paraId="79AD1105" w14:textId="77777777" w:rsidR="00190D6B" w:rsidRPr="00190D6B" w:rsidRDefault="00190D6B" w:rsidP="00190D6B">
      <w:pPr>
        <w:ind w:left="720"/>
        <w:rPr>
          <w:rFonts w:eastAsiaTheme="minorHAnsi" w:cs="Arial"/>
          <w:szCs w:val="24"/>
        </w:rPr>
      </w:pPr>
      <w:r w:rsidRPr="00190D6B">
        <w:rPr>
          <w:rFonts w:eastAsiaTheme="minorHAnsi" w:cs="Arial"/>
          <w:szCs w:val="24"/>
        </w:rPr>
        <w:t>(Appendix IV - VII)</w:t>
      </w:r>
    </w:p>
    <w:p w14:paraId="7F72D603" w14:textId="77777777" w:rsidR="00190D6B" w:rsidRPr="00190D6B" w:rsidRDefault="00190D6B" w:rsidP="00190D6B">
      <w:pPr>
        <w:ind w:left="720"/>
        <w:rPr>
          <w:rFonts w:eastAsiaTheme="minorHAnsi" w:cs="Arial"/>
          <w:szCs w:val="24"/>
        </w:rPr>
      </w:pPr>
    </w:p>
    <w:p w14:paraId="73893230" w14:textId="77777777" w:rsidR="00190D6B" w:rsidRPr="00190D6B" w:rsidRDefault="00190D6B" w:rsidP="00190D6B">
      <w:pPr>
        <w:rPr>
          <w:szCs w:val="24"/>
        </w:rPr>
      </w:pPr>
      <w:r w:rsidRPr="00190D6B">
        <w:rPr>
          <w:caps/>
          <w:szCs w:val="24"/>
        </w:rPr>
        <w:t>Previously circulated:-</w:t>
      </w:r>
      <w:r w:rsidRPr="00190D6B">
        <w:rPr>
          <w:szCs w:val="24"/>
        </w:rPr>
        <w:t xml:space="preserve"> Report from Director of Corporate Services stating that </w:t>
      </w:r>
      <w:r w:rsidRPr="00190D6B">
        <w:rPr>
          <w:rFonts w:eastAsia="Times New Roman" w:cs="Arial"/>
          <w:szCs w:val="24"/>
        </w:rPr>
        <w:t>Council was awarded Charter Accreditation for Member Development in March 2018 and was now progressing towards Charter Plus Assessment at the end of January 2024 at a cost of £2,500. The purpose of pursuing the next level of recognition was to ensure the continuing professional development of Members. For information the Assessment Criteria was set out in appendix 1, and the current Member Development Programme could be accessed</w:t>
      </w:r>
      <w:r w:rsidRPr="00190D6B">
        <w:rPr>
          <w:rFonts w:eastAsia="Times New Roman"/>
          <w:szCs w:val="20"/>
        </w:rPr>
        <w:t xml:space="preserve"> on MANDI</w:t>
      </w:r>
      <w:r w:rsidRPr="00190D6B">
        <w:rPr>
          <w:rFonts w:eastAsia="Times New Roman" w:cs="Arial"/>
          <w:szCs w:val="24"/>
        </w:rPr>
        <w:t>.</w:t>
      </w:r>
    </w:p>
    <w:p w14:paraId="71575A70" w14:textId="77777777" w:rsidR="00190D6B" w:rsidRPr="00190D6B" w:rsidRDefault="00190D6B" w:rsidP="00190D6B">
      <w:pPr>
        <w:rPr>
          <w:rFonts w:eastAsia="Times New Roman" w:cs="Arial"/>
          <w:szCs w:val="24"/>
        </w:rPr>
      </w:pPr>
    </w:p>
    <w:p w14:paraId="3F357665" w14:textId="77777777" w:rsidR="00190D6B" w:rsidRPr="00190D6B" w:rsidRDefault="00190D6B" w:rsidP="00190D6B">
      <w:pPr>
        <w:rPr>
          <w:rFonts w:eastAsia="Times New Roman" w:cs="Arial"/>
          <w:szCs w:val="24"/>
        </w:rPr>
      </w:pPr>
      <w:r w:rsidRPr="00190D6B">
        <w:rPr>
          <w:rFonts w:eastAsia="Times New Roman" w:cs="Arial"/>
          <w:szCs w:val="24"/>
        </w:rPr>
        <w:t>In line with the criteria requirements, following initial review by the Member Development Steering Group, the attached documents were set out for consideration:</w:t>
      </w:r>
    </w:p>
    <w:p w14:paraId="010BD657" w14:textId="77777777" w:rsidR="00190D6B" w:rsidRPr="00190D6B" w:rsidRDefault="00190D6B" w:rsidP="00190D6B">
      <w:pPr>
        <w:rPr>
          <w:rFonts w:eastAsia="Times New Roman" w:cs="Arial"/>
          <w:b/>
          <w:bCs/>
          <w:szCs w:val="24"/>
        </w:rPr>
      </w:pPr>
    </w:p>
    <w:p w14:paraId="3E2A6C52" w14:textId="77777777" w:rsidR="00190D6B" w:rsidRPr="00190D6B" w:rsidRDefault="00190D6B" w:rsidP="00874464">
      <w:pPr>
        <w:numPr>
          <w:ilvl w:val="0"/>
          <w:numId w:val="8"/>
        </w:numPr>
        <w:rPr>
          <w:rFonts w:eastAsia="Times New Roman" w:cs="Arial"/>
          <w:b/>
          <w:bCs/>
          <w:szCs w:val="24"/>
        </w:rPr>
      </w:pPr>
      <w:r w:rsidRPr="00190D6B">
        <w:rPr>
          <w:rFonts w:eastAsia="Times New Roman" w:cs="Arial"/>
          <w:b/>
          <w:bCs/>
          <w:szCs w:val="24"/>
        </w:rPr>
        <w:t>Draft Learning and Development Strategy for Members</w:t>
      </w:r>
    </w:p>
    <w:p w14:paraId="7C8A5FC7" w14:textId="77777777" w:rsidR="00190D6B" w:rsidRPr="00190D6B" w:rsidRDefault="00190D6B" w:rsidP="00190D6B">
      <w:pPr>
        <w:rPr>
          <w:rFonts w:eastAsia="Times New Roman" w:cs="Arial"/>
          <w:szCs w:val="24"/>
        </w:rPr>
      </w:pPr>
    </w:p>
    <w:p w14:paraId="6389405D" w14:textId="77777777" w:rsidR="00190D6B" w:rsidRPr="00190D6B" w:rsidRDefault="00190D6B" w:rsidP="00190D6B">
      <w:pPr>
        <w:rPr>
          <w:rFonts w:eastAsia="Times New Roman"/>
          <w:szCs w:val="20"/>
        </w:rPr>
      </w:pPr>
      <w:r w:rsidRPr="00190D6B">
        <w:rPr>
          <w:rFonts w:eastAsia="Times New Roman" w:cs="Arial"/>
          <w:szCs w:val="24"/>
        </w:rPr>
        <w:t xml:space="preserve">The Strategy reflected and reinforced the approach to Elected Member learning and development within the Council. </w:t>
      </w:r>
      <w:r w:rsidRPr="00190D6B">
        <w:rPr>
          <w:rFonts w:eastAsia="Times New Roman"/>
          <w:szCs w:val="20"/>
        </w:rPr>
        <w:t>The purpose was to ensure that Elected Members were appropriately developed and supported in terms of their professional development.</w:t>
      </w:r>
    </w:p>
    <w:p w14:paraId="23771F5B" w14:textId="77777777" w:rsidR="00190D6B" w:rsidRPr="00190D6B" w:rsidRDefault="00190D6B" w:rsidP="00190D6B">
      <w:pPr>
        <w:rPr>
          <w:rFonts w:eastAsia="Times New Roman"/>
          <w:szCs w:val="20"/>
        </w:rPr>
      </w:pPr>
    </w:p>
    <w:p w14:paraId="2BFAAB4B" w14:textId="77777777" w:rsidR="00190D6B" w:rsidRDefault="00190D6B" w:rsidP="00874464">
      <w:r w:rsidRPr="00190D6B">
        <w:t xml:space="preserve">The Strategy aligned with the Northern Ireland Councillor Development Charter as the Framework used to develop and support Elected Members and build Elected Member capacity.  </w:t>
      </w:r>
    </w:p>
    <w:p w14:paraId="1CB94DC2" w14:textId="77777777" w:rsidR="00874464" w:rsidRPr="00190D6B" w:rsidRDefault="00874464" w:rsidP="00874464">
      <w:pPr>
        <w:rPr>
          <w:b/>
          <w:sz w:val="32"/>
          <w:szCs w:val="26"/>
        </w:rPr>
      </w:pPr>
    </w:p>
    <w:p w14:paraId="4A8A2FCA" w14:textId="77777777" w:rsidR="00190D6B" w:rsidRPr="00190D6B" w:rsidRDefault="00190D6B" w:rsidP="00190D6B">
      <w:pPr>
        <w:rPr>
          <w:rFonts w:eastAsia="Times New Roman"/>
          <w:szCs w:val="24"/>
        </w:rPr>
      </w:pPr>
      <w:r w:rsidRPr="00190D6B">
        <w:rPr>
          <w:rFonts w:eastAsia="Times New Roman"/>
          <w:szCs w:val="24"/>
        </w:rPr>
        <w:t>The Strategy also included a Plan for Training and, importantly, how training would be evaluated to assess its qualitative impact and ensured continuous improvement in Member learning and development in the future.</w:t>
      </w:r>
    </w:p>
    <w:p w14:paraId="32584687" w14:textId="77777777" w:rsidR="00190D6B" w:rsidRPr="00190D6B" w:rsidRDefault="00190D6B" w:rsidP="00190D6B">
      <w:pPr>
        <w:jc w:val="center"/>
        <w:rPr>
          <w:rFonts w:eastAsia="Times New Roman"/>
          <w:szCs w:val="24"/>
        </w:rPr>
      </w:pPr>
    </w:p>
    <w:p w14:paraId="7F968354" w14:textId="77777777" w:rsidR="00190D6B" w:rsidRPr="00190D6B" w:rsidRDefault="00190D6B" w:rsidP="00874464">
      <w:pPr>
        <w:numPr>
          <w:ilvl w:val="0"/>
          <w:numId w:val="8"/>
        </w:numPr>
        <w:ind w:left="714" w:hanging="357"/>
        <w:contextualSpacing/>
        <w:rPr>
          <w:rFonts w:eastAsia="Times New Roman" w:cs="Arial"/>
          <w:b/>
          <w:bCs/>
          <w:szCs w:val="24"/>
        </w:rPr>
      </w:pPr>
      <w:r w:rsidRPr="00190D6B">
        <w:rPr>
          <w:rFonts w:eastAsia="Times New Roman" w:cs="Arial"/>
          <w:b/>
          <w:bCs/>
          <w:szCs w:val="24"/>
        </w:rPr>
        <w:t>Draft Learning, Training and Development Policy for Members</w:t>
      </w:r>
    </w:p>
    <w:p w14:paraId="4C3928FF" w14:textId="77777777" w:rsidR="00190D6B" w:rsidRPr="00190D6B" w:rsidRDefault="00190D6B" w:rsidP="00190D6B">
      <w:pPr>
        <w:rPr>
          <w:rFonts w:eastAsia="Times New Roman" w:cs="Arial"/>
          <w:szCs w:val="24"/>
        </w:rPr>
      </w:pPr>
    </w:p>
    <w:p w14:paraId="47E6A5AA" w14:textId="77777777" w:rsidR="00190D6B" w:rsidRPr="00190D6B" w:rsidRDefault="00190D6B" w:rsidP="00190D6B">
      <w:pPr>
        <w:rPr>
          <w:rFonts w:eastAsia="Times New Roman" w:cs="Arial"/>
          <w:szCs w:val="24"/>
        </w:rPr>
      </w:pPr>
      <w:r w:rsidRPr="00190D6B">
        <w:rPr>
          <w:rFonts w:eastAsia="Times New Roman" w:cs="Arial"/>
          <w:szCs w:val="20"/>
        </w:rPr>
        <w:t>The Policy set out how relevant learning, training and development initiatives were progressed for Members. The primary purpose of this policy was to set out the parameters governing member led requests for training.</w:t>
      </w:r>
    </w:p>
    <w:p w14:paraId="766E3B3A" w14:textId="77777777" w:rsidR="00190D6B" w:rsidRPr="00190D6B" w:rsidRDefault="00190D6B" w:rsidP="00190D6B">
      <w:pPr>
        <w:rPr>
          <w:rFonts w:eastAsia="Times New Roman" w:cs="Arial"/>
          <w:szCs w:val="24"/>
        </w:rPr>
      </w:pPr>
    </w:p>
    <w:p w14:paraId="7DE3236B" w14:textId="77777777" w:rsidR="00190D6B" w:rsidRPr="00190D6B" w:rsidRDefault="00190D6B" w:rsidP="00190D6B">
      <w:pPr>
        <w:rPr>
          <w:rFonts w:eastAsia="Times New Roman" w:cs="Arial"/>
          <w:szCs w:val="24"/>
        </w:rPr>
      </w:pPr>
      <w:r w:rsidRPr="00190D6B">
        <w:rPr>
          <w:rFonts w:eastAsia="Times New Roman" w:cs="Arial"/>
          <w:szCs w:val="24"/>
        </w:rPr>
        <w:t xml:space="preserve">The aim was to ensure Members could avail of training and development interventions to increase their skills capacity. </w:t>
      </w:r>
    </w:p>
    <w:p w14:paraId="0DD2A9C0" w14:textId="77777777" w:rsidR="00190D6B" w:rsidRPr="00190D6B" w:rsidRDefault="00190D6B" w:rsidP="00190D6B">
      <w:pPr>
        <w:rPr>
          <w:rFonts w:eastAsia="Times New Roman" w:cs="Arial"/>
          <w:szCs w:val="24"/>
        </w:rPr>
      </w:pPr>
    </w:p>
    <w:p w14:paraId="65C6D130" w14:textId="77777777" w:rsidR="00190D6B" w:rsidRPr="00190D6B" w:rsidRDefault="00190D6B" w:rsidP="00874464">
      <w:pPr>
        <w:numPr>
          <w:ilvl w:val="0"/>
          <w:numId w:val="8"/>
        </w:numPr>
        <w:rPr>
          <w:rFonts w:eastAsia="Times New Roman" w:cs="Arial"/>
          <w:b/>
          <w:bCs/>
          <w:szCs w:val="24"/>
        </w:rPr>
      </w:pPr>
      <w:r w:rsidRPr="00190D6B">
        <w:rPr>
          <w:rFonts w:eastAsia="Times New Roman" w:cs="Arial"/>
          <w:b/>
          <w:bCs/>
          <w:szCs w:val="24"/>
        </w:rPr>
        <w:t>Draft Member Role Profiles</w:t>
      </w:r>
    </w:p>
    <w:p w14:paraId="1753FF3F" w14:textId="77777777" w:rsidR="00190D6B" w:rsidRPr="00190D6B" w:rsidRDefault="00190D6B" w:rsidP="00190D6B">
      <w:pPr>
        <w:rPr>
          <w:rFonts w:eastAsia="Times New Roman" w:cs="Arial"/>
          <w:b/>
          <w:bCs/>
          <w:szCs w:val="24"/>
        </w:rPr>
      </w:pPr>
    </w:p>
    <w:p w14:paraId="0C73E171" w14:textId="77777777" w:rsidR="00190D6B" w:rsidRPr="00190D6B" w:rsidRDefault="00190D6B" w:rsidP="00190D6B">
      <w:pPr>
        <w:rPr>
          <w:rFonts w:eastAsia="Times New Roman" w:cs="Arial"/>
          <w:szCs w:val="24"/>
        </w:rPr>
      </w:pPr>
      <w:r w:rsidRPr="00190D6B">
        <w:rPr>
          <w:rFonts w:eastAsia="Times New Roman" w:cs="Arial"/>
          <w:szCs w:val="24"/>
        </w:rPr>
        <w:t xml:space="preserve">Role Profiles, including a list of competencies, skills and knowledge, were set out for the role of Councillor, the role of Chairperson and the Mayor. </w:t>
      </w:r>
    </w:p>
    <w:p w14:paraId="549C5F73" w14:textId="77777777" w:rsidR="00190D6B" w:rsidRPr="00190D6B" w:rsidRDefault="00190D6B" w:rsidP="00874464">
      <w:pPr>
        <w:rPr>
          <w:rFonts w:eastAsia="Times New Roman" w:cs="Arial"/>
          <w:szCs w:val="24"/>
        </w:rPr>
      </w:pPr>
    </w:p>
    <w:p w14:paraId="0E06AFD9" w14:textId="77777777" w:rsidR="00190D6B" w:rsidRPr="00190D6B" w:rsidRDefault="00190D6B" w:rsidP="00874464">
      <w:pPr>
        <w:rPr>
          <w:rFonts w:eastAsia="Times New Roman" w:cs="Arial"/>
          <w:szCs w:val="24"/>
        </w:rPr>
      </w:pPr>
      <w:r w:rsidRPr="00190D6B">
        <w:rPr>
          <w:rFonts w:eastAsia="Times New Roman" w:cs="Arial"/>
          <w:szCs w:val="24"/>
        </w:rPr>
        <w:t>The skill set within this document would be used when sourcing and designing development events in terms of empowering Members towards the 21</w:t>
      </w:r>
      <w:r w:rsidRPr="00190D6B">
        <w:rPr>
          <w:rFonts w:eastAsia="Times New Roman" w:cs="Arial"/>
          <w:szCs w:val="24"/>
          <w:vertAlign w:val="superscript"/>
        </w:rPr>
        <w:t>st</w:t>
      </w:r>
      <w:r w:rsidRPr="00190D6B">
        <w:rPr>
          <w:rFonts w:eastAsia="Times New Roman" w:cs="Arial"/>
          <w:szCs w:val="24"/>
        </w:rPr>
        <w:t xml:space="preserve"> Century Councillor, as set out in the Charter Plus criteria (as shown in Appendix 1).</w:t>
      </w:r>
    </w:p>
    <w:p w14:paraId="3194CEFB" w14:textId="77777777" w:rsidR="00190D6B" w:rsidRPr="00190D6B" w:rsidRDefault="00190D6B" w:rsidP="00874464">
      <w:pPr>
        <w:rPr>
          <w:rFonts w:eastAsia="Times New Roman" w:cs="Arial"/>
          <w:szCs w:val="24"/>
        </w:rPr>
      </w:pPr>
    </w:p>
    <w:p w14:paraId="34D54109" w14:textId="406FCD13" w:rsidR="00190D6B" w:rsidRPr="00190D6B" w:rsidRDefault="00190D6B" w:rsidP="00874464">
      <w:pPr>
        <w:rPr>
          <w:rFonts w:cs="Arial"/>
          <w:bCs/>
          <w:szCs w:val="24"/>
        </w:rPr>
      </w:pPr>
      <w:r w:rsidRPr="00190D6B">
        <w:rPr>
          <w:rFonts w:eastAsia="Times New Roman"/>
          <w:bCs/>
          <w:szCs w:val="20"/>
        </w:rPr>
        <w:t>RECOMMEN</w:t>
      </w:r>
      <w:r w:rsidR="00874464">
        <w:rPr>
          <w:rFonts w:eastAsia="Times New Roman"/>
          <w:bCs/>
          <w:szCs w:val="20"/>
        </w:rPr>
        <w:t>D</w:t>
      </w:r>
      <w:r w:rsidRPr="00190D6B">
        <w:rPr>
          <w:rFonts w:eastAsia="Times New Roman"/>
          <w:bCs/>
          <w:szCs w:val="20"/>
        </w:rPr>
        <w:t>ED</w:t>
      </w:r>
      <w:r w:rsidRPr="00190D6B">
        <w:rPr>
          <w:rFonts w:eastAsia="Times New Roman"/>
          <w:b/>
          <w:szCs w:val="20"/>
        </w:rPr>
        <w:t xml:space="preserve"> </w:t>
      </w:r>
      <w:r w:rsidRPr="00190D6B">
        <w:rPr>
          <w:rFonts w:cs="Arial"/>
          <w:szCs w:val="24"/>
        </w:rPr>
        <w:t xml:space="preserve">that Council, following initial review by the Member Development Steering Group, </w:t>
      </w:r>
      <w:r w:rsidRPr="00190D6B">
        <w:rPr>
          <w:rFonts w:cs="Arial"/>
          <w:bCs/>
          <w:szCs w:val="24"/>
        </w:rPr>
        <w:t>approve the following documents:</w:t>
      </w:r>
    </w:p>
    <w:p w14:paraId="742CC58A" w14:textId="77777777" w:rsidR="00190D6B" w:rsidRPr="00190D6B" w:rsidRDefault="00190D6B" w:rsidP="00874464">
      <w:pPr>
        <w:rPr>
          <w:rFonts w:cs="Arial"/>
          <w:szCs w:val="24"/>
        </w:rPr>
      </w:pPr>
      <w:r w:rsidRPr="00190D6B">
        <w:rPr>
          <w:rFonts w:cs="Arial"/>
          <w:szCs w:val="24"/>
        </w:rPr>
        <w:t>1. The Learning and Development Strategy;</w:t>
      </w:r>
    </w:p>
    <w:p w14:paraId="74A34613" w14:textId="77777777" w:rsidR="00190D6B" w:rsidRPr="00190D6B" w:rsidRDefault="00190D6B" w:rsidP="00874464">
      <w:pPr>
        <w:rPr>
          <w:rFonts w:cs="Arial"/>
          <w:szCs w:val="24"/>
        </w:rPr>
      </w:pPr>
      <w:r w:rsidRPr="00190D6B">
        <w:rPr>
          <w:rFonts w:cs="Arial"/>
          <w:szCs w:val="24"/>
        </w:rPr>
        <w:t xml:space="preserve">2. The Learning, Training and Development Policy; and </w:t>
      </w:r>
    </w:p>
    <w:p w14:paraId="36C44C5A" w14:textId="77777777" w:rsidR="00190D6B" w:rsidRPr="00190D6B" w:rsidRDefault="00190D6B" w:rsidP="00874464">
      <w:pPr>
        <w:rPr>
          <w:rFonts w:cs="Arial"/>
          <w:szCs w:val="24"/>
        </w:rPr>
      </w:pPr>
      <w:r w:rsidRPr="00190D6B">
        <w:rPr>
          <w:rFonts w:cs="Arial"/>
          <w:szCs w:val="24"/>
        </w:rPr>
        <w:t>3. Member Role Profiles.</w:t>
      </w:r>
    </w:p>
    <w:p w14:paraId="23B1DF81" w14:textId="77777777" w:rsidR="00190D6B" w:rsidRPr="00190D6B" w:rsidRDefault="00190D6B" w:rsidP="00874464"/>
    <w:p w14:paraId="79D82449" w14:textId="77777777" w:rsidR="00190D6B" w:rsidRPr="00190D6B" w:rsidRDefault="00190D6B" w:rsidP="00874464">
      <w:r w:rsidRPr="00190D6B">
        <w:t>Proposed by Alderman McIlveen, seconded by Councillor W Irvine, that the recommendation be adopted.</w:t>
      </w:r>
    </w:p>
    <w:p w14:paraId="73F50F35" w14:textId="77777777" w:rsidR="00190D6B" w:rsidRPr="00190D6B" w:rsidRDefault="00190D6B" w:rsidP="00874464"/>
    <w:p w14:paraId="1B556CDA" w14:textId="77777777" w:rsidR="00190D6B" w:rsidRPr="00190D6B" w:rsidRDefault="00190D6B" w:rsidP="00874464">
      <w:r w:rsidRPr="00190D6B">
        <w:t>Alderman McIlveen asked how outcomes were measured in terms of demonstrating better decision making. The Head of HR and OD advised that while that was difficult to evaluate, outcomes were largely assessed through a process of participant feedback at various intervals after the training. That feedback would then be used to shape the training programme for the following year.</w:t>
      </w:r>
    </w:p>
    <w:p w14:paraId="373D9FC4" w14:textId="77777777" w:rsidR="00190D6B" w:rsidRPr="00190D6B" w:rsidRDefault="00190D6B" w:rsidP="00874464"/>
    <w:p w14:paraId="5227015C" w14:textId="77777777" w:rsidR="00190D6B" w:rsidRPr="00190D6B" w:rsidRDefault="00190D6B" w:rsidP="00874464">
      <w:r w:rsidRPr="00190D6B">
        <w:t>In a further matter, Alderman McIlveen had an issue with the non-mandatory nature of the training and also felt that it did not go into sufficient depth to assist new Members in decision making. He pointed to Planning in particular where he felt that training needed to be mandatory and more detailed in order to give Members all the tools necessary to understand and scrutinize reports.</w:t>
      </w:r>
    </w:p>
    <w:p w14:paraId="3D6C1A7C" w14:textId="77777777" w:rsidR="00190D6B" w:rsidRPr="00190D6B" w:rsidRDefault="00190D6B" w:rsidP="00190D6B"/>
    <w:p w14:paraId="7740EEBF" w14:textId="77777777" w:rsidR="00190D6B" w:rsidRPr="00190D6B" w:rsidRDefault="00190D6B" w:rsidP="00190D6B">
      <w:r w:rsidRPr="00190D6B">
        <w:t>The officer advised that the training manager was always open to Members’ thoughts and views on the Member Development Programme and she would pass on Alderman McIlveen’s comments.</w:t>
      </w:r>
    </w:p>
    <w:p w14:paraId="1113FE37" w14:textId="77777777" w:rsidR="00190D6B" w:rsidRPr="00190D6B" w:rsidRDefault="00190D6B" w:rsidP="00190D6B">
      <w:pPr>
        <w:rPr>
          <w:b/>
          <w:bCs/>
        </w:rPr>
      </w:pPr>
    </w:p>
    <w:p w14:paraId="470C3BF4" w14:textId="77777777" w:rsidR="00190D6B" w:rsidRPr="00190D6B" w:rsidRDefault="00190D6B" w:rsidP="00190D6B">
      <w:pPr>
        <w:rPr>
          <w:b/>
          <w:bCs/>
        </w:rPr>
      </w:pPr>
      <w:r w:rsidRPr="00190D6B">
        <w:rPr>
          <w:b/>
          <w:bCs/>
        </w:rPr>
        <w:t>AGREED TO RECOMMEND, on the proposal of Alderman McIlveen, seconded by Councillor W Irvine, that the recommendation be adopted.</w:t>
      </w:r>
    </w:p>
    <w:p w14:paraId="3B64CD6B" w14:textId="77777777" w:rsidR="00190D6B" w:rsidRPr="00190D6B" w:rsidRDefault="00190D6B" w:rsidP="00190D6B">
      <w:pPr>
        <w:rPr>
          <w:rFonts w:eastAsia="Times New Roman" w:cs="Arial"/>
          <w:b/>
          <w:szCs w:val="24"/>
          <w:lang w:eastAsia="en-GB"/>
        </w:rPr>
      </w:pPr>
    </w:p>
    <w:p w14:paraId="25294A2E" w14:textId="77777777" w:rsidR="00190D6B" w:rsidRPr="00190D6B" w:rsidRDefault="00190D6B" w:rsidP="00190D6B">
      <w:pPr>
        <w:keepNext/>
        <w:keepLines/>
        <w:outlineLvl w:val="0"/>
        <w:rPr>
          <w:rFonts w:eastAsia="Times New Roman"/>
          <w:b/>
          <w:caps/>
          <w:sz w:val="28"/>
          <w:szCs w:val="32"/>
          <w:u w:val="single"/>
        </w:rPr>
      </w:pPr>
      <w:r w:rsidRPr="00190D6B">
        <w:rPr>
          <w:rFonts w:eastAsia="Times New Roman"/>
          <w:b/>
          <w:caps/>
          <w:sz w:val="28"/>
          <w:szCs w:val="32"/>
        </w:rPr>
        <w:t>8.</w:t>
      </w:r>
      <w:r w:rsidRPr="00190D6B">
        <w:rPr>
          <w:rFonts w:eastAsia="Times New Roman"/>
          <w:b/>
          <w:caps/>
          <w:sz w:val="28"/>
          <w:szCs w:val="32"/>
        </w:rPr>
        <w:tab/>
      </w:r>
      <w:r w:rsidRPr="00190D6B">
        <w:rPr>
          <w:rFonts w:eastAsia="Times New Roman"/>
          <w:b/>
          <w:caps/>
          <w:sz w:val="28"/>
          <w:szCs w:val="32"/>
          <w:u w:val="single"/>
        </w:rPr>
        <w:t>Agency Worker Policy (HR)</w:t>
      </w:r>
    </w:p>
    <w:p w14:paraId="3C0F850D" w14:textId="77777777" w:rsidR="00190D6B" w:rsidRPr="00190D6B" w:rsidRDefault="00190D6B" w:rsidP="00190D6B">
      <w:pPr>
        <w:ind w:left="720"/>
        <w:rPr>
          <w:rFonts w:eastAsiaTheme="minorHAnsi" w:cs="Arial"/>
          <w:szCs w:val="24"/>
        </w:rPr>
      </w:pPr>
      <w:r w:rsidRPr="00190D6B">
        <w:rPr>
          <w:rFonts w:eastAsiaTheme="minorHAnsi" w:cs="Arial"/>
          <w:szCs w:val="24"/>
        </w:rPr>
        <w:t>(Appendix VIII)</w:t>
      </w:r>
    </w:p>
    <w:p w14:paraId="3A70225C" w14:textId="77777777" w:rsidR="00190D6B" w:rsidRPr="00190D6B" w:rsidRDefault="00190D6B" w:rsidP="00190D6B">
      <w:pPr>
        <w:ind w:left="720"/>
        <w:rPr>
          <w:rFonts w:eastAsiaTheme="minorHAnsi" w:cs="Arial"/>
          <w:szCs w:val="24"/>
        </w:rPr>
      </w:pPr>
    </w:p>
    <w:p w14:paraId="7AE2E6B4" w14:textId="77777777" w:rsidR="00190D6B" w:rsidRPr="00190D6B" w:rsidRDefault="00190D6B" w:rsidP="00190D6B">
      <w:pPr>
        <w:rPr>
          <w:szCs w:val="24"/>
        </w:rPr>
      </w:pPr>
      <w:r w:rsidRPr="00190D6B">
        <w:rPr>
          <w:caps/>
          <w:szCs w:val="24"/>
        </w:rPr>
        <w:t>Previously circulated:-</w:t>
      </w:r>
      <w:r w:rsidRPr="00190D6B">
        <w:rPr>
          <w:szCs w:val="24"/>
        </w:rPr>
        <w:t xml:space="preserve"> Report from Director of Corporate Services detailing that Members would be aware that an Agency Worker Policy was agreed in 2015, outlining when and how agency workers would be used and their entitlements.   </w:t>
      </w:r>
    </w:p>
    <w:p w14:paraId="6DB98BF0" w14:textId="77777777" w:rsidR="00190D6B" w:rsidRPr="00190D6B" w:rsidRDefault="00190D6B" w:rsidP="00190D6B">
      <w:pPr>
        <w:rPr>
          <w:szCs w:val="24"/>
        </w:rPr>
      </w:pPr>
    </w:p>
    <w:p w14:paraId="023A5C78" w14:textId="77777777" w:rsidR="00190D6B" w:rsidRPr="00190D6B" w:rsidRDefault="00190D6B" w:rsidP="00190D6B">
      <w:pPr>
        <w:rPr>
          <w:szCs w:val="24"/>
        </w:rPr>
      </w:pPr>
      <w:r w:rsidRPr="00190D6B">
        <w:rPr>
          <w:szCs w:val="24"/>
        </w:rPr>
        <w:t xml:space="preserve">The Swedish Derogation Model which had been adopted in 2015, was discontinued by Council in 2019 as it was felt this model no longer represented Council values and basic hourly pay parity from day one was introduced instead.  </w:t>
      </w:r>
    </w:p>
    <w:p w14:paraId="13FA18D3" w14:textId="77777777" w:rsidR="00190D6B" w:rsidRPr="00190D6B" w:rsidRDefault="00190D6B" w:rsidP="00190D6B">
      <w:pPr>
        <w:rPr>
          <w:szCs w:val="24"/>
        </w:rPr>
      </w:pPr>
    </w:p>
    <w:p w14:paraId="7C971717" w14:textId="77777777" w:rsidR="00190D6B" w:rsidRPr="00190D6B" w:rsidRDefault="00190D6B" w:rsidP="00190D6B">
      <w:pPr>
        <w:rPr>
          <w:szCs w:val="24"/>
        </w:rPr>
      </w:pPr>
      <w:r w:rsidRPr="00190D6B">
        <w:rPr>
          <w:szCs w:val="24"/>
        </w:rPr>
        <w:t xml:space="preserve">The Policy was to be amended in line with the changes but due to the pandemic and other pressures within the HR and OD Service, this was not actioned at the time.  A </w:t>
      </w:r>
      <w:r w:rsidRPr="00190D6B">
        <w:rPr>
          <w:szCs w:val="24"/>
        </w:rPr>
        <w:lastRenderedPageBreak/>
        <w:t>new agency tender had recently been awarded and the Policy had now been updated to reflect existing agency worker entitlements and arrangements.</w:t>
      </w:r>
    </w:p>
    <w:p w14:paraId="4B5DC64A" w14:textId="77777777" w:rsidR="00190D6B" w:rsidRPr="00190D6B" w:rsidRDefault="00190D6B" w:rsidP="00190D6B">
      <w:pPr>
        <w:rPr>
          <w:szCs w:val="24"/>
        </w:rPr>
      </w:pPr>
    </w:p>
    <w:p w14:paraId="678CE550" w14:textId="77777777" w:rsidR="00190D6B" w:rsidRPr="00190D6B" w:rsidRDefault="00190D6B" w:rsidP="00190D6B">
      <w:r w:rsidRPr="00190D6B">
        <w:rPr>
          <w:szCs w:val="24"/>
        </w:rPr>
        <w:t>RECOMMENDED that Council approves the attached updated Agency Worker Policy.</w:t>
      </w:r>
    </w:p>
    <w:p w14:paraId="23462580" w14:textId="77777777" w:rsidR="00190D6B" w:rsidRPr="00190D6B" w:rsidRDefault="00190D6B" w:rsidP="00190D6B">
      <w:pPr>
        <w:rPr>
          <w:b/>
          <w:bCs/>
        </w:rPr>
      </w:pPr>
    </w:p>
    <w:p w14:paraId="55196781" w14:textId="77777777" w:rsidR="00190D6B" w:rsidRPr="00190D6B" w:rsidRDefault="00190D6B" w:rsidP="00190D6B">
      <w:r w:rsidRPr="00190D6B">
        <w:t>Proposed by Alderman Graham, seconded by Councillor McRandal, that the recommendation be adopted.</w:t>
      </w:r>
    </w:p>
    <w:p w14:paraId="4AA4AF0E" w14:textId="77777777" w:rsidR="00190D6B" w:rsidRPr="00190D6B" w:rsidRDefault="00190D6B" w:rsidP="00190D6B"/>
    <w:p w14:paraId="2ADC9B35" w14:textId="77777777" w:rsidR="00190D6B" w:rsidRPr="00190D6B" w:rsidRDefault="00190D6B" w:rsidP="00190D6B">
      <w:r w:rsidRPr="00190D6B">
        <w:t>Alderman McIlveen had noted that the proposed new policy wording had not included tracked changes. While he appreciated that Members were provided with a summary of the changes, he felt it was important to see the changes to the specific wording of the policy and would appreciate that approach going forward.</w:t>
      </w:r>
    </w:p>
    <w:p w14:paraId="6C3B020A" w14:textId="77777777" w:rsidR="00190D6B" w:rsidRPr="00190D6B" w:rsidRDefault="00190D6B" w:rsidP="00190D6B">
      <w:pPr>
        <w:rPr>
          <w:b/>
          <w:bCs/>
        </w:rPr>
      </w:pPr>
    </w:p>
    <w:p w14:paraId="2ECA25E8" w14:textId="77777777" w:rsidR="00190D6B" w:rsidRPr="00190D6B" w:rsidRDefault="00190D6B" w:rsidP="00190D6B">
      <w:pPr>
        <w:rPr>
          <w:b/>
          <w:bCs/>
        </w:rPr>
      </w:pPr>
      <w:r w:rsidRPr="00190D6B">
        <w:rPr>
          <w:b/>
          <w:bCs/>
        </w:rPr>
        <w:t>AGREED TO RECOMMEND, on the proposal of Alderman Graham, seconded by Councillor McRandal, that the recommendation be adopted.</w:t>
      </w:r>
    </w:p>
    <w:p w14:paraId="1C1CFAE4" w14:textId="77777777" w:rsidR="00190D6B" w:rsidRPr="00190D6B" w:rsidRDefault="00190D6B" w:rsidP="00190D6B">
      <w:pPr>
        <w:rPr>
          <w:rFonts w:eastAsia="Times New Roman" w:cs="Arial"/>
          <w:b/>
          <w:szCs w:val="24"/>
          <w:lang w:eastAsia="en-GB"/>
        </w:rPr>
      </w:pPr>
    </w:p>
    <w:p w14:paraId="1ED1CCDB" w14:textId="77777777" w:rsidR="00190D6B" w:rsidRPr="00190D6B" w:rsidRDefault="00190D6B" w:rsidP="00190D6B">
      <w:pPr>
        <w:keepNext/>
        <w:keepLines/>
        <w:outlineLvl w:val="0"/>
        <w:rPr>
          <w:rFonts w:eastAsia="Times New Roman"/>
          <w:b/>
          <w:caps/>
          <w:sz w:val="28"/>
          <w:szCs w:val="32"/>
          <w:u w:val="single"/>
        </w:rPr>
      </w:pPr>
      <w:r w:rsidRPr="00190D6B">
        <w:rPr>
          <w:rFonts w:eastAsia="Times New Roman"/>
          <w:b/>
          <w:caps/>
          <w:sz w:val="28"/>
          <w:szCs w:val="32"/>
        </w:rPr>
        <w:t>9.</w:t>
      </w:r>
      <w:r w:rsidRPr="00190D6B">
        <w:rPr>
          <w:rFonts w:eastAsia="Times New Roman"/>
          <w:b/>
          <w:caps/>
          <w:sz w:val="28"/>
          <w:szCs w:val="32"/>
        </w:rPr>
        <w:tab/>
      </w:r>
      <w:r w:rsidRPr="00190D6B">
        <w:rPr>
          <w:rFonts w:eastAsia="Times New Roman"/>
          <w:b/>
          <w:caps/>
          <w:sz w:val="28"/>
          <w:szCs w:val="32"/>
          <w:u w:val="single"/>
        </w:rPr>
        <w:t>Request for Civic Reception - RNLI</w:t>
      </w:r>
    </w:p>
    <w:p w14:paraId="71ACA0BB" w14:textId="77777777" w:rsidR="00190D6B" w:rsidRPr="00190D6B" w:rsidRDefault="00190D6B" w:rsidP="00190D6B">
      <w:pPr>
        <w:ind w:left="720"/>
        <w:rPr>
          <w:rFonts w:eastAsiaTheme="minorHAnsi" w:cs="Arial"/>
          <w:szCs w:val="24"/>
        </w:rPr>
      </w:pPr>
    </w:p>
    <w:p w14:paraId="069F2876" w14:textId="77777777" w:rsidR="00190D6B" w:rsidRPr="00190D6B" w:rsidRDefault="00190D6B" w:rsidP="00190D6B">
      <w:pPr>
        <w:rPr>
          <w:szCs w:val="24"/>
        </w:rPr>
      </w:pPr>
      <w:r w:rsidRPr="00190D6B">
        <w:rPr>
          <w:caps/>
          <w:szCs w:val="24"/>
        </w:rPr>
        <w:t>Previously circulated:-</w:t>
      </w:r>
      <w:r w:rsidRPr="00190D6B">
        <w:rPr>
          <w:szCs w:val="24"/>
        </w:rPr>
        <w:t xml:space="preserve"> Report from Director of Corporate Services a letter had been received from the Mayor, Councillor Jennifer Gilmour, Alderman Armstrong-Cotter and Councillor Cathcart requesting that the RNLI be considered for a civic reception to acknowledge its 200</w:t>
      </w:r>
      <w:r w:rsidRPr="00190D6B">
        <w:rPr>
          <w:szCs w:val="24"/>
          <w:vertAlign w:val="superscript"/>
        </w:rPr>
        <w:t>th</w:t>
      </w:r>
      <w:r w:rsidRPr="00190D6B">
        <w:rPr>
          <w:szCs w:val="24"/>
        </w:rPr>
        <w:t xml:space="preserve"> anniversary.  </w:t>
      </w:r>
    </w:p>
    <w:p w14:paraId="22DFFA88" w14:textId="77777777" w:rsidR="00190D6B" w:rsidRPr="00190D6B" w:rsidRDefault="00190D6B" w:rsidP="00190D6B">
      <w:pPr>
        <w:rPr>
          <w:szCs w:val="24"/>
        </w:rPr>
      </w:pPr>
    </w:p>
    <w:p w14:paraId="059AE7B6" w14:textId="77777777" w:rsidR="00190D6B" w:rsidRPr="00190D6B" w:rsidRDefault="00190D6B" w:rsidP="00190D6B">
      <w:pPr>
        <w:rPr>
          <w:szCs w:val="24"/>
        </w:rPr>
      </w:pPr>
      <w:r w:rsidRPr="00190D6B">
        <w:rPr>
          <w:szCs w:val="24"/>
        </w:rPr>
        <w:t>Members would note that the legacy Ards Borough Council and North Down Borough Council bestowed the Freedom of the Borough upon the RNLI - an honour that carried through to Ards and North Down Borough Council.</w:t>
      </w:r>
    </w:p>
    <w:p w14:paraId="22B7DC5A" w14:textId="77777777" w:rsidR="00190D6B" w:rsidRPr="00190D6B" w:rsidRDefault="00190D6B" w:rsidP="00190D6B">
      <w:pPr>
        <w:rPr>
          <w:szCs w:val="24"/>
        </w:rPr>
      </w:pPr>
      <w:r w:rsidRPr="00190D6B">
        <w:rPr>
          <w:szCs w:val="24"/>
        </w:rPr>
        <w:t> </w:t>
      </w:r>
    </w:p>
    <w:p w14:paraId="028D3B1F" w14:textId="77777777" w:rsidR="00190D6B" w:rsidRPr="00190D6B" w:rsidRDefault="00190D6B" w:rsidP="00190D6B">
      <w:pPr>
        <w:rPr>
          <w:szCs w:val="24"/>
        </w:rPr>
      </w:pPr>
      <w:r w:rsidRPr="00190D6B">
        <w:rPr>
          <w:szCs w:val="24"/>
        </w:rPr>
        <w:t>Members would be aware that the RNLI was also one of the Mayor’s chosen charities this year, in recognition of the selfless sacrifice of the crewmen and volunteers who were always on call.  There were lifeboat stations in Bangor, Donaghadee and Portaferry, covering the entire Borough and further afield.</w:t>
      </w:r>
    </w:p>
    <w:p w14:paraId="7F21C03E" w14:textId="77777777" w:rsidR="00190D6B" w:rsidRPr="00190D6B" w:rsidRDefault="00190D6B" w:rsidP="00190D6B">
      <w:pPr>
        <w:rPr>
          <w:szCs w:val="24"/>
        </w:rPr>
      </w:pPr>
      <w:r w:rsidRPr="00190D6B">
        <w:rPr>
          <w:szCs w:val="24"/>
        </w:rPr>
        <w:t>  </w:t>
      </w:r>
    </w:p>
    <w:p w14:paraId="4CD8FC44" w14:textId="77777777" w:rsidR="00190D6B" w:rsidRPr="00190D6B" w:rsidRDefault="00190D6B" w:rsidP="00190D6B">
      <w:pPr>
        <w:rPr>
          <w:szCs w:val="24"/>
        </w:rPr>
      </w:pPr>
      <w:r w:rsidRPr="00190D6B">
        <w:rPr>
          <w:szCs w:val="24"/>
        </w:rPr>
        <w:t>Officers were asked to liaise with the RNLI to ascertain if it has 200th birthday celebrations planned and to consider how the Council, in recognition of their status as freemen of our Borough, could celebrate this with them.</w:t>
      </w:r>
    </w:p>
    <w:p w14:paraId="3B52A348" w14:textId="77777777" w:rsidR="00190D6B" w:rsidRPr="00190D6B" w:rsidRDefault="00190D6B" w:rsidP="00190D6B">
      <w:pPr>
        <w:rPr>
          <w:szCs w:val="24"/>
        </w:rPr>
      </w:pPr>
    </w:p>
    <w:p w14:paraId="6C4ECE2E" w14:textId="77777777" w:rsidR="00190D6B" w:rsidRPr="00190D6B" w:rsidRDefault="00190D6B" w:rsidP="00190D6B">
      <w:pPr>
        <w:rPr>
          <w:b/>
          <w:bCs/>
          <w:szCs w:val="24"/>
        </w:rPr>
      </w:pPr>
      <w:r w:rsidRPr="00190D6B">
        <w:rPr>
          <w:b/>
          <w:bCs/>
          <w:szCs w:val="24"/>
        </w:rPr>
        <w:t xml:space="preserve">Council Policy on Civic Receptions </w:t>
      </w:r>
    </w:p>
    <w:p w14:paraId="2648B06D" w14:textId="77777777" w:rsidR="00190D6B" w:rsidRPr="00190D6B" w:rsidRDefault="00190D6B" w:rsidP="00190D6B">
      <w:pPr>
        <w:rPr>
          <w:szCs w:val="24"/>
        </w:rPr>
      </w:pPr>
      <w:r w:rsidRPr="00190D6B">
        <w:rPr>
          <w:szCs w:val="24"/>
        </w:rPr>
        <w:t xml:space="preserve">The Council’s policy for Civic Receptions required requests to be submitted in writing to the Chief Executive and signed by at least three Elected Members. The request, once received, was assessed against set criteria and an officer’s report, with an appropriate recommendation, was prepared for consideration by the Corporate Services Committee. </w:t>
      </w:r>
    </w:p>
    <w:p w14:paraId="4DA506DC" w14:textId="77777777" w:rsidR="00190D6B" w:rsidRPr="00190D6B" w:rsidRDefault="00190D6B" w:rsidP="00190D6B">
      <w:pPr>
        <w:rPr>
          <w:szCs w:val="24"/>
        </w:rPr>
      </w:pPr>
    </w:p>
    <w:p w14:paraId="4F0507C7" w14:textId="77777777" w:rsidR="00190D6B" w:rsidRPr="00190D6B" w:rsidRDefault="00190D6B" w:rsidP="00190D6B">
      <w:pPr>
        <w:rPr>
          <w:b/>
          <w:bCs/>
          <w:szCs w:val="24"/>
        </w:rPr>
      </w:pPr>
      <w:r w:rsidRPr="00190D6B">
        <w:rPr>
          <w:b/>
          <w:bCs/>
          <w:szCs w:val="24"/>
        </w:rPr>
        <w:t xml:space="preserve">Assessment Criteria </w:t>
      </w:r>
    </w:p>
    <w:p w14:paraId="0F083FAD" w14:textId="77777777" w:rsidR="00190D6B" w:rsidRPr="00190D6B" w:rsidRDefault="00190D6B" w:rsidP="00190D6B">
      <w:pPr>
        <w:rPr>
          <w:szCs w:val="24"/>
        </w:rPr>
      </w:pPr>
      <w:r w:rsidRPr="00190D6B">
        <w:rPr>
          <w:szCs w:val="24"/>
        </w:rPr>
        <w:t xml:space="preserve">The subject of requests needed one of the two criteria outlined below: - </w:t>
      </w:r>
    </w:p>
    <w:p w14:paraId="4A7F9648" w14:textId="77777777" w:rsidR="00190D6B" w:rsidRPr="00190D6B" w:rsidRDefault="00190D6B" w:rsidP="00190D6B">
      <w:pPr>
        <w:rPr>
          <w:szCs w:val="24"/>
        </w:rPr>
      </w:pPr>
      <w:r w:rsidRPr="00190D6B">
        <w:rPr>
          <w:szCs w:val="24"/>
        </w:rPr>
        <w:t xml:space="preserve">1. Demonstrate exceptional service to the Borough/Local Community and had a significant anniversary (the exceptional service should be in the areas of voluntary or charitable work. The anniversary should be a milestone of 25, 50 or 100 years). </w:t>
      </w:r>
    </w:p>
    <w:p w14:paraId="1BB5181B" w14:textId="77777777" w:rsidR="00190D6B" w:rsidRPr="00190D6B" w:rsidRDefault="00190D6B" w:rsidP="00190D6B">
      <w:pPr>
        <w:rPr>
          <w:szCs w:val="24"/>
        </w:rPr>
      </w:pPr>
      <w:r w:rsidRPr="00190D6B">
        <w:rPr>
          <w:szCs w:val="24"/>
        </w:rPr>
        <w:t xml:space="preserve">OR </w:t>
      </w:r>
    </w:p>
    <w:p w14:paraId="0D6A9662" w14:textId="77777777" w:rsidR="00190D6B" w:rsidRPr="00190D6B" w:rsidRDefault="00190D6B" w:rsidP="00190D6B">
      <w:pPr>
        <w:rPr>
          <w:szCs w:val="24"/>
        </w:rPr>
      </w:pPr>
      <w:r w:rsidRPr="00190D6B">
        <w:rPr>
          <w:szCs w:val="24"/>
        </w:rPr>
        <w:lastRenderedPageBreak/>
        <w:t xml:space="preserve">2. Mark a very significant or unique achievement. (Defined as an achievement which would be recognised throughout Northern Ireland and beyond and the recipient had a strong association within the Borough). </w:t>
      </w:r>
    </w:p>
    <w:p w14:paraId="4D17E785" w14:textId="77777777" w:rsidR="00190D6B" w:rsidRPr="00190D6B" w:rsidRDefault="00190D6B" w:rsidP="00190D6B">
      <w:pPr>
        <w:rPr>
          <w:szCs w:val="24"/>
        </w:rPr>
      </w:pPr>
    </w:p>
    <w:p w14:paraId="2919C2D1" w14:textId="77777777" w:rsidR="00190D6B" w:rsidRPr="00190D6B" w:rsidRDefault="00190D6B" w:rsidP="00190D6B">
      <w:pPr>
        <w:rPr>
          <w:szCs w:val="24"/>
        </w:rPr>
      </w:pPr>
      <w:bookmarkStart w:id="3" w:name="_Hlk148022191"/>
      <w:r w:rsidRPr="00190D6B">
        <w:rPr>
          <w:szCs w:val="24"/>
        </w:rPr>
        <w:t xml:space="preserve">It should be noted that the RNLI had already been in contact with Council officers in respect of its bicentenary and plans were in place for an Exhibition to be held in North Down Museum.  The intention was for the Exhibition to tour around the Borough visiting facilities in each of the Lifeboat locations – Bangor, Portaferry and Donaghadee.  A historical talk was also planned. </w:t>
      </w:r>
    </w:p>
    <w:bookmarkEnd w:id="3"/>
    <w:p w14:paraId="5C539C2C" w14:textId="77777777" w:rsidR="00190D6B" w:rsidRPr="00190D6B" w:rsidRDefault="00190D6B" w:rsidP="00190D6B">
      <w:pPr>
        <w:rPr>
          <w:szCs w:val="24"/>
        </w:rPr>
      </w:pPr>
    </w:p>
    <w:p w14:paraId="0E9B326F" w14:textId="77777777" w:rsidR="00190D6B" w:rsidRPr="00190D6B" w:rsidRDefault="00190D6B" w:rsidP="00190D6B">
      <w:pPr>
        <w:rPr>
          <w:szCs w:val="24"/>
        </w:rPr>
      </w:pPr>
      <w:r w:rsidRPr="00190D6B">
        <w:rPr>
          <w:szCs w:val="24"/>
        </w:rPr>
        <w:t xml:space="preserve">Plans were also in place for a concert, in aid of the Mayor’s Charities, to mark the bicentenary of the RNLI. Choirs from the RNLI locations - Bangor, Donaghadee and Portaferry would perform at the event.  This event was scheduled for May 2024. </w:t>
      </w:r>
    </w:p>
    <w:p w14:paraId="72EA75C2" w14:textId="77777777" w:rsidR="00190D6B" w:rsidRPr="00190D6B" w:rsidRDefault="00190D6B" w:rsidP="00190D6B">
      <w:pPr>
        <w:rPr>
          <w:szCs w:val="24"/>
        </w:rPr>
      </w:pPr>
    </w:p>
    <w:p w14:paraId="27B47E7A" w14:textId="77777777" w:rsidR="00190D6B" w:rsidRPr="00190D6B" w:rsidRDefault="00190D6B" w:rsidP="00190D6B">
      <w:pPr>
        <w:rPr>
          <w:szCs w:val="24"/>
        </w:rPr>
      </w:pPr>
      <w:r w:rsidRPr="00190D6B">
        <w:rPr>
          <w:szCs w:val="24"/>
        </w:rPr>
        <w:t xml:space="preserve">Members would be aware, that the Council had also approved the RNLI’s commemorative tree planting request, which would see 200 oak trees planted in Castle Park, Bangor.  </w:t>
      </w:r>
    </w:p>
    <w:p w14:paraId="5264D07B" w14:textId="77777777" w:rsidR="00190D6B" w:rsidRPr="00190D6B" w:rsidRDefault="00190D6B" w:rsidP="00190D6B">
      <w:pPr>
        <w:rPr>
          <w:szCs w:val="24"/>
        </w:rPr>
      </w:pPr>
    </w:p>
    <w:p w14:paraId="009EE770" w14:textId="77777777" w:rsidR="00190D6B" w:rsidRPr="00190D6B" w:rsidRDefault="00190D6B" w:rsidP="00190D6B">
      <w:pPr>
        <w:rPr>
          <w:szCs w:val="24"/>
        </w:rPr>
      </w:pPr>
      <w:r w:rsidRPr="00190D6B">
        <w:rPr>
          <w:szCs w:val="24"/>
        </w:rPr>
        <w:t xml:space="preserve">In respect of this request, it had been submitted in line with the agreed procedures and as 200 years was considered to be very significant milestone it was suggested that the request should be acceded to. </w:t>
      </w:r>
    </w:p>
    <w:p w14:paraId="6B21649D" w14:textId="77777777" w:rsidR="00190D6B" w:rsidRPr="00190D6B" w:rsidRDefault="00190D6B" w:rsidP="00190D6B">
      <w:pPr>
        <w:rPr>
          <w:szCs w:val="24"/>
        </w:rPr>
      </w:pPr>
    </w:p>
    <w:p w14:paraId="7B1DCC53" w14:textId="77777777" w:rsidR="00190D6B" w:rsidRPr="00190D6B" w:rsidRDefault="00190D6B" w:rsidP="00190D6B">
      <w:pPr>
        <w:rPr>
          <w:szCs w:val="24"/>
        </w:rPr>
      </w:pPr>
      <w:r w:rsidRPr="00190D6B">
        <w:rPr>
          <w:szCs w:val="24"/>
        </w:rPr>
        <w:t xml:space="preserve">Council Officers would liaise with the Councillors requesting the civic reception to discuss event options and remaining budget availability from the 22/23 civic budget. </w:t>
      </w:r>
    </w:p>
    <w:p w14:paraId="41348A1B" w14:textId="77777777" w:rsidR="00190D6B" w:rsidRPr="00190D6B" w:rsidRDefault="00190D6B" w:rsidP="00190D6B">
      <w:pPr>
        <w:rPr>
          <w:szCs w:val="24"/>
        </w:rPr>
      </w:pPr>
    </w:p>
    <w:p w14:paraId="17A314B0" w14:textId="77777777" w:rsidR="00190D6B" w:rsidRPr="00190D6B" w:rsidRDefault="00190D6B" w:rsidP="00190D6B">
      <w:pPr>
        <w:rPr>
          <w:szCs w:val="24"/>
        </w:rPr>
      </w:pPr>
      <w:r w:rsidRPr="00190D6B">
        <w:rPr>
          <w:szCs w:val="24"/>
        </w:rPr>
        <w:t>RECOMMENDED that the Council proceeds to offer the RNLI a Civic Reception to acknowledge its 200</w:t>
      </w:r>
      <w:r w:rsidRPr="00190D6B">
        <w:rPr>
          <w:szCs w:val="24"/>
          <w:vertAlign w:val="superscript"/>
        </w:rPr>
        <w:t>th</w:t>
      </w:r>
      <w:r w:rsidRPr="00190D6B">
        <w:rPr>
          <w:szCs w:val="24"/>
        </w:rPr>
        <w:t xml:space="preserve"> anniversary and proceeds to arrange same on a date to be agreed by relevant parties.</w:t>
      </w:r>
    </w:p>
    <w:p w14:paraId="665D6679" w14:textId="77777777" w:rsidR="00190D6B" w:rsidRPr="00190D6B" w:rsidRDefault="00190D6B" w:rsidP="00190D6B">
      <w:pPr>
        <w:rPr>
          <w:szCs w:val="24"/>
        </w:rPr>
      </w:pPr>
    </w:p>
    <w:p w14:paraId="28311530" w14:textId="77777777" w:rsidR="00190D6B" w:rsidRPr="00190D6B" w:rsidRDefault="00190D6B" w:rsidP="00190D6B">
      <w:pPr>
        <w:rPr>
          <w:szCs w:val="24"/>
        </w:rPr>
      </w:pPr>
      <w:r w:rsidRPr="00190D6B">
        <w:rPr>
          <w:szCs w:val="24"/>
        </w:rPr>
        <w:t>Proposed by Councillor Gilmour, seconded by Councillor McCracken, that the recommendation be adopted.</w:t>
      </w:r>
    </w:p>
    <w:p w14:paraId="7E06951F" w14:textId="77777777" w:rsidR="00190D6B" w:rsidRPr="00190D6B" w:rsidRDefault="00190D6B" w:rsidP="00190D6B">
      <w:pPr>
        <w:rPr>
          <w:szCs w:val="24"/>
        </w:rPr>
      </w:pPr>
    </w:p>
    <w:p w14:paraId="5D93B96D" w14:textId="77777777" w:rsidR="00190D6B" w:rsidRPr="00190D6B" w:rsidRDefault="00190D6B" w:rsidP="00190D6B">
      <w:r w:rsidRPr="00190D6B">
        <w:t>The Mayor, Councillor Gilmour, explained at the outset that the RNLI was one of the three charities that she had chosen to support during her Mayoral term. She felt that did not require her to make a declaration of interest and exclude herself from the discussion as she was not benefiting personally.</w:t>
      </w:r>
    </w:p>
    <w:p w14:paraId="073D6B7C" w14:textId="77777777" w:rsidR="00190D6B" w:rsidRPr="00190D6B" w:rsidRDefault="00190D6B" w:rsidP="00190D6B"/>
    <w:p w14:paraId="5A512234" w14:textId="77777777" w:rsidR="00190D6B" w:rsidRPr="00190D6B" w:rsidRDefault="00190D6B" w:rsidP="00190D6B">
      <w:r w:rsidRPr="00190D6B">
        <w:t xml:space="preserve">The Mayor paid tribute to the work of the RNLI and its volunteers who were vitally important to the community given the Borough had a significant stretch of coastline which posed a risk to the lives of residents. The RNLI responded to calls day and night, 365 days a year, responding both locally and assisting in incidents further afield. </w:t>
      </w:r>
    </w:p>
    <w:p w14:paraId="7599FA88" w14:textId="77777777" w:rsidR="00190D6B" w:rsidRPr="00190D6B" w:rsidRDefault="00190D6B" w:rsidP="00190D6B"/>
    <w:p w14:paraId="2F2D24D9" w14:textId="77777777" w:rsidR="00190D6B" w:rsidRPr="00190D6B" w:rsidRDefault="00190D6B" w:rsidP="00190D6B">
      <w:r w:rsidRPr="00190D6B">
        <w:t>The Mayor recalled that the organisation was previously awarded Freedom of the Borough by both legacy Councils, an honour which extended to the existing Council. She spoke of the significance of a 200-year anniversary, particularly for an organisation made up of volunteers who served entirely selflessly.</w:t>
      </w:r>
    </w:p>
    <w:p w14:paraId="71EB72F8" w14:textId="77777777" w:rsidR="00190D6B" w:rsidRPr="00190D6B" w:rsidRDefault="00190D6B" w:rsidP="00190D6B"/>
    <w:p w14:paraId="70A681A3" w14:textId="77777777" w:rsidR="00190D6B" w:rsidRPr="00190D6B" w:rsidRDefault="00190D6B" w:rsidP="00190D6B">
      <w:r w:rsidRPr="00190D6B">
        <w:t xml:space="preserve">Reflecting on the history of the organisation locally, she was mindful of the Sir Samuel Kelly lifeboat which had responded to the Princess Victoria disaster. It was a </w:t>
      </w:r>
      <w:r w:rsidRPr="00190D6B">
        <w:lastRenderedPageBreak/>
        <w:t>very simple boat compared to the modern boat that was now in operation in Donaghadee but that boat was no use without the brave men and women who volunteered.</w:t>
      </w:r>
    </w:p>
    <w:p w14:paraId="3EC839A2" w14:textId="77777777" w:rsidR="00190D6B" w:rsidRPr="00190D6B" w:rsidRDefault="00190D6B" w:rsidP="00190D6B">
      <w:r w:rsidRPr="00190D6B">
        <w:t>Having made the initial request for a civic reception, the Mayor added that she was more than happy to propose the recommendation and alerted Members to a fundraising concert that she was organising as Mayor for the RNLI of which details would follow.</w:t>
      </w:r>
    </w:p>
    <w:p w14:paraId="2257D997" w14:textId="77777777" w:rsidR="00190D6B" w:rsidRPr="00190D6B" w:rsidRDefault="00190D6B" w:rsidP="00190D6B"/>
    <w:p w14:paraId="1F433240" w14:textId="77777777" w:rsidR="00190D6B" w:rsidRPr="00190D6B" w:rsidRDefault="00190D6B" w:rsidP="00190D6B">
      <w:r w:rsidRPr="00190D6B">
        <w:t>The seconder, Councillor McCracken, paid further tribute to the organisation, pointing to the importance of the sea to the local area which could been seen from nearly all areas of the Borough and was used by many for water sports. The men and women of the RNLI provided a valuable service and it was important that Council did something special to mark what was a significant anniversary.</w:t>
      </w:r>
    </w:p>
    <w:p w14:paraId="6FEB8429" w14:textId="77777777" w:rsidR="00190D6B" w:rsidRPr="00190D6B" w:rsidRDefault="00190D6B" w:rsidP="00190D6B">
      <w:pPr>
        <w:rPr>
          <w:b/>
          <w:bCs/>
        </w:rPr>
      </w:pPr>
    </w:p>
    <w:p w14:paraId="3939FA9A" w14:textId="77777777" w:rsidR="00190D6B" w:rsidRPr="00190D6B" w:rsidRDefault="00190D6B" w:rsidP="00190D6B">
      <w:pPr>
        <w:rPr>
          <w:b/>
          <w:bCs/>
        </w:rPr>
      </w:pPr>
      <w:r w:rsidRPr="00190D6B">
        <w:rPr>
          <w:b/>
          <w:bCs/>
        </w:rPr>
        <w:t>AGREED TO RECOMMEND, on the proposal of Councillor Gilmour, seconded by Councillor McCracken, that the recommendation be adopted.</w:t>
      </w:r>
    </w:p>
    <w:p w14:paraId="004FBA65" w14:textId="77777777" w:rsidR="00190D6B" w:rsidRPr="00190D6B" w:rsidRDefault="00190D6B" w:rsidP="00190D6B">
      <w:pPr>
        <w:rPr>
          <w:rFonts w:eastAsia="Times New Roman" w:cs="Arial"/>
          <w:b/>
          <w:szCs w:val="24"/>
          <w:lang w:eastAsia="en-GB"/>
        </w:rPr>
      </w:pPr>
    </w:p>
    <w:p w14:paraId="0DAE5D02" w14:textId="77777777" w:rsidR="00190D6B" w:rsidRPr="00190D6B" w:rsidRDefault="00190D6B" w:rsidP="00190D6B">
      <w:pPr>
        <w:keepNext/>
        <w:keepLines/>
        <w:outlineLvl w:val="0"/>
        <w:rPr>
          <w:rFonts w:eastAsia="Times New Roman"/>
          <w:b/>
          <w:caps/>
          <w:sz w:val="28"/>
          <w:szCs w:val="32"/>
          <w:u w:val="single"/>
        </w:rPr>
      </w:pPr>
      <w:r w:rsidRPr="00190D6B">
        <w:rPr>
          <w:rFonts w:eastAsia="Times New Roman"/>
          <w:b/>
          <w:caps/>
          <w:sz w:val="28"/>
          <w:szCs w:val="32"/>
        </w:rPr>
        <w:t>10.</w:t>
      </w:r>
      <w:r w:rsidRPr="00190D6B">
        <w:rPr>
          <w:rFonts w:eastAsia="Times New Roman"/>
          <w:b/>
          <w:caps/>
          <w:sz w:val="28"/>
          <w:szCs w:val="32"/>
        </w:rPr>
        <w:tab/>
      </w:r>
      <w:r w:rsidRPr="00190D6B">
        <w:rPr>
          <w:rFonts w:eastAsia="Times New Roman"/>
          <w:b/>
          <w:caps/>
          <w:sz w:val="28"/>
          <w:szCs w:val="32"/>
          <w:u w:val="single"/>
        </w:rPr>
        <w:t>Land and Property Policy</w:t>
      </w:r>
    </w:p>
    <w:p w14:paraId="7532BE90" w14:textId="77777777" w:rsidR="00190D6B" w:rsidRPr="00190D6B" w:rsidRDefault="00190D6B" w:rsidP="00190D6B">
      <w:pPr>
        <w:ind w:left="720"/>
        <w:rPr>
          <w:rFonts w:eastAsiaTheme="minorHAnsi" w:cs="Arial"/>
          <w:szCs w:val="24"/>
        </w:rPr>
      </w:pPr>
      <w:r w:rsidRPr="00190D6B">
        <w:rPr>
          <w:rFonts w:eastAsiaTheme="minorHAnsi" w:cs="Arial"/>
          <w:szCs w:val="24"/>
        </w:rPr>
        <w:t>(Appendix IX)</w:t>
      </w:r>
    </w:p>
    <w:p w14:paraId="36C5824C" w14:textId="77777777" w:rsidR="00190D6B" w:rsidRPr="00190D6B" w:rsidRDefault="00190D6B" w:rsidP="00190D6B">
      <w:pPr>
        <w:ind w:left="720"/>
        <w:rPr>
          <w:rFonts w:eastAsiaTheme="minorHAnsi" w:cs="Arial"/>
          <w:szCs w:val="24"/>
        </w:rPr>
      </w:pPr>
    </w:p>
    <w:p w14:paraId="52245D86" w14:textId="77777777" w:rsidR="00190D6B" w:rsidRPr="00190D6B" w:rsidRDefault="00190D6B" w:rsidP="00190D6B">
      <w:pPr>
        <w:rPr>
          <w:szCs w:val="24"/>
        </w:rPr>
      </w:pPr>
      <w:r w:rsidRPr="00190D6B">
        <w:rPr>
          <w:caps/>
          <w:szCs w:val="24"/>
        </w:rPr>
        <w:t>Previously circulated:-</w:t>
      </w:r>
      <w:r w:rsidRPr="00190D6B">
        <w:rPr>
          <w:szCs w:val="24"/>
        </w:rPr>
        <w:t xml:space="preserve"> Report from Director of Corporate Services that the Council’s current Land and Property policy was last reviewed in April 2016. It provided a high-level overview of Council’s approach to management of its land and property assets, but it lacked detail and clarity in several key areas and consequently was the subject of a number of external audit recommendations (13 recommendations in total were linked either directly or indirectly to the policy). Further to this, the policy underwent a thorough review, and, in its place, a new and comprehensive Land and Property policy had been drafted, a copy of which was attached. </w:t>
      </w:r>
    </w:p>
    <w:p w14:paraId="5824B532" w14:textId="77777777" w:rsidR="00190D6B" w:rsidRPr="00190D6B" w:rsidRDefault="00190D6B" w:rsidP="00190D6B">
      <w:pPr>
        <w:rPr>
          <w:szCs w:val="24"/>
        </w:rPr>
      </w:pPr>
    </w:p>
    <w:p w14:paraId="13481F00" w14:textId="77777777" w:rsidR="00190D6B" w:rsidRPr="00190D6B" w:rsidRDefault="00190D6B" w:rsidP="00190D6B">
      <w:pPr>
        <w:rPr>
          <w:szCs w:val="24"/>
        </w:rPr>
      </w:pPr>
      <w:r w:rsidRPr="00190D6B">
        <w:rPr>
          <w:szCs w:val="24"/>
        </w:rPr>
        <w:t xml:space="preserve">The policy review was undertaken by the Compliance team who had experience of and responsibility for progressing lands matters and who liaised regularly with internal and external stakeholders. In drafting the new policy, officers drew upon their knowledge of various issues that had arisen which would have been simpler to resolve or progress if the current policy was more detailed or clearly defined. Officers reviewed the legislative framework and undertook desktop research to ensure best practice was incorporated into the document. This included a review of the policies in place in some of the other Councils in Northern Ireland, guidance documents from central government, the findings of the Council’s external auditor, and the Northern Ireland Audit Office extraordinary audit of Causeway Coast and Glens Borough Council which set out a series of findings and recommendations in relation to land disposals and easements, and related asset management policies and procedures. The draft policy was issued via an internal consultation to all Service Unit Managers, Heads of Service and CLT, and the Compliance Manager held discussions with management in the main service areas affected by the policy, with the final draft policy reflecting the feedback received. </w:t>
      </w:r>
    </w:p>
    <w:p w14:paraId="50DA02B0" w14:textId="77777777" w:rsidR="00190D6B" w:rsidRPr="00190D6B" w:rsidRDefault="00190D6B" w:rsidP="00190D6B">
      <w:pPr>
        <w:rPr>
          <w:szCs w:val="24"/>
        </w:rPr>
      </w:pPr>
    </w:p>
    <w:p w14:paraId="56A602E9" w14:textId="77777777" w:rsidR="00190D6B" w:rsidRPr="00190D6B" w:rsidRDefault="00190D6B" w:rsidP="00190D6B">
      <w:pPr>
        <w:rPr>
          <w:b/>
          <w:bCs/>
          <w:szCs w:val="24"/>
          <w:u w:val="single"/>
        </w:rPr>
      </w:pPr>
      <w:r w:rsidRPr="00190D6B">
        <w:rPr>
          <w:b/>
          <w:bCs/>
          <w:szCs w:val="24"/>
          <w:u w:val="single"/>
        </w:rPr>
        <w:t>Overview</w:t>
      </w:r>
    </w:p>
    <w:p w14:paraId="39CA90D7" w14:textId="77777777" w:rsidR="00190D6B" w:rsidRPr="00190D6B" w:rsidRDefault="00190D6B" w:rsidP="00190D6B">
      <w:pPr>
        <w:rPr>
          <w:b/>
          <w:bCs/>
          <w:szCs w:val="24"/>
          <w:u w:val="single"/>
        </w:rPr>
      </w:pPr>
    </w:p>
    <w:p w14:paraId="2B236D09" w14:textId="77777777" w:rsidR="00190D6B" w:rsidRPr="00190D6B" w:rsidRDefault="00190D6B" w:rsidP="00190D6B">
      <w:pPr>
        <w:rPr>
          <w:szCs w:val="24"/>
        </w:rPr>
      </w:pPr>
      <w:r w:rsidRPr="00190D6B">
        <w:rPr>
          <w:szCs w:val="24"/>
        </w:rPr>
        <w:lastRenderedPageBreak/>
        <w:t xml:space="preserve">The principles and processes that were set out in the draft policy were mostly already followed by Council when dealing with land matters, but the current policy did not provide much detail in relation to these. Therefore, the draft policy was ‘new’ in the sense that it would be the first time a lot of this information had been documented in writing, as opposed to it signalling a change in how Council managed its land and property portfolio. </w:t>
      </w:r>
    </w:p>
    <w:p w14:paraId="091ABF73" w14:textId="77777777" w:rsidR="00190D6B" w:rsidRPr="00190D6B" w:rsidRDefault="00190D6B" w:rsidP="00190D6B">
      <w:pPr>
        <w:rPr>
          <w:szCs w:val="24"/>
        </w:rPr>
      </w:pPr>
    </w:p>
    <w:p w14:paraId="622F55B3" w14:textId="77777777" w:rsidR="00190D6B" w:rsidRPr="00190D6B" w:rsidRDefault="00190D6B" w:rsidP="00190D6B">
      <w:pPr>
        <w:rPr>
          <w:szCs w:val="24"/>
        </w:rPr>
      </w:pPr>
      <w:r w:rsidRPr="00190D6B">
        <w:rPr>
          <w:szCs w:val="24"/>
        </w:rPr>
        <w:t xml:space="preserve">The draft policy aimed to set out the framework </w:t>
      </w:r>
      <w:r w:rsidRPr="00190D6B">
        <w:rPr>
          <w:bCs/>
          <w:szCs w:val="24"/>
        </w:rPr>
        <w:t>the</w:t>
      </w:r>
      <w:r w:rsidRPr="00190D6B">
        <w:rPr>
          <w:szCs w:val="24"/>
        </w:rPr>
        <w:t xml:space="preserve"> Council follows in relation to four main types of land and property transactions:</w:t>
      </w:r>
    </w:p>
    <w:p w14:paraId="4CF79356" w14:textId="77777777" w:rsidR="00190D6B" w:rsidRPr="00190D6B" w:rsidRDefault="00190D6B" w:rsidP="00190D6B">
      <w:pPr>
        <w:rPr>
          <w:szCs w:val="24"/>
        </w:rPr>
      </w:pPr>
    </w:p>
    <w:p w14:paraId="50DC25E1" w14:textId="77777777" w:rsidR="00190D6B" w:rsidRPr="00190D6B" w:rsidRDefault="00190D6B" w:rsidP="00874464">
      <w:pPr>
        <w:numPr>
          <w:ilvl w:val="0"/>
          <w:numId w:val="9"/>
        </w:numPr>
        <w:rPr>
          <w:bCs/>
          <w:szCs w:val="24"/>
        </w:rPr>
      </w:pPr>
      <w:r w:rsidRPr="00190D6B">
        <w:rPr>
          <w:b/>
          <w:szCs w:val="24"/>
        </w:rPr>
        <w:t>Acquisition of land and property</w:t>
      </w:r>
      <w:r w:rsidRPr="00190D6B">
        <w:rPr>
          <w:bCs/>
          <w:szCs w:val="24"/>
        </w:rPr>
        <w:t xml:space="preserve"> (sections 6 and 8) – this set out the procedures to be followed if Council was considering acquiring land or property for any purpose. It cross references the Council’s Asset Management Strategy, </w:t>
      </w:r>
      <w:r w:rsidRPr="00190D6B">
        <w:rPr>
          <w:szCs w:val="24"/>
        </w:rPr>
        <w:t>in particular the principle that assets should only be acquired where they were “required to allow Council to meet identifiable needs, in an economic, efficient and effective way, in order to achieve its stated outcomes.”</w:t>
      </w:r>
      <w:r w:rsidRPr="00190D6B">
        <w:rPr>
          <w:bCs/>
          <w:szCs w:val="24"/>
        </w:rPr>
        <w:t xml:space="preserve"> </w:t>
      </w:r>
    </w:p>
    <w:p w14:paraId="28A60833" w14:textId="77777777" w:rsidR="00190D6B" w:rsidRPr="00190D6B" w:rsidRDefault="00190D6B" w:rsidP="00190D6B">
      <w:pPr>
        <w:rPr>
          <w:bCs/>
          <w:szCs w:val="24"/>
        </w:rPr>
      </w:pPr>
    </w:p>
    <w:p w14:paraId="04954FBE" w14:textId="77777777" w:rsidR="00190D6B" w:rsidRPr="00190D6B" w:rsidRDefault="00190D6B" w:rsidP="00874464">
      <w:pPr>
        <w:numPr>
          <w:ilvl w:val="0"/>
          <w:numId w:val="9"/>
        </w:numPr>
        <w:rPr>
          <w:bCs/>
          <w:szCs w:val="24"/>
        </w:rPr>
      </w:pPr>
      <w:r w:rsidRPr="00190D6B">
        <w:rPr>
          <w:b/>
          <w:szCs w:val="24"/>
        </w:rPr>
        <w:t>Disposal of land and property</w:t>
      </w:r>
      <w:r w:rsidRPr="00190D6B">
        <w:rPr>
          <w:bCs/>
          <w:szCs w:val="24"/>
        </w:rPr>
        <w:t xml:space="preserve"> (section 7) - this set out the procedures to be followed if Council is considering disposing of land or property and it also cross-referenced the Council’s Asset Management Strategy. </w:t>
      </w:r>
    </w:p>
    <w:p w14:paraId="6F20DCE0" w14:textId="77777777" w:rsidR="00190D6B" w:rsidRPr="00190D6B" w:rsidRDefault="00190D6B" w:rsidP="00190D6B">
      <w:pPr>
        <w:rPr>
          <w:bCs/>
          <w:szCs w:val="24"/>
        </w:rPr>
      </w:pPr>
    </w:p>
    <w:p w14:paraId="5AC667B2" w14:textId="77777777" w:rsidR="00190D6B" w:rsidRPr="00190D6B" w:rsidRDefault="00190D6B" w:rsidP="00190D6B">
      <w:pPr>
        <w:rPr>
          <w:bCs/>
          <w:szCs w:val="24"/>
        </w:rPr>
      </w:pPr>
      <w:r w:rsidRPr="00190D6B">
        <w:rPr>
          <w:bCs/>
          <w:szCs w:val="24"/>
        </w:rPr>
        <w:t xml:space="preserve">Disposals may have occurred through the proactive identification of land that was ‘surplus to requirements’, and this would take place in a managed way through the recently established Estates Development Programme Board. Another reason Council may be considering disposing of land was following a request from a third-party. Such requests were regularly for small parcels of land, and often in the context of people wishing to extend their back garden. Processing such requests was reactive rather than proactive (i.e. Council hadn’t already identified the land as surplus) and could be resource intensive for little financial reward. To better manage this, the draft policy provided for the introduction of a new system whereby third-party requests would be processed by officers at six monthly intervals, rather than being processed immediately upon receipt (although there would be discretion to consider requests sooner than the next six-monthly date in exceptional circumstances). </w:t>
      </w:r>
    </w:p>
    <w:p w14:paraId="08850E47" w14:textId="77777777" w:rsidR="00190D6B" w:rsidRPr="00190D6B" w:rsidRDefault="00190D6B" w:rsidP="00190D6B">
      <w:pPr>
        <w:rPr>
          <w:bCs/>
          <w:szCs w:val="24"/>
        </w:rPr>
      </w:pPr>
    </w:p>
    <w:p w14:paraId="738181DF" w14:textId="77777777" w:rsidR="00190D6B" w:rsidRPr="00190D6B" w:rsidRDefault="00190D6B" w:rsidP="00190D6B">
      <w:pPr>
        <w:rPr>
          <w:bCs/>
          <w:szCs w:val="24"/>
        </w:rPr>
      </w:pPr>
      <w:r w:rsidRPr="00190D6B">
        <w:rPr>
          <w:bCs/>
          <w:szCs w:val="24"/>
        </w:rPr>
        <w:t xml:space="preserve">The sale price of any disposal should be determined by the Council’s Valuer (Land and Property Services). The draft policy provided that the default method of disposal would be by listing the land for sale on the open market as this is fair and transparent, and it will usually ensure Council achieved best value which was a statutory requirement when disposing of land (if Council proposed to sell or lease land for less than best value, it must seek the consent of the Department for Communities). There would be circumstances where Council may be advised by its Valuer that best value would be achieved by an alternative method of disposal such as by direct sale to a special purchaser (it may have been, for example, that the land was landlocked and only an adjacent landowner could access it, therefore they would pay a higher value than the open market would attract). Other circumstances where Council might not wish to put the land or property on the open market may have been that it was being disposed of as part of a Development Agreement, or that agreement had been reached to dispose of the land to a partner agency. In any such </w:t>
      </w:r>
      <w:r w:rsidRPr="00190D6B">
        <w:rPr>
          <w:bCs/>
          <w:szCs w:val="24"/>
        </w:rPr>
        <w:lastRenderedPageBreak/>
        <w:t xml:space="preserve">cases, Council would be informed before making any decisions by its professional advisors (legal and valuation) and if there was to be a disposal of the land at ‘less than best value’, then the approval of the Department would be sought. </w:t>
      </w:r>
    </w:p>
    <w:p w14:paraId="4A603E2C" w14:textId="77777777" w:rsidR="00190D6B" w:rsidRPr="00190D6B" w:rsidRDefault="00190D6B" w:rsidP="00190D6B">
      <w:pPr>
        <w:rPr>
          <w:bCs/>
          <w:szCs w:val="24"/>
        </w:rPr>
      </w:pPr>
    </w:p>
    <w:p w14:paraId="693E090E" w14:textId="77777777" w:rsidR="00190D6B" w:rsidRPr="00190D6B" w:rsidRDefault="00190D6B" w:rsidP="00874464">
      <w:pPr>
        <w:numPr>
          <w:ilvl w:val="0"/>
          <w:numId w:val="9"/>
        </w:numPr>
        <w:rPr>
          <w:bCs/>
          <w:szCs w:val="24"/>
        </w:rPr>
      </w:pPr>
      <w:r w:rsidRPr="00190D6B">
        <w:rPr>
          <w:b/>
          <w:szCs w:val="24"/>
        </w:rPr>
        <w:t>Leases and Licences</w:t>
      </w:r>
      <w:r w:rsidRPr="00190D6B">
        <w:rPr>
          <w:bCs/>
          <w:szCs w:val="24"/>
        </w:rPr>
        <w:t xml:space="preserve"> (section 9) this set out the procedures to be followed if Council was considering granting a lease or licence in relation to land or property. It also set out the governance arrangements in place to ensure that existing arrangements were appropriately managed, that rent reviews and lease renewals were instigated in a timely manner, that Landlord/Tenant responsibilities as regards maintenance and repairs were clearly defined and enforced, and that periodic inspections took place to ensure Tenants were keeping property in good condition. </w:t>
      </w:r>
    </w:p>
    <w:p w14:paraId="0BEE4D95" w14:textId="77777777" w:rsidR="00190D6B" w:rsidRPr="00190D6B" w:rsidRDefault="00190D6B" w:rsidP="00190D6B">
      <w:pPr>
        <w:rPr>
          <w:b/>
          <w:szCs w:val="24"/>
        </w:rPr>
      </w:pPr>
    </w:p>
    <w:p w14:paraId="50230B65" w14:textId="77777777" w:rsidR="00190D6B" w:rsidRPr="00190D6B" w:rsidRDefault="00190D6B" w:rsidP="00190D6B">
      <w:pPr>
        <w:rPr>
          <w:bCs/>
          <w:szCs w:val="24"/>
        </w:rPr>
      </w:pPr>
      <w:r w:rsidRPr="00190D6B">
        <w:rPr>
          <w:bCs/>
          <w:szCs w:val="24"/>
        </w:rPr>
        <w:t xml:space="preserve">Of the 13 outstanding lands external audit recommendations, 11 relate to Council’s management of leases, so it was hoped that through the introduction of this much more detailed policy, which clearly defined roles and responsibilities, in conjunction with an updated lease/licence register, that the external audit recommendations would be deemed by the auditors to be implemented. An update in this regard would be brought to the Audit Committee in December 2023. </w:t>
      </w:r>
    </w:p>
    <w:p w14:paraId="6B78F95B" w14:textId="77777777" w:rsidR="00190D6B" w:rsidRPr="00190D6B" w:rsidRDefault="00190D6B" w:rsidP="00190D6B">
      <w:pPr>
        <w:rPr>
          <w:bCs/>
          <w:szCs w:val="24"/>
        </w:rPr>
      </w:pPr>
    </w:p>
    <w:p w14:paraId="1B0305D5" w14:textId="77777777" w:rsidR="00190D6B" w:rsidRPr="00190D6B" w:rsidRDefault="00190D6B" w:rsidP="00874464">
      <w:pPr>
        <w:numPr>
          <w:ilvl w:val="0"/>
          <w:numId w:val="9"/>
        </w:numPr>
        <w:rPr>
          <w:bCs/>
          <w:szCs w:val="24"/>
        </w:rPr>
      </w:pPr>
      <w:r w:rsidRPr="00190D6B">
        <w:rPr>
          <w:b/>
          <w:szCs w:val="24"/>
        </w:rPr>
        <w:t>Requests to use land and property</w:t>
      </w:r>
      <w:r w:rsidRPr="00190D6B">
        <w:rPr>
          <w:bCs/>
          <w:szCs w:val="24"/>
        </w:rPr>
        <w:t xml:space="preserve"> (section 10) – hundreds of requests from third parties who wished to use Council land were processed every year (nearly 300 so far in 2023), for a wide range of reasons, and from a wide range of individuals/organisations. Officers had delegated authority to give permission where appropriate for most of those requests, but where a formal licence was to be put in place for the use (e.g., for larger commercial events such as funfairs or the international market), Council authority must have been obtained as a licence was a legal agreement drawn up by solicitors and requiring the Chief Executive’s signature on behalf of the Council. </w:t>
      </w:r>
    </w:p>
    <w:p w14:paraId="5E0373E6" w14:textId="77777777" w:rsidR="00190D6B" w:rsidRPr="00190D6B" w:rsidRDefault="00190D6B" w:rsidP="00190D6B">
      <w:pPr>
        <w:rPr>
          <w:b/>
          <w:szCs w:val="24"/>
        </w:rPr>
      </w:pPr>
    </w:p>
    <w:p w14:paraId="45822F3F" w14:textId="77777777" w:rsidR="00190D6B" w:rsidRPr="00190D6B" w:rsidRDefault="00190D6B" w:rsidP="00190D6B">
      <w:pPr>
        <w:rPr>
          <w:bCs/>
          <w:szCs w:val="24"/>
        </w:rPr>
      </w:pPr>
      <w:r w:rsidRPr="00190D6B">
        <w:rPr>
          <w:bCs/>
          <w:szCs w:val="24"/>
        </w:rPr>
        <w:t xml:space="preserve">The draft policy set out the time frames within which use of land requests should be made, the process that would be followed by officers in granting approval or declining requests, and it attached in the appendices a range of terms and conditions that would be tailored to the request if approval was being given. </w:t>
      </w:r>
    </w:p>
    <w:p w14:paraId="2E5B64EC" w14:textId="77777777" w:rsidR="00190D6B" w:rsidRPr="00190D6B" w:rsidRDefault="00190D6B" w:rsidP="00190D6B">
      <w:pPr>
        <w:rPr>
          <w:bCs/>
          <w:szCs w:val="24"/>
        </w:rPr>
      </w:pPr>
    </w:p>
    <w:p w14:paraId="033B6DD5" w14:textId="77777777" w:rsidR="00190D6B" w:rsidRPr="00190D6B" w:rsidRDefault="00190D6B" w:rsidP="00190D6B">
      <w:pPr>
        <w:rPr>
          <w:bCs/>
          <w:szCs w:val="24"/>
        </w:rPr>
      </w:pPr>
      <w:r w:rsidRPr="00190D6B">
        <w:rPr>
          <w:bCs/>
          <w:szCs w:val="24"/>
        </w:rPr>
        <w:t xml:space="preserve">The terms of reference for the Safety Advisory Group (SAG) (these had already been agreed by Council) were attached to the draft policy. </w:t>
      </w:r>
      <w:r w:rsidRPr="00190D6B">
        <w:rPr>
          <w:szCs w:val="24"/>
        </w:rPr>
        <w:t>The SAG provided a quality assurance process in terms of the safety arrangements for events by bringing together as required officers of the Council, police, fire and ambulance services and other relevant partners. The aim of the SAG was to consider the event safety plan submitted by the organiser and offered advice in order to ensure the highest possible standards of public safety at events and to encourage the wellbeing of those that could be affected by the event. The draft Land and Property policy provided that where appropriate, some event organisers would be required to participate in a SAG as a condition of approval to use Council land for the event. This would signal a new approach to giving lands approval for events considered higher risk, and it was hoped it would assist event organisers with submitting timely and high-quality event management plans and risk assessments, with input at an early stage from all relevant partners.</w:t>
      </w:r>
    </w:p>
    <w:p w14:paraId="19F12B6B" w14:textId="77777777" w:rsidR="00190D6B" w:rsidRPr="00190D6B" w:rsidRDefault="00190D6B" w:rsidP="00190D6B">
      <w:pPr>
        <w:rPr>
          <w:bCs/>
          <w:szCs w:val="24"/>
        </w:rPr>
      </w:pPr>
    </w:p>
    <w:p w14:paraId="541B73B3" w14:textId="77777777" w:rsidR="00190D6B" w:rsidRPr="00190D6B" w:rsidRDefault="00190D6B" w:rsidP="00190D6B">
      <w:pPr>
        <w:rPr>
          <w:szCs w:val="24"/>
        </w:rPr>
      </w:pPr>
      <w:r w:rsidRPr="00190D6B">
        <w:rPr>
          <w:bCs/>
          <w:szCs w:val="24"/>
        </w:rPr>
        <w:lastRenderedPageBreak/>
        <w:t xml:space="preserve">In addition to setting out how Council would process the 4 main types of land transaction as referenced above, the policy also set out governance information in relation to roles and responsibilities of officers (section 3); the use of legal and valuation services (section 4); record keeping (section 5.1); how Council would protect its land from unauthorised encroachments (sections 5.3 and 5.4); and </w:t>
      </w:r>
      <w:r w:rsidRPr="00190D6B">
        <w:rPr>
          <w:szCs w:val="24"/>
        </w:rPr>
        <w:t xml:space="preserve">the need for officers progressing land transactions to consult with and keep key service areas such as Finance and Risk informed throughout (section 5.5). The latter point was emphasised throughout the policy, as was the need to seek legal and valuation advice when required, as the importance of ensuring legal and financial regularity and best practice in all land dealings could not be over-stated. </w:t>
      </w:r>
    </w:p>
    <w:p w14:paraId="3C3283FA" w14:textId="77777777" w:rsidR="00190D6B" w:rsidRPr="00190D6B" w:rsidRDefault="00190D6B" w:rsidP="00190D6B">
      <w:pPr>
        <w:rPr>
          <w:szCs w:val="24"/>
        </w:rPr>
      </w:pPr>
    </w:p>
    <w:p w14:paraId="78FDE183" w14:textId="77777777" w:rsidR="00190D6B" w:rsidRPr="00190D6B" w:rsidRDefault="00190D6B" w:rsidP="00190D6B">
      <w:pPr>
        <w:rPr>
          <w:b/>
          <w:bCs/>
          <w:szCs w:val="24"/>
          <w:u w:val="single"/>
        </w:rPr>
      </w:pPr>
      <w:r w:rsidRPr="00190D6B">
        <w:rPr>
          <w:b/>
          <w:bCs/>
          <w:szCs w:val="24"/>
          <w:u w:val="single"/>
        </w:rPr>
        <w:t>Abatement Policy</w:t>
      </w:r>
    </w:p>
    <w:p w14:paraId="3EC15AAC" w14:textId="77777777" w:rsidR="00190D6B" w:rsidRPr="00190D6B" w:rsidRDefault="00190D6B" w:rsidP="00190D6B">
      <w:pPr>
        <w:rPr>
          <w:szCs w:val="24"/>
        </w:rPr>
      </w:pPr>
    </w:p>
    <w:p w14:paraId="1AC04A89" w14:textId="77777777" w:rsidR="00190D6B" w:rsidRPr="00190D6B" w:rsidRDefault="00190D6B" w:rsidP="00190D6B">
      <w:pPr>
        <w:rPr>
          <w:szCs w:val="24"/>
        </w:rPr>
      </w:pPr>
      <w:r w:rsidRPr="00190D6B">
        <w:rPr>
          <w:szCs w:val="24"/>
        </w:rPr>
        <w:t>The current Land and Property Policy provided:</w:t>
      </w:r>
    </w:p>
    <w:p w14:paraId="5DF81946" w14:textId="77777777" w:rsidR="00190D6B" w:rsidRPr="00190D6B" w:rsidRDefault="00190D6B" w:rsidP="00190D6B">
      <w:pPr>
        <w:rPr>
          <w:szCs w:val="24"/>
        </w:rPr>
      </w:pPr>
    </w:p>
    <w:p w14:paraId="11EE726A" w14:textId="77777777" w:rsidR="00190D6B" w:rsidRPr="00190D6B" w:rsidRDefault="00190D6B" w:rsidP="00190D6B">
      <w:pPr>
        <w:rPr>
          <w:i/>
          <w:iCs/>
          <w:szCs w:val="24"/>
        </w:rPr>
      </w:pPr>
      <w:r w:rsidRPr="00190D6B">
        <w:rPr>
          <w:i/>
          <w:iCs/>
          <w:szCs w:val="24"/>
        </w:rPr>
        <w:t>‘The legacy arrangement from North Down Borough Council with regard to 50% rental abatement for exclusive sporting and recreational use by clubs of its land or property (to be implemented over a five year period from 2015 to 2019) will be adopted by the new Council and rolled out across relevant former Ards Borough Council land and properties.’</w:t>
      </w:r>
    </w:p>
    <w:p w14:paraId="03A81A23" w14:textId="77777777" w:rsidR="00190D6B" w:rsidRPr="00190D6B" w:rsidRDefault="00190D6B" w:rsidP="00190D6B">
      <w:pPr>
        <w:rPr>
          <w:szCs w:val="24"/>
        </w:rPr>
      </w:pPr>
    </w:p>
    <w:p w14:paraId="62FF6B15" w14:textId="77777777" w:rsidR="00190D6B" w:rsidRPr="00190D6B" w:rsidRDefault="00190D6B" w:rsidP="00190D6B">
      <w:pPr>
        <w:rPr>
          <w:szCs w:val="24"/>
        </w:rPr>
      </w:pPr>
      <w:r w:rsidRPr="00190D6B">
        <w:rPr>
          <w:szCs w:val="24"/>
        </w:rPr>
        <w:t>Section 9.3.2 of the new draft policy retains a 50% rent abatement policy provided the Tenant could demonstrate that they were:</w:t>
      </w:r>
    </w:p>
    <w:p w14:paraId="7BBBF192" w14:textId="77777777" w:rsidR="00190D6B" w:rsidRPr="00190D6B" w:rsidRDefault="00190D6B" w:rsidP="00874464">
      <w:pPr>
        <w:numPr>
          <w:ilvl w:val="0"/>
          <w:numId w:val="10"/>
        </w:numPr>
        <w:rPr>
          <w:szCs w:val="24"/>
        </w:rPr>
      </w:pPr>
      <w:r w:rsidRPr="00190D6B">
        <w:rPr>
          <w:szCs w:val="24"/>
        </w:rPr>
        <w:t xml:space="preserve">A not-for-profit club, society or organisation that will occupy the land or property solely for sports or recreational purposes; </w:t>
      </w:r>
    </w:p>
    <w:p w14:paraId="742F7249" w14:textId="77777777" w:rsidR="00190D6B" w:rsidRPr="00190D6B" w:rsidRDefault="00190D6B" w:rsidP="00874464">
      <w:pPr>
        <w:numPr>
          <w:ilvl w:val="0"/>
          <w:numId w:val="10"/>
        </w:numPr>
        <w:rPr>
          <w:szCs w:val="24"/>
        </w:rPr>
      </w:pPr>
      <w:r w:rsidRPr="00190D6B">
        <w:rPr>
          <w:szCs w:val="24"/>
        </w:rPr>
        <w:t>Open to the whole community without discrimination, with any membership fees set at a level that does not pose a significant obstacle to membership or use of the club's facilities; and</w:t>
      </w:r>
    </w:p>
    <w:p w14:paraId="5B404B49" w14:textId="77777777" w:rsidR="00190D6B" w:rsidRPr="00190D6B" w:rsidRDefault="00190D6B" w:rsidP="00874464">
      <w:pPr>
        <w:numPr>
          <w:ilvl w:val="0"/>
          <w:numId w:val="10"/>
        </w:numPr>
        <w:rPr>
          <w:szCs w:val="24"/>
        </w:rPr>
      </w:pPr>
      <w:r w:rsidRPr="00190D6B">
        <w:rPr>
          <w:szCs w:val="24"/>
        </w:rPr>
        <w:t>Recognised by a relevant sporting body where applicable.</w:t>
      </w:r>
    </w:p>
    <w:p w14:paraId="4C951798" w14:textId="77777777" w:rsidR="00190D6B" w:rsidRPr="00190D6B" w:rsidRDefault="00190D6B" w:rsidP="00190D6B">
      <w:pPr>
        <w:rPr>
          <w:szCs w:val="24"/>
        </w:rPr>
      </w:pPr>
    </w:p>
    <w:p w14:paraId="0EB70786" w14:textId="77777777" w:rsidR="00190D6B" w:rsidRPr="00190D6B" w:rsidRDefault="00190D6B" w:rsidP="00190D6B">
      <w:pPr>
        <w:rPr>
          <w:szCs w:val="24"/>
        </w:rPr>
      </w:pPr>
      <w:r w:rsidRPr="00190D6B">
        <w:rPr>
          <w:szCs w:val="24"/>
        </w:rPr>
        <w:t xml:space="preserve">The draft policy further provided that the abatement would only apply to those parts of the premises that were used solely for sporting or recreational purposes, for example, pitches, grounds, courts, pools, and tracks. Facilities such as car parking, toilets or rooms used by people who were engaging in the prescribed activity would also be included. Areas not used in connection with the prescribed activity such as ancillary social facilities like bars or licensed clubrooms were not entitled to the abatement. </w:t>
      </w:r>
    </w:p>
    <w:p w14:paraId="1EA86956" w14:textId="77777777" w:rsidR="00190D6B" w:rsidRPr="00190D6B" w:rsidRDefault="00190D6B" w:rsidP="00190D6B">
      <w:pPr>
        <w:rPr>
          <w:szCs w:val="24"/>
        </w:rPr>
      </w:pPr>
    </w:p>
    <w:p w14:paraId="3DDDD0EC" w14:textId="77777777" w:rsidR="00190D6B" w:rsidRPr="00190D6B" w:rsidRDefault="00190D6B" w:rsidP="00190D6B">
      <w:pPr>
        <w:rPr>
          <w:szCs w:val="24"/>
        </w:rPr>
      </w:pPr>
      <w:r w:rsidRPr="00190D6B">
        <w:rPr>
          <w:szCs w:val="24"/>
        </w:rPr>
        <w:t xml:space="preserve">The scope of the abatement in the new draft policy was more specifically defined than in the current policy, with officers drawing from some of the principles LPS applied when determining which clubs and organisations who were eligible for rates relief. </w:t>
      </w:r>
    </w:p>
    <w:p w14:paraId="01A4CEEC" w14:textId="77777777" w:rsidR="00190D6B" w:rsidRPr="00190D6B" w:rsidRDefault="00190D6B" w:rsidP="00190D6B">
      <w:pPr>
        <w:rPr>
          <w:szCs w:val="24"/>
        </w:rPr>
      </w:pPr>
    </w:p>
    <w:p w14:paraId="2AA2D767" w14:textId="77777777" w:rsidR="00190D6B" w:rsidRPr="00190D6B" w:rsidRDefault="00190D6B" w:rsidP="00190D6B">
      <w:pPr>
        <w:rPr>
          <w:szCs w:val="24"/>
        </w:rPr>
      </w:pPr>
      <w:r w:rsidRPr="00190D6B">
        <w:rPr>
          <w:szCs w:val="24"/>
        </w:rPr>
        <w:t xml:space="preserve">Assuming Council agreed they wished to retain an abatement policy, officers would recommend that a blanket approval to apply this policy was secured from the Department for Communities as granting a 50% abatement is on the face of it not ‘best value’. The case would be made to the Department that applying this policy was in furtherance of the Council’s obligations under section 10 of the Recreation and Youth Service (Northern Ireland) Order 1986 “to secure the provision for its area of adequate facilities for recreational, social, physical and cultural activities and for </w:t>
      </w:r>
      <w:r w:rsidRPr="00190D6B">
        <w:rPr>
          <w:szCs w:val="24"/>
        </w:rPr>
        <w:lastRenderedPageBreak/>
        <w:t>that purpose may, either alone or together with another district council or any other person…. (c) assist, by financial contributions or otherwise, any person to establish, maintain and manage any such facilities or to organise any such activities.”</w:t>
      </w:r>
    </w:p>
    <w:p w14:paraId="442E4F94" w14:textId="77777777" w:rsidR="00190D6B" w:rsidRPr="00190D6B" w:rsidRDefault="00190D6B" w:rsidP="00190D6B">
      <w:pPr>
        <w:rPr>
          <w:b/>
          <w:bCs/>
          <w:szCs w:val="24"/>
          <w:u w:val="single"/>
        </w:rPr>
      </w:pPr>
    </w:p>
    <w:p w14:paraId="3FAFB8D8" w14:textId="77777777" w:rsidR="00190D6B" w:rsidRPr="00190D6B" w:rsidRDefault="00190D6B" w:rsidP="00190D6B">
      <w:pPr>
        <w:rPr>
          <w:b/>
          <w:bCs/>
          <w:szCs w:val="24"/>
          <w:u w:val="single"/>
        </w:rPr>
      </w:pPr>
      <w:r w:rsidRPr="00190D6B">
        <w:rPr>
          <w:b/>
          <w:bCs/>
          <w:szCs w:val="24"/>
          <w:u w:val="single"/>
        </w:rPr>
        <w:t>Screening</w:t>
      </w:r>
    </w:p>
    <w:p w14:paraId="535310FB" w14:textId="77777777" w:rsidR="00190D6B" w:rsidRPr="00190D6B" w:rsidRDefault="00190D6B" w:rsidP="00190D6B">
      <w:pPr>
        <w:rPr>
          <w:b/>
          <w:bCs/>
          <w:szCs w:val="24"/>
          <w:u w:val="single"/>
        </w:rPr>
      </w:pPr>
    </w:p>
    <w:p w14:paraId="34BF5735" w14:textId="77777777" w:rsidR="00190D6B" w:rsidRPr="00190D6B" w:rsidRDefault="00190D6B" w:rsidP="00190D6B">
      <w:pPr>
        <w:rPr>
          <w:szCs w:val="24"/>
        </w:rPr>
      </w:pPr>
      <w:r w:rsidRPr="00190D6B">
        <w:rPr>
          <w:szCs w:val="24"/>
        </w:rPr>
        <w:t>The draft policy had been subjected to equality, rural and sustainability screening and was considered by the internal screening panel at a meeting on 17 October 2023. No adverse impacts were identified and opportunities to promote sustainability had been weaved throughout the policy, with other relevant policies and strategies cross-referenced throughout e.g. if Council was considering disposing of land that it didn’t currently use, the draft policy required that before agreeing to the disposal consideration be given to other potential uses Council may have for the land, with attention drawn to the Council’s commitments to a climate emergency and climate adaptation planning, and other associated plans such as the Tree and Woodland Strategy.</w:t>
      </w:r>
    </w:p>
    <w:p w14:paraId="2B8166EB" w14:textId="77777777" w:rsidR="00190D6B" w:rsidRPr="00190D6B" w:rsidRDefault="00190D6B" w:rsidP="00190D6B">
      <w:pPr>
        <w:rPr>
          <w:szCs w:val="24"/>
        </w:rPr>
      </w:pPr>
    </w:p>
    <w:p w14:paraId="1E5616F8" w14:textId="77777777" w:rsidR="00190D6B" w:rsidRPr="00190D6B" w:rsidRDefault="00190D6B" w:rsidP="00190D6B">
      <w:pPr>
        <w:rPr>
          <w:szCs w:val="24"/>
        </w:rPr>
      </w:pPr>
      <w:r w:rsidRPr="00190D6B">
        <w:rPr>
          <w:szCs w:val="24"/>
        </w:rPr>
        <w:t>RECOMMENDED that Council:</w:t>
      </w:r>
    </w:p>
    <w:p w14:paraId="67BBFA83" w14:textId="77777777" w:rsidR="00190D6B" w:rsidRPr="00190D6B" w:rsidRDefault="00190D6B" w:rsidP="00874464">
      <w:pPr>
        <w:numPr>
          <w:ilvl w:val="0"/>
          <w:numId w:val="11"/>
        </w:numPr>
        <w:rPr>
          <w:szCs w:val="24"/>
        </w:rPr>
      </w:pPr>
      <w:r w:rsidRPr="00190D6B">
        <w:rPr>
          <w:szCs w:val="24"/>
        </w:rPr>
        <w:t xml:space="preserve">Agree to adopt the Land and Property policy attached to this report at Appendix 1; and </w:t>
      </w:r>
    </w:p>
    <w:p w14:paraId="31866C4D" w14:textId="77777777" w:rsidR="00190D6B" w:rsidRPr="00190D6B" w:rsidRDefault="00190D6B" w:rsidP="00874464">
      <w:pPr>
        <w:numPr>
          <w:ilvl w:val="0"/>
          <w:numId w:val="11"/>
        </w:numPr>
        <w:rPr>
          <w:szCs w:val="24"/>
        </w:rPr>
      </w:pPr>
      <w:r w:rsidRPr="00190D6B">
        <w:rPr>
          <w:szCs w:val="24"/>
        </w:rPr>
        <w:t>Agree to make an application to the Department for Communities to seek approval to apply the abatement policy outlined in the policy to sports and recreational leases.</w:t>
      </w:r>
    </w:p>
    <w:p w14:paraId="0CF5915B" w14:textId="77777777" w:rsidR="00190D6B" w:rsidRPr="00190D6B" w:rsidRDefault="00190D6B" w:rsidP="00190D6B"/>
    <w:p w14:paraId="43D5F932" w14:textId="77777777" w:rsidR="00190D6B" w:rsidRPr="00190D6B" w:rsidRDefault="00190D6B" w:rsidP="00190D6B">
      <w:r w:rsidRPr="00190D6B">
        <w:t>Proposed by Councillor W Irvine, seconded by Alderman Smith, that the recommendation be adopted.</w:t>
      </w:r>
    </w:p>
    <w:p w14:paraId="02C5C24B" w14:textId="77777777" w:rsidR="00190D6B" w:rsidRPr="00190D6B" w:rsidRDefault="00190D6B" w:rsidP="00190D6B"/>
    <w:p w14:paraId="77BB6387" w14:textId="77777777" w:rsidR="00190D6B" w:rsidRPr="00190D6B" w:rsidRDefault="00190D6B" w:rsidP="00190D6B">
      <w:r w:rsidRPr="00190D6B">
        <w:t>Alderman Graham sought assurances that the policy would cover every eventuality given that the Council would be held to it.</w:t>
      </w:r>
    </w:p>
    <w:p w14:paraId="6AE6194B" w14:textId="77777777" w:rsidR="00190D6B" w:rsidRPr="00190D6B" w:rsidRDefault="00190D6B" w:rsidP="00190D6B"/>
    <w:p w14:paraId="18654EB4" w14:textId="77777777" w:rsidR="00190D6B" w:rsidRPr="00190D6B" w:rsidRDefault="00190D6B" w:rsidP="00190D6B">
      <w:r w:rsidRPr="00190D6B">
        <w:t>The Head of Administration advised that the policy was based on the knowledge and experience of officers and land teams over the years. There could be no guarantees though of extreme exceptions where issues were not covered by the policy, although the policy was subject to review, however.</w:t>
      </w:r>
    </w:p>
    <w:p w14:paraId="01891DFF" w14:textId="77777777" w:rsidR="00190D6B" w:rsidRPr="00190D6B" w:rsidRDefault="00190D6B" w:rsidP="00190D6B"/>
    <w:p w14:paraId="04506182" w14:textId="77777777" w:rsidR="00190D6B" w:rsidRPr="00190D6B" w:rsidRDefault="00190D6B" w:rsidP="00190D6B">
      <w:r w:rsidRPr="00190D6B">
        <w:t>Coming from a governance perspective, the Director explained the importance of having a Land and Property Policy and that it had addressed a number of audit recommendations.</w:t>
      </w:r>
    </w:p>
    <w:p w14:paraId="1AB96F9A" w14:textId="77777777" w:rsidR="00190D6B" w:rsidRPr="00190D6B" w:rsidRDefault="00190D6B" w:rsidP="00190D6B"/>
    <w:p w14:paraId="56FB2ED5" w14:textId="77777777" w:rsidR="00190D6B" w:rsidRPr="00190D6B" w:rsidRDefault="00190D6B" w:rsidP="00190D6B">
      <w:r w:rsidRPr="00190D6B">
        <w:t xml:space="preserve">Alderman McIlveen expressed surprise at the absence of this type of policy given the number of transactions the Council had done. He queried the terms and conditions around use of Council property in terms of notice periods and if those had been in place previously. The Head of Administration explained that there was a threshold in relation to time frames and notice periods but given the number of late applications, discretion was often exercised. She clarified that there had always been a policy in place though it had now been modified in order to address audit recommendations as referred to by the Director. </w:t>
      </w:r>
    </w:p>
    <w:p w14:paraId="7D4091A8" w14:textId="77777777" w:rsidR="00190D6B" w:rsidRPr="00190D6B" w:rsidRDefault="00190D6B" w:rsidP="00190D6B">
      <w:pPr>
        <w:rPr>
          <w:b/>
          <w:bCs/>
        </w:rPr>
      </w:pPr>
    </w:p>
    <w:p w14:paraId="3120CE52" w14:textId="77777777" w:rsidR="00190D6B" w:rsidRPr="00190D6B" w:rsidRDefault="00190D6B" w:rsidP="00190D6B">
      <w:pPr>
        <w:rPr>
          <w:b/>
          <w:bCs/>
        </w:rPr>
      </w:pPr>
      <w:r w:rsidRPr="00190D6B">
        <w:rPr>
          <w:b/>
          <w:bCs/>
        </w:rPr>
        <w:t>AGREED TO RECOMMEND, on the proposal of Councillor W Irvine, seconded by Alderman Smith, that the recommendation be adopted.</w:t>
      </w:r>
    </w:p>
    <w:p w14:paraId="5297F608" w14:textId="77777777" w:rsidR="00190D6B" w:rsidRDefault="00190D6B" w:rsidP="00190D6B">
      <w:pPr>
        <w:rPr>
          <w:rFonts w:eastAsia="Times New Roman" w:cs="Arial"/>
          <w:b/>
          <w:szCs w:val="24"/>
          <w:lang w:eastAsia="en-GB"/>
        </w:rPr>
      </w:pPr>
    </w:p>
    <w:p w14:paraId="57E25C96" w14:textId="77777777" w:rsidR="00874464" w:rsidRPr="00190D6B" w:rsidRDefault="00874464" w:rsidP="00190D6B">
      <w:pPr>
        <w:rPr>
          <w:rFonts w:eastAsia="Times New Roman" w:cs="Arial"/>
          <w:b/>
          <w:szCs w:val="24"/>
          <w:lang w:eastAsia="en-GB"/>
        </w:rPr>
      </w:pPr>
    </w:p>
    <w:p w14:paraId="2AC66D5F" w14:textId="77777777" w:rsidR="00190D6B" w:rsidRPr="00190D6B" w:rsidRDefault="00190D6B" w:rsidP="00190D6B">
      <w:pPr>
        <w:keepNext/>
        <w:keepLines/>
        <w:ind w:left="720" w:hanging="720"/>
        <w:outlineLvl w:val="0"/>
        <w:rPr>
          <w:rFonts w:eastAsia="Times New Roman"/>
          <w:b/>
          <w:caps/>
          <w:sz w:val="28"/>
          <w:szCs w:val="32"/>
          <w:u w:val="single"/>
        </w:rPr>
      </w:pPr>
      <w:r w:rsidRPr="00190D6B">
        <w:rPr>
          <w:rFonts w:eastAsia="Times New Roman"/>
          <w:b/>
          <w:caps/>
          <w:sz w:val="28"/>
          <w:szCs w:val="32"/>
        </w:rPr>
        <w:t>11.</w:t>
      </w:r>
      <w:r w:rsidRPr="00190D6B">
        <w:rPr>
          <w:rFonts w:eastAsia="Times New Roman"/>
          <w:b/>
          <w:caps/>
          <w:sz w:val="28"/>
          <w:szCs w:val="32"/>
        </w:rPr>
        <w:tab/>
      </w:r>
      <w:r w:rsidRPr="00190D6B">
        <w:rPr>
          <w:rFonts w:eastAsia="Times New Roman"/>
          <w:b/>
          <w:caps/>
          <w:sz w:val="28"/>
          <w:szCs w:val="32"/>
          <w:u w:val="single"/>
        </w:rPr>
        <w:t>Alleged public rights of way at Andrews Shorefield, Groomsport (PROW52)</w:t>
      </w:r>
    </w:p>
    <w:p w14:paraId="195E8E89" w14:textId="77777777" w:rsidR="00190D6B" w:rsidRPr="00190D6B" w:rsidRDefault="00190D6B" w:rsidP="00190D6B">
      <w:pPr>
        <w:ind w:left="720"/>
        <w:rPr>
          <w:rFonts w:eastAsiaTheme="minorHAnsi" w:cs="Arial"/>
          <w:szCs w:val="24"/>
        </w:rPr>
      </w:pPr>
      <w:r w:rsidRPr="00190D6B">
        <w:rPr>
          <w:rFonts w:eastAsiaTheme="minorHAnsi" w:cs="Arial"/>
          <w:szCs w:val="24"/>
        </w:rPr>
        <w:t>(Appendix X)</w:t>
      </w:r>
    </w:p>
    <w:p w14:paraId="5B8EDA03" w14:textId="77777777" w:rsidR="00190D6B" w:rsidRPr="00190D6B" w:rsidRDefault="00190D6B" w:rsidP="00190D6B">
      <w:pPr>
        <w:ind w:left="720"/>
        <w:rPr>
          <w:rFonts w:eastAsiaTheme="minorHAnsi" w:cs="Arial"/>
          <w:szCs w:val="24"/>
        </w:rPr>
      </w:pPr>
    </w:p>
    <w:p w14:paraId="124E806E" w14:textId="77777777" w:rsidR="00190D6B" w:rsidRPr="00190D6B" w:rsidRDefault="00190D6B" w:rsidP="00190D6B">
      <w:pPr>
        <w:rPr>
          <w:szCs w:val="24"/>
        </w:rPr>
      </w:pPr>
      <w:r w:rsidRPr="00190D6B">
        <w:rPr>
          <w:caps/>
          <w:szCs w:val="24"/>
        </w:rPr>
        <w:t>Previously circulated:-</w:t>
      </w:r>
      <w:r w:rsidRPr="00190D6B">
        <w:rPr>
          <w:szCs w:val="24"/>
        </w:rPr>
        <w:t xml:space="preserve"> Report from Director of Corporate Services stating that this report was in response to the following Notice of Motion heard at Corporate Committee in February 2020:</w:t>
      </w:r>
    </w:p>
    <w:p w14:paraId="68A1BF8B" w14:textId="77777777" w:rsidR="00190D6B" w:rsidRPr="00190D6B" w:rsidRDefault="00190D6B" w:rsidP="00190D6B">
      <w:pPr>
        <w:rPr>
          <w:szCs w:val="24"/>
        </w:rPr>
      </w:pPr>
    </w:p>
    <w:p w14:paraId="203E318E" w14:textId="77777777" w:rsidR="00190D6B" w:rsidRPr="00190D6B" w:rsidRDefault="00190D6B" w:rsidP="00190D6B">
      <w:pPr>
        <w:rPr>
          <w:szCs w:val="24"/>
        </w:rPr>
      </w:pPr>
      <w:r w:rsidRPr="00190D6B">
        <w:rPr>
          <w:szCs w:val="24"/>
        </w:rPr>
        <w:t>‘That this Council brings back a report on the closing of a public right of way at Andrews Shorefield, Groomsport which includes what measures this Council can take to reopen this public right of way.’</w:t>
      </w:r>
    </w:p>
    <w:p w14:paraId="0CFFEA4F" w14:textId="77777777" w:rsidR="00190D6B" w:rsidRPr="00190D6B" w:rsidRDefault="00190D6B" w:rsidP="00190D6B">
      <w:pPr>
        <w:rPr>
          <w:szCs w:val="24"/>
        </w:rPr>
      </w:pPr>
    </w:p>
    <w:p w14:paraId="50CC8462" w14:textId="77777777" w:rsidR="00190D6B" w:rsidRPr="00190D6B" w:rsidRDefault="00190D6B" w:rsidP="00190D6B">
      <w:pPr>
        <w:rPr>
          <w:szCs w:val="24"/>
        </w:rPr>
      </w:pPr>
      <w:r w:rsidRPr="00190D6B">
        <w:rPr>
          <w:szCs w:val="24"/>
        </w:rPr>
        <w:t xml:space="preserve">The routes between Andrews Shorefield (both sides of 9 Andrews Shorefield) and the lane from Donaghadee Road to the shore and to 20-22 Donaghadee Road, Groomsport (the Lane) (on which there is an asserted public right of way, marked in red on map at Appendix 1), were alleged public rights of way, as set out on the attached map in Appendix 1, marked in green. The alleged public rights of way were recognised as such by Council, however, the same had never been formally asserted by Council. An obstructing fence erected alongside the Lane brought the matter to the attention of the Council and an investigation ensued. </w:t>
      </w:r>
    </w:p>
    <w:p w14:paraId="50FF7978" w14:textId="77777777" w:rsidR="00190D6B" w:rsidRPr="00190D6B" w:rsidRDefault="00190D6B" w:rsidP="00190D6B">
      <w:pPr>
        <w:rPr>
          <w:szCs w:val="24"/>
        </w:rPr>
      </w:pPr>
    </w:p>
    <w:p w14:paraId="73E3D093" w14:textId="77777777" w:rsidR="00190D6B" w:rsidRPr="00190D6B" w:rsidRDefault="00190D6B" w:rsidP="00190D6B">
      <w:pPr>
        <w:rPr>
          <w:szCs w:val="24"/>
        </w:rPr>
      </w:pPr>
      <w:r w:rsidRPr="00190D6B">
        <w:rPr>
          <w:szCs w:val="24"/>
        </w:rPr>
        <w:t>In accordance with The Access to the Countryside (Northern Ireland) Order 1983 there was a statutory requirement for Councils to assert, keep open and free from obstruction or encroachment the public rights of way in their area.</w:t>
      </w:r>
    </w:p>
    <w:p w14:paraId="05C58B65" w14:textId="77777777" w:rsidR="00190D6B" w:rsidRPr="00190D6B" w:rsidRDefault="00190D6B" w:rsidP="00190D6B">
      <w:pPr>
        <w:rPr>
          <w:szCs w:val="24"/>
        </w:rPr>
      </w:pPr>
    </w:p>
    <w:p w14:paraId="06815C10" w14:textId="77777777" w:rsidR="00190D6B" w:rsidRPr="00190D6B" w:rsidRDefault="00190D6B" w:rsidP="00190D6B">
      <w:pPr>
        <w:rPr>
          <w:b/>
          <w:bCs/>
          <w:szCs w:val="24"/>
        </w:rPr>
      </w:pPr>
      <w:r w:rsidRPr="00190D6B">
        <w:rPr>
          <w:b/>
          <w:bCs/>
          <w:szCs w:val="24"/>
        </w:rPr>
        <w:t>Investigation</w:t>
      </w:r>
    </w:p>
    <w:p w14:paraId="2BB59866" w14:textId="77777777" w:rsidR="00190D6B" w:rsidRPr="00190D6B" w:rsidRDefault="00190D6B" w:rsidP="00190D6B">
      <w:pPr>
        <w:rPr>
          <w:szCs w:val="24"/>
        </w:rPr>
      </w:pPr>
      <w:r w:rsidRPr="00190D6B">
        <w:rPr>
          <w:szCs w:val="24"/>
        </w:rPr>
        <w:t>Evidence had been collated to investigate the existence of these public rights of way. In accordance with legislative guidance, this was summarised below:</w:t>
      </w:r>
    </w:p>
    <w:p w14:paraId="70A43893" w14:textId="77777777" w:rsidR="00190D6B" w:rsidRPr="00190D6B" w:rsidRDefault="00190D6B" w:rsidP="00190D6B">
      <w:pPr>
        <w:rPr>
          <w:szCs w:val="24"/>
        </w:rPr>
      </w:pPr>
    </w:p>
    <w:p w14:paraId="671B5018" w14:textId="77777777" w:rsidR="00190D6B" w:rsidRPr="00190D6B" w:rsidRDefault="00190D6B" w:rsidP="00874464">
      <w:pPr>
        <w:numPr>
          <w:ilvl w:val="0"/>
          <w:numId w:val="12"/>
        </w:numPr>
        <w:rPr>
          <w:szCs w:val="24"/>
        </w:rPr>
      </w:pPr>
      <w:r w:rsidRPr="00190D6B">
        <w:rPr>
          <w:szCs w:val="24"/>
        </w:rPr>
        <w:t>Fifteen completed witness evidence forms were received by Council supporting the allegation that the routes are public rights of way.</w:t>
      </w:r>
    </w:p>
    <w:p w14:paraId="1DDC89C1" w14:textId="77777777" w:rsidR="00190D6B" w:rsidRPr="00190D6B" w:rsidRDefault="00190D6B" w:rsidP="00874464">
      <w:pPr>
        <w:numPr>
          <w:ilvl w:val="0"/>
          <w:numId w:val="13"/>
        </w:numPr>
        <w:rPr>
          <w:szCs w:val="24"/>
        </w:rPr>
      </w:pPr>
      <w:bookmarkStart w:id="4" w:name="_Hlk147736352"/>
      <w:r w:rsidRPr="00190D6B">
        <w:rPr>
          <w:szCs w:val="24"/>
        </w:rPr>
        <w:t>Six out of fifteen witness evidence forms had no map attached but described the routes as Andrews Shorefield (both sides of 9 Andrews Shorefield) to the Lane.</w:t>
      </w:r>
    </w:p>
    <w:p w14:paraId="309D6D35" w14:textId="77777777" w:rsidR="00190D6B" w:rsidRPr="00190D6B" w:rsidRDefault="00190D6B" w:rsidP="00874464">
      <w:pPr>
        <w:numPr>
          <w:ilvl w:val="0"/>
          <w:numId w:val="13"/>
        </w:numPr>
        <w:rPr>
          <w:szCs w:val="24"/>
        </w:rPr>
      </w:pPr>
      <w:r w:rsidRPr="00190D6B">
        <w:rPr>
          <w:szCs w:val="24"/>
        </w:rPr>
        <w:t>Nine out of fifteen witness evidence forms included a drawing of the routes and described the routes as Andrews Shorefield (both sides of 9 Andrews Shorefield) to the Lane.</w:t>
      </w:r>
    </w:p>
    <w:p w14:paraId="227357A8" w14:textId="77777777" w:rsidR="00190D6B" w:rsidRPr="00190D6B" w:rsidRDefault="00190D6B" w:rsidP="00874464">
      <w:pPr>
        <w:numPr>
          <w:ilvl w:val="0"/>
          <w:numId w:val="13"/>
        </w:numPr>
        <w:rPr>
          <w:szCs w:val="24"/>
        </w:rPr>
      </w:pPr>
      <w:r w:rsidRPr="00190D6B">
        <w:rPr>
          <w:szCs w:val="24"/>
        </w:rPr>
        <w:t>The map of the alleged public rights of way in Appendix 1 reflected the description and diagrams of the routes in the witness evidence forms received by Council. It was important to note that the routes started/finished at Andrews Shorefield.</w:t>
      </w:r>
    </w:p>
    <w:p w14:paraId="3DF693DC" w14:textId="77777777" w:rsidR="00190D6B" w:rsidRPr="00190D6B" w:rsidRDefault="00190D6B" w:rsidP="00874464">
      <w:pPr>
        <w:numPr>
          <w:ilvl w:val="0"/>
          <w:numId w:val="13"/>
        </w:numPr>
        <w:rPr>
          <w:szCs w:val="24"/>
        </w:rPr>
      </w:pPr>
      <w:r w:rsidRPr="00190D6B">
        <w:rPr>
          <w:szCs w:val="24"/>
        </w:rPr>
        <w:t>Andrews Shorefield had a private sign at its entrance. DFI Roads confirmed in an email dated 28 September 2023 that Andrews Shorefield was not adopted or maintained by DFI Roads thus confirming that Andrews Shorefield was a private road.</w:t>
      </w:r>
    </w:p>
    <w:p w14:paraId="379331DE" w14:textId="77777777" w:rsidR="00190D6B" w:rsidRPr="00190D6B" w:rsidRDefault="00190D6B" w:rsidP="00874464">
      <w:pPr>
        <w:numPr>
          <w:ilvl w:val="0"/>
          <w:numId w:val="13"/>
        </w:numPr>
        <w:rPr>
          <w:szCs w:val="24"/>
        </w:rPr>
      </w:pPr>
      <w:r w:rsidRPr="00190D6B">
        <w:rPr>
          <w:szCs w:val="24"/>
        </w:rPr>
        <w:t>The common law criterion that a public right of way should connect two public places was not satisfied, by virtue of the private status of Andrews Shorefield.</w:t>
      </w:r>
    </w:p>
    <w:p w14:paraId="24ECEE69" w14:textId="77777777" w:rsidR="00190D6B" w:rsidRPr="00190D6B" w:rsidRDefault="00190D6B" w:rsidP="00874464">
      <w:pPr>
        <w:numPr>
          <w:ilvl w:val="0"/>
          <w:numId w:val="13"/>
        </w:numPr>
        <w:rPr>
          <w:szCs w:val="24"/>
        </w:rPr>
      </w:pPr>
      <w:r w:rsidRPr="00190D6B">
        <w:rPr>
          <w:szCs w:val="24"/>
        </w:rPr>
        <w:lastRenderedPageBreak/>
        <w:t>Therefore, the investigation by the Council into the assertion of the alleged public rights of way on Andrews Shorefield could not proceed any further.</w:t>
      </w:r>
    </w:p>
    <w:p w14:paraId="3083070A" w14:textId="77777777" w:rsidR="00190D6B" w:rsidRPr="00190D6B" w:rsidRDefault="00190D6B" w:rsidP="00190D6B">
      <w:pPr>
        <w:rPr>
          <w:szCs w:val="24"/>
        </w:rPr>
      </w:pPr>
    </w:p>
    <w:bookmarkEnd w:id="4"/>
    <w:p w14:paraId="2DB1DCC1" w14:textId="77777777" w:rsidR="00190D6B" w:rsidRPr="00190D6B" w:rsidRDefault="00190D6B" w:rsidP="00190D6B">
      <w:pPr>
        <w:rPr>
          <w:szCs w:val="24"/>
        </w:rPr>
      </w:pPr>
      <w:r w:rsidRPr="00190D6B">
        <w:rPr>
          <w:szCs w:val="24"/>
        </w:rPr>
        <w:t>RECOMMENDED that Council do not pursue the assertion of the alleged Public Right of Way at Andrews Shorefield.</w:t>
      </w:r>
    </w:p>
    <w:p w14:paraId="1B6EB4F4" w14:textId="77777777" w:rsidR="00190D6B" w:rsidRPr="00190D6B" w:rsidRDefault="00190D6B" w:rsidP="00190D6B">
      <w:pPr>
        <w:rPr>
          <w:szCs w:val="24"/>
        </w:rPr>
      </w:pPr>
    </w:p>
    <w:p w14:paraId="0120AA25" w14:textId="77777777" w:rsidR="00190D6B" w:rsidRPr="00190D6B" w:rsidRDefault="00190D6B" w:rsidP="00190D6B">
      <w:pPr>
        <w:rPr>
          <w:szCs w:val="24"/>
        </w:rPr>
      </w:pPr>
      <w:r w:rsidRPr="00190D6B">
        <w:rPr>
          <w:szCs w:val="24"/>
        </w:rPr>
        <w:t>Proposed by Alderman McIlveen, seconded by Alderman Graham, that the recommendation be adopted.</w:t>
      </w:r>
    </w:p>
    <w:p w14:paraId="5D2BF514" w14:textId="77777777" w:rsidR="00190D6B" w:rsidRPr="00190D6B" w:rsidRDefault="00190D6B" w:rsidP="00190D6B">
      <w:pPr>
        <w:rPr>
          <w:szCs w:val="24"/>
        </w:rPr>
      </w:pPr>
    </w:p>
    <w:p w14:paraId="7A65DD79" w14:textId="77777777" w:rsidR="00190D6B" w:rsidRPr="00190D6B" w:rsidRDefault="00190D6B" w:rsidP="00190D6B">
      <w:r w:rsidRPr="00190D6B">
        <w:t>Responding to a query from Alderman McIlveen, the Head of Administration understood that officers had verified that the land was private, as signposted.</w:t>
      </w:r>
    </w:p>
    <w:p w14:paraId="30EE7520" w14:textId="77777777" w:rsidR="00190D6B" w:rsidRPr="00190D6B" w:rsidRDefault="00190D6B" w:rsidP="00190D6B"/>
    <w:p w14:paraId="4710245E" w14:textId="77777777" w:rsidR="00190D6B" w:rsidRPr="00190D6B" w:rsidRDefault="00190D6B" w:rsidP="00190D6B">
      <w:r w:rsidRPr="00190D6B">
        <w:t>Alderman McIlveen understood from the report that pursing the right of way was meaningless as the Council had no legal way of enforcing it and the officer confirmed that was correct.</w:t>
      </w:r>
    </w:p>
    <w:p w14:paraId="514FF886" w14:textId="77777777" w:rsidR="00190D6B" w:rsidRPr="00190D6B" w:rsidRDefault="00190D6B" w:rsidP="00190D6B">
      <w:pPr>
        <w:rPr>
          <w:b/>
          <w:bCs/>
        </w:rPr>
      </w:pPr>
    </w:p>
    <w:p w14:paraId="03FE065F" w14:textId="77777777" w:rsidR="00190D6B" w:rsidRPr="00190D6B" w:rsidRDefault="00190D6B" w:rsidP="00190D6B">
      <w:pPr>
        <w:rPr>
          <w:b/>
          <w:bCs/>
        </w:rPr>
      </w:pPr>
      <w:r w:rsidRPr="00190D6B">
        <w:rPr>
          <w:b/>
          <w:bCs/>
        </w:rPr>
        <w:t>AGREED TO RECOMMEND, on the proposal of Alderman McIlveen, seconded by Alderman Graham, that the recommendation be adopted.</w:t>
      </w:r>
    </w:p>
    <w:p w14:paraId="43472E3F" w14:textId="77777777" w:rsidR="00190D6B" w:rsidRPr="00190D6B" w:rsidRDefault="00190D6B" w:rsidP="00190D6B">
      <w:pPr>
        <w:rPr>
          <w:rFonts w:eastAsia="Times New Roman" w:cs="Arial"/>
          <w:b/>
          <w:szCs w:val="24"/>
          <w:lang w:eastAsia="en-GB"/>
        </w:rPr>
      </w:pPr>
    </w:p>
    <w:p w14:paraId="1CC60885" w14:textId="77777777" w:rsidR="00190D6B" w:rsidRPr="00190D6B" w:rsidRDefault="00190D6B" w:rsidP="00190D6B">
      <w:pPr>
        <w:keepNext/>
        <w:keepLines/>
        <w:ind w:left="720" w:hanging="720"/>
        <w:outlineLvl w:val="0"/>
        <w:rPr>
          <w:rFonts w:eastAsia="Times New Roman"/>
          <w:b/>
          <w:caps/>
          <w:sz w:val="28"/>
          <w:szCs w:val="32"/>
          <w:u w:val="single"/>
        </w:rPr>
      </w:pPr>
      <w:r w:rsidRPr="00190D6B">
        <w:rPr>
          <w:rFonts w:eastAsia="Times New Roman"/>
          <w:b/>
          <w:caps/>
          <w:sz w:val="28"/>
          <w:szCs w:val="32"/>
        </w:rPr>
        <w:t>12.</w:t>
      </w:r>
      <w:r w:rsidRPr="00190D6B">
        <w:rPr>
          <w:rFonts w:eastAsia="Times New Roman"/>
          <w:b/>
          <w:caps/>
          <w:sz w:val="28"/>
          <w:szCs w:val="32"/>
        </w:rPr>
        <w:tab/>
      </w:r>
      <w:r w:rsidRPr="00190D6B">
        <w:rPr>
          <w:rFonts w:eastAsia="Times New Roman"/>
          <w:b/>
          <w:caps/>
          <w:sz w:val="28"/>
          <w:szCs w:val="32"/>
          <w:u w:val="single"/>
        </w:rPr>
        <w:t>Request from Ballyholme Yacht Club to use Council Land at Kingsland, Bangor during European Youth Championships 2024</w:t>
      </w:r>
    </w:p>
    <w:p w14:paraId="7441A3CA" w14:textId="77777777" w:rsidR="00190D6B" w:rsidRPr="00190D6B" w:rsidRDefault="00190D6B" w:rsidP="00190D6B">
      <w:pPr>
        <w:ind w:left="720"/>
        <w:rPr>
          <w:rFonts w:eastAsiaTheme="minorHAnsi" w:cs="Arial"/>
          <w:szCs w:val="24"/>
        </w:rPr>
      </w:pPr>
      <w:r w:rsidRPr="00190D6B">
        <w:rPr>
          <w:rFonts w:eastAsiaTheme="minorHAnsi" w:cs="Arial"/>
          <w:szCs w:val="24"/>
        </w:rPr>
        <w:t>(Appendix XI - XII)</w:t>
      </w:r>
    </w:p>
    <w:p w14:paraId="1535758B" w14:textId="77777777" w:rsidR="00190D6B" w:rsidRPr="00190D6B" w:rsidRDefault="00190D6B" w:rsidP="00190D6B">
      <w:pPr>
        <w:ind w:left="720"/>
        <w:rPr>
          <w:rFonts w:eastAsiaTheme="minorHAnsi" w:cs="Arial"/>
          <w:szCs w:val="24"/>
        </w:rPr>
      </w:pPr>
    </w:p>
    <w:p w14:paraId="3EEB2465" w14:textId="77777777" w:rsidR="00190D6B" w:rsidRPr="00190D6B" w:rsidRDefault="00190D6B" w:rsidP="00190D6B">
      <w:pPr>
        <w:rPr>
          <w:szCs w:val="24"/>
          <w:lang w:val="en-IE"/>
        </w:rPr>
      </w:pPr>
      <w:r w:rsidRPr="00190D6B">
        <w:rPr>
          <w:caps/>
          <w:szCs w:val="24"/>
        </w:rPr>
        <w:t>Previously circulated:-</w:t>
      </w:r>
      <w:r w:rsidRPr="00190D6B">
        <w:rPr>
          <w:szCs w:val="24"/>
        </w:rPr>
        <w:t xml:space="preserve"> Report from Director of Corporate Services stating that </w:t>
      </w:r>
      <w:r w:rsidRPr="00190D6B">
        <w:rPr>
          <w:szCs w:val="24"/>
          <w:lang w:val="en-IE"/>
        </w:rPr>
        <w:t>The Council had received a request from Ballyholme Yacht Club to use Council Land at Kingsland, Bangor during the European Youth Championships from Saturday 20</w:t>
      </w:r>
      <w:r w:rsidRPr="00190D6B">
        <w:rPr>
          <w:szCs w:val="24"/>
          <w:vertAlign w:val="superscript"/>
          <w:lang w:val="en-IE"/>
        </w:rPr>
        <w:t>th</w:t>
      </w:r>
      <w:r w:rsidRPr="00190D6B">
        <w:rPr>
          <w:szCs w:val="24"/>
          <w:lang w:val="en-IE"/>
        </w:rPr>
        <w:t xml:space="preserve"> July to Saturday 10</w:t>
      </w:r>
      <w:r w:rsidRPr="00190D6B">
        <w:rPr>
          <w:szCs w:val="24"/>
          <w:vertAlign w:val="superscript"/>
          <w:lang w:val="en-IE"/>
        </w:rPr>
        <w:t>th</w:t>
      </w:r>
      <w:r w:rsidRPr="00190D6B">
        <w:rPr>
          <w:szCs w:val="24"/>
          <w:lang w:val="en-IE"/>
        </w:rPr>
        <w:t xml:space="preserve"> August 2024. </w:t>
      </w:r>
    </w:p>
    <w:p w14:paraId="5DE01ACB" w14:textId="77777777" w:rsidR="00190D6B" w:rsidRPr="00190D6B" w:rsidRDefault="00190D6B" w:rsidP="00190D6B">
      <w:pPr>
        <w:rPr>
          <w:szCs w:val="24"/>
          <w:lang w:val="en-IE"/>
        </w:rPr>
      </w:pPr>
    </w:p>
    <w:p w14:paraId="7970D15B" w14:textId="77777777" w:rsidR="00190D6B" w:rsidRPr="00190D6B" w:rsidRDefault="00190D6B" w:rsidP="00190D6B">
      <w:pPr>
        <w:rPr>
          <w:szCs w:val="24"/>
          <w:lang w:val="en-IE"/>
        </w:rPr>
      </w:pPr>
      <w:r w:rsidRPr="00190D6B">
        <w:rPr>
          <w:szCs w:val="24"/>
          <w:lang w:val="en-IE"/>
        </w:rPr>
        <w:t xml:space="preserve">The land would be used for support areas for officials, competitors and their families, spectators, and other visitors.  </w:t>
      </w:r>
    </w:p>
    <w:p w14:paraId="781C9AAC" w14:textId="77777777" w:rsidR="00190D6B" w:rsidRPr="00190D6B" w:rsidRDefault="00190D6B" w:rsidP="00190D6B">
      <w:pPr>
        <w:rPr>
          <w:szCs w:val="24"/>
          <w:lang w:val="en-IE"/>
        </w:rPr>
      </w:pPr>
    </w:p>
    <w:p w14:paraId="7C66BA2F" w14:textId="77777777" w:rsidR="00190D6B" w:rsidRPr="00190D6B" w:rsidRDefault="00190D6B" w:rsidP="00190D6B">
      <w:pPr>
        <w:rPr>
          <w:szCs w:val="24"/>
          <w:lang w:val="en-IE"/>
        </w:rPr>
      </w:pPr>
      <w:r w:rsidRPr="00190D6B">
        <w:rPr>
          <w:szCs w:val="24"/>
          <w:lang w:val="en-IE"/>
        </w:rPr>
        <w:t>They were requesting to use the land at the following locations:</w:t>
      </w:r>
    </w:p>
    <w:p w14:paraId="0C01871A" w14:textId="77777777" w:rsidR="00190D6B" w:rsidRPr="00190D6B" w:rsidRDefault="00190D6B" w:rsidP="00190D6B">
      <w:pPr>
        <w:rPr>
          <w:szCs w:val="24"/>
          <w:lang w:val="en-IE"/>
        </w:rPr>
      </w:pPr>
    </w:p>
    <w:p w14:paraId="31A8A4D2" w14:textId="77777777" w:rsidR="00190D6B" w:rsidRPr="00190D6B" w:rsidRDefault="00190D6B" w:rsidP="00874464">
      <w:pPr>
        <w:numPr>
          <w:ilvl w:val="0"/>
          <w:numId w:val="14"/>
        </w:numPr>
        <w:rPr>
          <w:szCs w:val="24"/>
        </w:rPr>
      </w:pPr>
      <w:r w:rsidRPr="00190D6B">
        <w:rPr>
          <w:b/>
          <w:bCs/>
          <w:szCs w:val="24"/>
          <w:u w:val="single"/>
        </w:rPr>
        <w:t>Kingsland Car Park</w:t>
      </w:r>
      <w:r w:rsidRPr="00190D6B">
        <w:rPr>
          <w:szCs w:val="24"/>
        </w:rPr>
        <w:t xml:space="preserve"> – campervans for competitors and families.  They would also like to use the section closest to the play park for overflow car parking – Appendix 1 images 1 &amp; 2</w:t>
      </w:r>
    </w:p>
    <w:p w14:paraId="2DC7E4DB" w14:textId="77777777" w:rsidR="00190D6B" w:rsidRPr="00190D6B" w:rsidRDefault="00190D6B" w:rsidP="00874464">
      <w:pPr>
        <w:numPr>
          <w:ilvl w:val="0"/>
          <w:numId w:val="14"/>
        </w:numPr>
        <w:rPr>
          <w:szCs w:val="24"/>
        </w:rPr>
      </w:pPr>
      <w:r w:rsidRPr="00190D6B">
        <w:rPr>
          <w:b/>
          <w:bCs/>
          <w:szCs w:val="24"/>
          <w:u w:val="single"/>
        </w:rPr>
        <w:t>Pitch and Putt</w:t>
      </w:r>
      <w:r w:rsidRPr="00190D6B">
        <w:rPr>
          <w:szCs w:val="24"/>
        </w:rPr>
        <w:t xml:space="preserve"> (to front of Kingsland Pavilion) – camping for competitors and families – Appendix 1 image 3</w:t>
      </w:r>
    </w:p>
    <w:p w14:paraId="68A373DB" w14:textId="77777777" w:rsidR="00190D6B" w:rsidRPr="00190D6B" w:rsidRDefault="00190D6B" w:rsidP="00874464">
      <w:pPr>
        <w:numPr>
          <w:ilvl w:val="0"/>
          <w:numId w:val="14"/>
        </w:numPr>
        <w:rPr>
          <w:szCs w:val="24"/>
        </w:rPr>
      </w:pPr>
      <w:r w:rsidRPr="00190D6B">
        <w:rPr>
          <w:b/>
          <w:bCs/>
          <w:szCs w:val="24"/>
          <w:u w:val="single"/>
        </w:rPr>
        <w:t>Kingsland Sunken Gardens</w:t>
      </w:r>
      <w:r w:rsidRPr="00190D6B">
        <w:rPr>
          <w:szCs w:val="24"/>
        </w:rPr>
        <w:t xml:space="preserve"> - 24</w:t>
      </w:r>
      <w:r w:rsidRPr="00190D6B">
        <w:rPr>
          <w:szCs w:val="24"/>
          <w:vertAlign w:val="superscript"/>
        </w:rPr>
        <w:t>th</w:t>
      </w:r>
      <w:r w:rsidRPr="00190D6B">
        <w:rPr>
          <w:szCs w:val="24"/>
        </w:rPr>
        <w:t xml:space="preserve"> July to 4</w:t>
      </w:r>
      <w:r w:rsidRPr="00190D6B">
        <w:rPr>
          <w:szCs w:val="24"/>
          <w:vertAlign w:val="superscript"/>
        </w:rPr>
        <w:t>th</w:t>
      </w:r>
      <w:r w:rsidRPr="00190D6B">
        <w:rPr>
          <w:szCs w:val="24"/>
        </w:rPr>
        <w:t xml:space="preserve"> August from 9.30am - 6.30pm.They were requesting to use this area for clothing stalls, a craft area, a sand pit, food vendors and interactive talks for the participants and their families.  There will be stalls for sailing merchandise, crafts for kids and talks using gazebos / marquees to cover and quiet zones for competitors and their coaches to talk (seating and tables) – Appendix 1 image 4</w:t>
      </w:r>
    </w:p>
    <w:p w14:paraId="61A091A4" w14:textId="77777777" w:rsidR="00190D6B" w:rsidRPr="00190D6B" w:rsidRDefault="00190D6B" w:rsidP="00874464">
      <w:pPr>
        <w:numPr>
          <w:ilvl w:val="0"/>
          <w:numId w:val="14"/>
        </w:numPr>
        <w:rPr>
          <w:szCs w:val="24"/>
        </w:rPr>
      </w:pPr>
      <w:r w:rsidRPr="00190D6B">
        <w:rPr>
          <w:b/>
          <w:bCs/>
          <w:szCs w:val="24"/>
          <w:u w:val="single"/>
        </w:rPr>
        <w:t>Kingsland Tennis courts</w:t>
      </w:r>
      <w:r w:rsidRPr="00190D6B">
        <w:rPr>
          <w:szCs w:val="24"/>
        </w:rPr>
        <w:t xml:space="preserve"> – bottom 2 tennis courts surrounded by wooden fencing, for boat storage – Appendix 1 image 5</w:t>
      </w:r>
    </w:p>
    <w:p w14:paraId="68002ECC" w14:textId="77777777" w:rsidR="00190D6B" w:rsidRPr="00190D6B" w:rsidRDefault="00190D6B" w:rsidP="00190D6B">
      <w:pPr>
        <w:rPr>
          <w:szCs w:val="24"/>
        </w:rPr>
      </w:pPr>
    </w:p>
    <w:p w14:paraId="6A10295D" w14:textId="77777777" w:rsidR="00190D6B" w:rsidRPr="00190D6B" w:rsidRDefault="00190D6B" w:rsidP="00190D6B">
      <w:pPr>
        <w:rPr>
          <w:szCs w:val="24"/>
        </w:rPr>
      </w:pPr>
      <w:r w:rsidRPr="00190D6B">
        <w:rPr>
          <w:szCs w:val="24"/>
        </w:rPr>
        <w:lastRenderedPageBreak/>
        <w:t xml:space="preserve">Council officers had been consulted and had no objections to the request.  They had advised that an application will needed to be made to Environmental Health for a caravan site licence for the facilitation of the motorhomes.  </w:t>
      </w:r>
    </w:p>
    <w:p w14:paraId="090FCC26" w14:textId="77777777" w:rsidR="00190D6B" w:rsidRPr="00190D6B" w:rsidRDefault="00190D6B" w:rsidP="00190D6B">
      <w:pPr>
        <w:rPr>
          <w:szCs w:val="24"/>
        </w:rPr>
      </w:pPr>
    </w:p>
    <w:p w14:paraId="3E178ED8" w14:textId="77777777" w:rsidR="00190D6B" w:rsidRPr="00190D6B" w:rsidRDefault="00190D6B" w:rsidP="00190D6B">
      <w:pPr>
        <w:rPr>
          <w:szCs w:val="24"/>
        </w:rPr>
      </w:pPr>
      <w:bookmarkStart w:id="5" w:name="_Hlk148694940"/>
      <w:r w:rsidRPr="00190D6B">
        <w:rPr>
          <w:szCs w:val="24"/>
        </w:rPr>
        <w:t>Members should have noted that the Club would shortly be submitting a business case to the Council Tourism events fund. Should scoring meet the required threshold, the event would receive Council funding from 2024/5 budget.  Additionally, tourism staff had been assisting the Club in relation to the requirement for the overnight accommodation aspect of the request, by way of the temporary caravan site licence and the associated conditions that would be necessary.  The event had the potential to see approximately 350 competitors (children) accompanied by parents and siblings for the week of competition and additional time either side of competition week aiding borough spend across local tourism and retail businesses.</w:t>
      </w:r>
    </w:p>
    <w:bookmarkEnd w:id="5"/>
    <w:p w14:paraId="28CFC16C" w14:textId="77777777" w:rsidR="00190D6B" w:rsidRPr="00190D6B" w:rsidRDefault="00190D6B" w:rsidP="00190D6B">
      <w:pPr>
        <w:rPr>
          <w:szCs w:val="24"/>
        </w:rPr>
      </w:pPr>
    </w:p>
    <w:p w14:paraId="453C149D" w14:textId="77777777" w:rsidR="00190D6B" w:rsidRPr="00190D6B" w:rsidRDefault="00190D6B" w:rsidP="00190D6B">
      <w:pPr>
        <w:rPr>
          <w:szCs w:val="24"/>
        </w:rPr>
      </w:pPr>
      <w:r w:rsidRPr="00190D6B">
        <w:rPr>
          <w:szCs w:val="24"/>
        </w:rPr>
        <w:t>Any approval should be subject to the following terms and conditions:</w:t>
      </w:r>
    </w:p>
    <w:p w14:paraId="2CEFB6B5" w14:textId="77777777" w:rsidR="00190D6B" w:rsidRPr="00190D6B" w:rsidRDefault="00190D6B" w:rsidP="00190D6B">
      <w:pPr>
        <w:rPr>
          <w:szCs w:val="24"/>
        </w:rPr>
      </w:pPr>
    </w:p>
    <w:p w14:paraId="03411845" w14:textId="77777777" w:rsidR="00190D6B" w:rsidRPr="00190D6B" w:rsidRDefault="00190D6B" w:rsidP="00874464">
      <w:pPr>
        <w:numPr>
          <w:ilvl w:val="0"/>
          <w:numId w:val="1"/>
        </w:numPr>
        <w:rPr>
          <w:szCs w:val="24"/>
        </w:rPr>
      </w:pPr>
      <w:r w:rsidRPr="00190D6B">
        <w:rPr>
          <w:szCs w:val="24"/>
        </w:rPr>
        <w:t>Providing a list of all traders attending the event and paying the appropriate fee in line with Council policy (£30 for up to 3 traders and £10 per trader after this).</w:t>
      </w:r>
    </w:p>
    <w:p w14:paraId="734CD2B9" w14:textId="77777777" w:rsidR="00190D6B" w:rsidRPr="00190D6B" w:rsidRDefault="00190D6B" w:rsidP="00874464">
      <w:pPr>
        <w:numPr>
          <w:ilvl w:val="0"/>
          <w:numId w:val="1"/>
        </w:numPr>
        <w:rPr>
          <w:szCs w:val="24"/>
        </w:rPr>
      </w:pPr>
      <w:r w:rsidRPr="00190D6B">
        <w:rPr>
          <w:szCs w:val="24"/>
        </w:rPr>
        <w:t>Providing a risk assessment and event management plan.</w:t>
      </w:r>
    </w:p>
    <w:p w14:paraId="653D043C" w14:textId="77777777" w:rsidR="00190D6B" w:rsidRPr="00190D6B" w:rsidRDefault="00190D6B" w:rsidP="00874464">
      <w:pPr>
        <w:numPr>
          <w:ilvl w:val="0"/>
          <w:numId w:val="1"/>
        </w:numPr>
        <w:rPr>
          <w:szCs w:val="24"/>
        </w:rPr>
      </w:pPr>
      <w:r w:rsidRPr="00190D6B">
        <w:rPr>
          <w:szCs w:val="24"/>
        </w:rPr>
        <w:t>Display public notices for at least two weeks before the event to notify the public that said event is due to take place in the area.  Signage to be agreed in advance with appropriate Council officer.</w:t>
      </w:r>
    </w:p>
    <w:p w14:paraId="70D85A78" w14:textId="77777777" w:rsidR="00190D6B" w:rsidRPr="00190D6B" w:rsidRDefault="00190D6B" w:rsidP="00874464">
      <w:pPr>
        <w:numPr>
          <w:ilvl w:val="0"/>
          <w:numId w:val="1"/>
        </w:numPr>
        <w:rPr>
          <w:szCs w:val="24"/>
        </w:rPr>
      </w:pPr>
      <w:r w:rsidRPr="00190D6B">
        <w:rPr>
          <w:szCs w:val="24"/>
        </w:rPr>
        <w:t>Public notices must be removed after the event within seven days.</w:t>
      </w:r>
    </w:p>
    <w:p w14:paraId="3713A448" w14:textId="77777777" w:rsidR="00190D6B" w:rsidRPr="00190D6B" w:rsidRDefault="00190D6B" w:rsidP="00874464">
      <w:pPr>
        <w:numPr>
          <w:ilvl w:val="0"/>
          <w:numId w:val="1"/>
        </w:numPr>
        <w:rPr>
          <w:szCs w:val="24"/>
        </w:rPr>
      </w:pPr>
      <w:r w:rsidRPr="00190D6B">
        <w:rPr>
          <w:szCs w:val="24"/>
        </w:rPr>
        <w:t>Provide evidence of relevant insurances and fully indemnifying Council against all risks associated with the use of land or property.</w:t>
      </w:r>
    </w:p>
    <w:p w14:paraId="07922D36" w14:textId="77777777" w:rsidR="00190D6B" w:rsidRPr="00190D6B" w:rsidRDefault="00190D6B" w:rsidP="00874464">
      <w:pPr>
        <w:numPr>
          <w:ilvl w:val="0"/>
          <w:numId w:val="1"/>
        </w:numPr>
        <w:rPr>
          <w:szCs w:val="24"/>
        </w:rPr>
      </w:pPr>
      <w:r w:rsidRPr="00190D6B">
        <w:rPr>
          <w:szCs w:val="24"/>
        </w:rPr>
        <w:t>Make good any damage caused during the use to the satisfaction of Council officers.  Should the Council have to undertake remedial works the costs will be recovered from the organiser.</w:t>
      </w:r>
    </w:p>
    <w:p w14:paraId="0DDD15EF" w14:textId="77777777" w:rsidR="00190D6B" w:rsidRPr="00190D6B" w:rsidRDefault="00190D6B" w:rsidP="00874464">
      <w:pPr>
        <w:numPr>
          <w:ilvl w:val="0"/>
          <w:numId w:val="1"/>
        </w:numPr>
        <w:rPr>
          <w:szCs w:val="24"/>
        </w:rPr>
      </w:pPr>
      <w:r w:rsidRPr="00190D6B">
        <w:rPr>
          <w:szCs w:val="24"/>
        </w:rPr>
        <w:t>Put in place protective measures for areas where important natural heritage is present.</w:t>
      </w:r>
    </w:p>
    <w:p w14:paraId="759F36D5" w14:textId="77777777" w:rsidR="00190D6B" w:rsidRPr="00190D6B" w:rsidRDefault="00190D6B" w:rsidP="00874464">
      <w:pPr>
        <w:numPr>
          <w:ilvl w:val="0"/>
          <w:numId w:val="1"/>
        </w:numPr>
        <w:rPr>
          <w:szCs w:val="24"/>
        </w:rPr>
      </w:pPr>
      <w:r w:rsidRPr="00190D6B">
        <w:rPr>
          <w:szCs w:val="24"/>
        </w:rPr>
        <w:t>Arrange for the collection and subsequent removal of all litter and other debris from the main event and adjacent areas during the event, as well as once the event had concluded, however, should the Council have to do any additional cleaning the costs will be recovered from the organiser.</w:t>
      </w:r>
    </w:p>
    <w:p w14:paraId="78076E61" w14:textId="77777777" w:rsidR="00190D6B" w:rsidRPr="00190D6B" w:rsidRDefault="00190D6B" w:rsidP="00874464">
      <w:pPr>
        <w:numPr>
          <w:ilvl w:val="0"/>
          <w:numId w:val="1"/>
        </w:numPr>
        <w:rPr>
          <w:szCs w:val="24"/>
        </w:rPr>
      </w:pPr>
      <w:r w:rsidRPr="00190D6B">
        <w:rPr>
          <w:szCs w:val="24"/>
        </w:rPr>
        <w:t xml:space="preserve">Put in place plans for recycling waste.  </w:t>
      </w:r>
    </w:p>
    <w:p w14:paraId="502279BF" w14:textId="77777777" w:rsidR="00190D6B" w:rsidRPr="00190D6B" w:rsidRDefault="00190D6B" w:rsidP="00874464">
      <w:pPr>
        <w:numPr>
          <w:ilvl w:val="0"/>
          <w:numId w:val="1"/>
        </w:numPr>
        <w:rPr>
          <w:szCs w:val="24"/>
        </w:rPr>
      </w:pPr>
      <w:r w:rsidRPr="00190D6B">
        <w:rPr>
          <w:szCs w:val="24"/>
        </w:rPr>
        <w:t>Arrange for the prompt removal of any items used in connection with the event.</w:t>
      </w:r>
    </w:p>
    <w:p w14:paraId="55A56DA0" w14:textId="77777777" w:rsidR="00190D6B" w:rsidRPr="00190D6B" w:rsidRDefault="00190D6B" w:rsidP="00874464">
      <w:pPr>
        <w:numPr>
          <w:ilvl w:val="0"/>
          <w:numId w:val="1"/>
        </w:numPr>
        <w:rPr>
          <w:szCs w:val="24"/>
        </w:rPr>
      </w:pPr>
      <w:r w:rsidRPr="00190D6B">
        <w:rPr>
          <w:szCs w:val="24"/>
        </w:rPr>
        <w:t>Put in place plans to limit any negative impact on the public using the land at the same time as the event.</w:t>
      </w:r>
    </w:p>
    <w:p w14:paraId="466B79C7" w14:textId="77777777" w:rsidR="00190D6B" w:rsidRPr="00190D6B" w:rsidRDefault="00190D6B" w:rsidP="00874464">
      <w:pPr>
        <w:numPr>
          <w:ilvl w:val="0"/>
          <w:numId w:val="1"/>
        </w:numPr>
        <w:rPr>
          <w:szCs w:val="24"/>
        </w:rPr>
      </w:pPr>
      <w:r w:rsidRPr="00190D6B">
        <w:rPr>
          <w:szCs w:val="24"/>
        </w:rPr>
        <w:t>Obtain and provide evidence of permits/licences/registrations and approvals.</w:t>
      </w:r>
    </w:p>
    <w:p w14:paraId="242B9B4A" w14:textId="77777777" w:rsidR="00190D6B" w:rsidRPr="00190D6B" w:rsidRDefault="00190D6B" w:rsidP="00874464">
      <w:pPr>
        <w:numPr>
          <w:ilvl w:val="0"/>
          <w:numId w:val="1"/>
        </w:numPr>
        <w:rPr>
          <w:szCs w:val="24"/>
        </w:rPr>
      </w:pPr>
      <w:r w:rsidRPr="00190D6B">
        <w:rPr>
          <w:szCs w:val="24"/>
        </w:rPr>
        <w:t>Indemnify the Council against all claims which may result from the event or use of the area, and to provide the Council with a copy of the relevant insurance policy.</w:t>
      </w:r>
    </w:p>
    <w:p w14:paraId="37F1311D" w14:textId="77777777" w:rsidR="00190D6B" w:rsidRPr="00190D6B" w:rsidRDefault="00190D6B" w:rsidP="00874464">
      <w:pPr>
        <w:numPr>
          <w:ilvl w:val="0"/>
          <w:numId w:val="1"/>
        </w:numPr>
        <w:rPr>
          <w:szCs w:val="24"/>
        </w:rPr>
      </w:pPr>
      <w:r w:rsidRPr="00190D6B">
        <w:rPr>
          <w:szCs w:val="24"/>
        </w:rPr>
        <w:t>Ensure that only the designated area, or areas specified by Council officers are used for the event.</w:t>
      </w:r>
    </w:p>
    <w:p w14:paraId="3AF5E719" w14:textId="77777777" w:rsidR="00190D6B" w:rsidRPr="00190D6B" w:rsidRDefault="00190D6B" w:rsidP="00874464">
      <w:pPr>
        <w:numPr>
          <w:ilvl w:val="0"/>
          <w:numId w:val="1"/>
        </w:numPr>
        <w:rPr>
          <w:szCs w:val="24"/>
        </w:rPr>
      </w:pPr>
      <w:r w:rsidRPr="00190D6B">
        <w:rPr>
          <w:szCs w:val="24"/>
        </w:rPr>
        <w:lastRenderedPageBreak/>
        <w:t>Ensure that adequate marshals/staff are placed throughout the designated area to ensure that members of the public are not endangered by the event.</w:t>
      </w:r>
    </w:p>
    <w:p w14:paraId="06AF8174" w14:textId="77777777" w:rsidR="00190D6B" w:rsidRPr="00190D6B" w:rsidRDefault="00190D6B" w:rsidP="00874464">
      <w:pPr>
        <w:numPr>
          <w:ilvl w:val="0"/>
          <w:numId w:val="1"/>
        </w:numPr>
        <w:rPr>
          <w:szCs w:val="24"/>
        </w:rPr>
      </w:pPr>
      <w:r w:rsidRPr="00190D6B">
        <w:rPr>
          <w:szCs w:val="24"/>
        </w:rPr>
        <w:t>Where electrical supplies are being used, this must be agreed in advance with Council officers.  Additional costs may apply depending on the services required.</w:t>
      </w:r>
    </w:p>
    <w:p w14:paraId="1605EAAD" w14:textId="77777777" w:rsidR="00190D6B" w:rsidRPr="00190D6B" w:rsidRDefault="00190D6B" w:rsidP="00874464">
      <w:pPr>
        <w:numPr>
          <w:ilvl w:val="0"/>
          <w:numId w:val="1"/>
        </w:numPr>
        <w:rPr>
          <w:szCs w:val="24"/>
        </w:rPr>
      </w:pPr>
      <w:r w:rsidRPr="00190D6B">
        <w:rPr>
          <w:szCs w:val="24"/>
        </w:rPr>
        <w:t>No petrol generators are to be used.</w:t>
      </w:r>
    </w:p>
    <w:p w14:paraId="7C08B6C7" w14:textId="77777777" w:rsidR="00190D6B" w:rsidRPr="00190D6B" w:rsidRDefault="00190D6B" w:rsidP="00874464">
      <w:pPr>
        <w:numPr>
          <w:ilvl w:val="0"/>
          <w:numId w:val="1"/>
        </w:numPr>
        <w:rPr>
          <w:szCs w:val="24"/>
        </w:rPr>
      </w:pPr>
      <w:r w:rsidRPr="00190D6B">
        <w:rPr>
          <w:szCs w:val="24"/>
        </w:rPr>
        <w:t>Provide the Council with a list of any suppliers/food providers for the event at least six weeks in advance of the event taking place.</w:t>
      </w:r>
    </w:p>
    <w:p w14:paraId="7558D884" w14:textId="77777777" w:rsidR="00190D6B" w:rsidRPr="00190D6B" w:rsidRDefault="00190D6B" w:rsidP="00190D6B">
      <w:pPr>
        <w:rPr>
          <w:szCs w:val="24"/>
        </w:rPr>
      </w:pPr>
    </w:p>
    <w:p w14:paraId="6C773344" w14:textId="77777777" w:rsidR="00190D6B" w:rsidRPr="00190D6B" w:rsidRDefault="00190D6B" w:rsidP="00190D6B">
      <w:pPr>
        <w:rPr>
          <w:szCs w:val="24"/>
        </w:rPr>
      </w:pPr>
      <w:r w:rsidRPr="00190D6B">
        <w:rPr>
          <w:szCs w:val="24"/>
        </w:rPr>
        <w:t xml:space="preserve">RECOMMENDED that the Council accedes to the request from Ballyholme Yacht Club to use Council Land at Kingsland, Bangor during the European Youth Championships, subject to the terms and conditions outlined in this report.   </w:t>
      </w:r>
    </w:p>
    <w:p w14:paraId="33F6A686" w14:textId="77777777" w:rsidR="00190D6B" w:rsidRPr="00190D6B" w:rsidRDefault="00190D6B" w:rsidP="00190D6B">
      <w:pPr>
        <w:rPr>
          <w:szCs w:val="24"/>
        </w:rPr>
      </w:pPr>
    </w:p>
    <w:p w14:paraId="185F2F09" w14:textId="77777777" w:rsidR="00190D6B" w:rsidRPr="00190D6B" w:rsidRDefault="00190D6B" w:rsidP="00190D6B">
      <w:pPr>
        <w:rPr>
          <w:szCs w:val="24"/>
        </w:rPr>
      </w:pPr>
      <w:r w:rsidRPr="00190D6B">
        <w:rPr>
          <w:szCs w:val="24"/>
        </w:rPr>
        <w:t>Proposed by Councillor W Irvine, seconded by Councillor McCracken, that the recommendation be adopted.</w:t>
      </w:r>
    </w:p>
    <w:p w14:paraId="169C2345" w14:textId="77777777" w:rsidR="00190D6B" w:rsidRPr="00190D6B" w:rsidRDefault="00190D6B" w:rsidP="00190D6B">
      <w:pPr>
        <w:rPr>
          <w:szCs w:val="24"/>
        </w:rPr>
      </w:pPr>
    </w:p>
    <w:p w14:paraId="7F01CDFA" w14:textId="77777777" w:rsidR="00190D6B" w:rsidRPr="00190D6B" w:rsidRDefault="00190D6B" w:rsidP="00190D6B">
      <w:pPr>
        <w:rPr>
          <w:szCs w:val="24"/>
        </w:rPr>
      </w:pPr>
      <w:r w:rsidRPr="00190D6B">
        <w:rPr>
          <w:szCs w:val="24"/>
        </w:rPr>
        <w:t>The proposer, Councillor W Irvine asked if any alternatives had been put in place to allow the regular activities such as the tennis courts, in the Kingsland area to continue operation during what would normally be a busy period. The Head of Administration suspected that any issues would have been raised throughout the internal officer consultation but she would follow up on the query.</w:t>
      </w:r>
    </w:p>
    <w:p w14:paraId="0347EDB4" w14:textId="77777777" w:rsidR="00190D6B" w:rsidRPr="00190D6B" w:rsidRDefault="00190D6B" w:rsidP="00190D6B">
      <w:pPr>
        <w:rPr>
          <w:szCs w:val="24"/>
        </w:rPr>
      </w:pPr>
    </w:p>
    <w:p w14:paraId="7976CBDC" w14:textId="70846D08" w:rsidR="00190D6B" w:rsidRPr="00190D6B" w:rsidRDefault="00190D6B" w:rsidP="00190D6B">
      <w:r w:rsidRPr="00190D6B">
        <w:rPr>
          <w:szCs w:val="24"/>
        </w:rPr>
        <w:t xml:space="preserve">Councillor McCracken noted that the tennis courts referred to by Councillor W Irvine were currently without nets and as a separate issue that was something he was trying to address. However in terms of the current application, he asked if there would be any implications for two coffee vans that were licenced traders in the area. The Head of </w:t>
      </w:r>
      <w:r w:rsidR="00181B6F" w:rsidRPr="00190D6B">
        <w:rPr>
          <w:szCs w:val="24"/>
        </w:rPr>
        <w:t>Administration</w:t>
      </w:r>
      <w:r w:rsidRPr="00190D6B">
        <w:rPr>
          <w:szCs w:val="24"/>
        </w:rPr>
        <w:t xml:space="preserve"> advised that the Tourism team managed the contracts for those and would have flagged up any issues during the internal consultation but she would also check on that and respond directly to the Member.</w:t>
      </w:r>
    </w:p>
    <w:p w14:paraId="5D779CFA" w14:textId="77777777" w:rsidR="00190D6B" w:rsidRPr="00190D6B" w:rsidRDefault="00190D6B" w:rsidP="00190D6B">
      <w:pPr>
        <w:rPr>
          <w:b/>
          <w:bCs/>
        </w:rPr>
      </w:pPr>
    </w:p>
    <w:p w14:paraId="50CDFC82" w14:textId="77777777" w:rsidR="00190D6B" w:rsidRPr="00190D6B" w:rsidRDefault="00190D6B" w:rsidP="00190D6B">
      <w:pPr>
        <w:rPr>
          <w:b/>
          <w:bCs/>
        </w:rPr>
      </w:pPr>
      <w:r w:rsidRPr="00190D6B">
        <w:rPr>
          <w:b/>
          <w:bCs/>
        </w:rPr>
        <w:t>AGREED TO RECOMMEND, on the proposal of Councillor W Irvine, seconded by Councillor McCracken, that the recommendation be adopted.</w:t>
      </w:r>
    </w:p>
    <w:p w14:paraId="095CF154" w14:textId="77777777" w:rsidR="00190D6B" w:rsidRPr="00190D6B" w:rsidRDefault="00190D6B" w:rsidP="00190D6B">
      <w:pPr>
        <w:rPr>
          <w:rFonts w:eastAsia="Times New Roman" w:cs="Arial"/>
          <w:b/>
          <w:szCs w:val="24"/>
          <w:lang w:eastAsia="en-GB"/>
        </w:rPr>
      </w:pPr>
    </w:p>
    <w:p w14:paraId="4DA2DEC9" w14:textId="77777777" w:rsidR="00190D6B" w:rsidRPr="00190D6B" w:rsidRDefault="00190D6B" w:rsidP="00190D6B">
      <w:pPr>
        <w:keepNext/>
        <w:keepLines/>
        <w:outlineLvl w:val="0"/>
        <w:rPr>
          <w:rFonts w:eastAsia="Times New Roman"/>
          <w:b/>
          <w:caps/>
          <w:sz w:val="28"/>
          <w:szCs w:val="32"/>
          <w:u w:val="single"/>
        </w:rPr>
      </w:pPr>
      <w:r w:rsidRPr="00190D6B">
        <w:rPr>
          <w:rFonts w:eastAsia="Times New Roman"/>
          <w:b/>
          <w:caps/>
          <w:sz w:val="28"/>
          <w:szCs w:val="32"/>
        </w:rPr>
        <w:t>13.</w:t>
      </w:r>
      <w:r w:rsidRPr="00190D6B">
        <w:rPr>
          <w:rFonts w:eastAsia="Times New Roman"/>
          <w:b/>
          <w:caps/>
          <w:sz w:val="28"/>
          <w:szCs w:val="32"/>
        </w:rPr>
        <w:tab/>
      </w:r>
      <w:r w:rsidRPr="00190D6B">
        <w:rPr>
          <w:rFonts w:eastAsia="Times New Roman"/>
          <w:b/>
          <w:caps/>
          <w:sz w:val="28"/>
          <w:szCs w:val="32"/>
          <w:u w:val="single"/>
        </w:rPr>
        <w:t>notices of motion</w:t>
      </w:r>
    </w:p>
    <w:p w14:paraId="7C49927E" w14:textId="77777777" w:rsidR="00190D6B" w:rsidRPr="00190D6B" w:rsidRDefault="00190D6B" w:rsidP="00190D6B">
      <w:pPr>
        <w:ind w:left="720"/>
        <w:rPr>
          <w:rFonts w:eastAsiaTheme="minorHAnsi" w:cs="Arial"/>
          <w:szCs w:val="24"/>
        </w:rPr>
      </w:pPr>
    </w:p>
    <w:p w14:paraId="2D85E4EF" w14:textId="77777777" w:rsidR="00190D6B" w:rsidRPr="00190D6B" w:rsidRDefault="00190D6B" w:rsidP="00190D6B">
      <w:pPr>
        <w:keepNext/>
        <w:keepLines/>
        <w:spacing w:before="40"/>
        <w:outlineLvl w:val="1"/>
        <w:rPr>
          <w:rFonts w:eastAsia="Times New Roman"/>
          <w:b/>
          <w:szCs w:val="26"/>
          <w:u w:val="single"/>
        </w:rPr>
      </w:pPr>
      <w:r w:rsidRPr="00190D6B">
        <w:rPr>
          <w:rFonts w:eastAsia="Times New Roman"/>
          <w:b/>
          <w:caps/>
          <w:szCs w:val="26"/>
        </w:rPr>
        <w:t>13.1</w:t>
      </w:r>
      <w:r w:rsidRPr="00190D6B">
        <w:rPr>
          <w:rFonts w:eastAsia="Times New Roman"/>
          <w:b/>
          <w:caps/>
          <w:szCs w:val="26"/>
        </w:rPr>
        <w:tab/>
      </w:r>
      <w:r w:rsidRPr="00190D6B">
        <w:rPr>
          <w:rFonts w:eastAsia="Times New Roman"/>
          <w:b/>
          <w:szCs w:val="26"/>
          <w:u w:val="single"/>
        </w:rPr>
        <w:t>Notice of Motion submitted by Councillor Cathcart and Councillor Martin</w:t>
      </w:r>
    </w:p>
    <w:p w14:paraId="04AC73BA" w14:textId="77777777" w:rsidR="00190D6B" w:rsidRPr="00190D6B" w:rsidRDefault="00190D6B" w:rsidP="00190D6B">
      <w:pPr>
        <w:ind w:left="790"/>
        <w:rPr>
          <w:rFonts w:eastAsia="Times New Roman" w:cs="Arial"/>
          <w:szCs w:val="24"/>
        </w:rPr>
      </w:pPr>
    </w:p>
    <w:p w14:paraId="66E0644F" w14:textId="77777777" w:rsidR="00190D6B" w:rsidRPr="00190D6B" w:rsidRDefault="00190D6B" w:rsidP="00190D6B">
      <w:pPr>
        <w:ind w:left="790"/>
        <w:rPr>
          <w:rFonts w:eastAsia="Times New Roman" w:cs="Arial"/>
          <w:szCs w:val="24"/>
        </w:rPr>
      </w:pPr>
      <w:r w:rsidRPr="00190D6B">
        <w:rPr>
          <w:rFonts w:cs="Arial"/>
          <w:szCs w:val="24"/>
        </w:rPr>
        <w:t>That this Council, further to recent positive discussions with landowners, agrees to reexamine the April 2014 decision of North Down Borough Council to accept a gift of open space at Ambleside, Bangor, which was never completed and tasks Council Officers to bring back a report looking at (i) acquiring the land and (ii) options around future uses for the land</w:t>
      </w:r>
    </w:p>
    <w:p w14:paraId="49751E50" w14:textId="77777777" w:rsidR="00190D6B" w:rsidRPr="00190D6B" w:rsidRDefault="00190D6B" w:rsidP="00190D6B">
      <w:pPr>
        <w:ind w:left="790"/>
        <w:rPr>
          <w:rFonts w:eastAsia="Times New Roman" w:cs="Arial"/>
          <w:szCs w:val="24"/>
        </w:rPr>
      </w:pPr>
    </w:p>
    <w:p w14:paraId="2D18C751" w14:textId="77777777" w:rsidR="00190D6B" w:rsidRPr="00190D6B" w:rsidRDefault="00190D6B" w:rsidP="00190D6B">
      <w:pPr>
        <w:rPr>
          <w:rFonts w:eastAsia="Times New Roman" w:cs="Arial"/>
          <w:szCs w:val="24"/>
        </w:rPr>
      </w:pPr>
      <w:r w:rsidRPr="00190D6B">
        <w:rPr>
          <w:rFonts w:eastAsia="Times New Roman" w:cs="Arial"/>
          <w:szCs w:val="24"/>
        </w:rPr>
        <w:t>The proposer, Councillor Cathcart, joined the meeting remotely.</w:t>
      </w:r>
    </w:p>
    <w:p w14:paraId="2AA3499D" w14:textId="77777777" w:rsidR="00190D6B" w:rsidRPr="00190D6B" w:rsidRDefault="00190D6B" w:rsidP="00190D6B">
      <w:pPr>
        <w:rPr>
          <w:rFonts w:eastAsia="Times New Roman" w:cs="Arial"/>
          <w:szCs w:val="24"/>
        </w:rPr>
      </w:pPr>
    </w:p>
    <w:p w14:paraId="554BE80C" w14:textId="77777777" w:rsidR="00190D6B" w:rsidRPr="00190D6B" w:rsidRDefault="00190D6B" w:rsidP="00190D6B">
      <w:pPr>
        <w:rPr>
          <w:rFonts w:eastAsia="Times New Roman" w:cs="Arial"/>
          <w:szCs w:val="24"/>
        </w:rPr>
      </w:pPr>
      <w:r w:rsidRPr="00190D6B">
        <w:rPr>
          <w:rFonts w:eastAsia="Times New Roman" w:cs="Arial"/>
          <w:szCs w:val="24"/>
        </w:rPr>
        <w:t>Proposed by Councillor Cathcart, seconded by Councillor Gilmour, that the notice of motion be adopted.</w:t>
      </w:r>
    </w:p>
    <w:p w14:paraId="5C11F04C" w14:textId="77777777" w:rsidR="00190D6B" w:rsidRPr="00190D6B" w:rsidRDefault="00190D6B" w:rsidP="00190D6B">
      <w:pPr>
        <w:rPr>
          <w:rFonts w:eastAsia="Times New Roman" w:cs="Arial"/>
          <w:szCs w:val="24"/>
        </w:rPr>
      </w:pPr>
    </w:p>
    <w:p w14:paraId="373C6894" w14:textId="77777777" w:rsidR="00190D6B" w:rsidRPr="00190D6B" w:rsidRDefault="00190D6B" w:rsidP="00190D6B">
      <w:pPr>
        <w:rPr>
          <w:rFonts w:eastAsia="Times New Roman" w:cs="Arial"/>
          <w:szCs w:val="24"/>
        </w:rPr>
      </w:pPr>
      <w:r w:rsidRPr="00190D6B">
        <w:rPr>
          <w:rFonts w:eastAsia="Times New Roman" w:cs="Arial"/>
          <w:szCs w:val="24"/>
        </w:rPr>
        <w:lastRenderedPageBreak/>
        <w:t xml:space="preserve">The proposer provided some history around what was a designated area of open space located between Ambleside Drive and Windermere Drive in Bangor. </w:t>
      </w:r>
    </w:p>
    <w:p w14:paraId="2384CEDC" w14:textId="77777777" w:rsidR="00190D6B" w:rsidRPr="00190D6B" w:rsidRDefault="00190D6B" w:rsidP="00190D6B">
      <w:pPr>
        <w:rPr>
          <w:rFonts w:eastAsia="Times New Roman" w:cs="Arial"/>
          <w:szCs w:val="24"/>
        </w:rPr>
      </w:pPr>
    </w:p>
    <w:p w14:paraId="39008046" w14:textId="77777777" w:rsidR="00190D6B" w:rsidRPr="00190D6B" w:rsidRDefault="00190D6B" w:rsidP="00190D6B">
      <w:pPr>
        <w:rPr>
          <w:rFonts w:eastAsia="Times New Roman" w:cs="Arial"/>
          <w:szCs w:val="24"/>
        </w:rPr>
      </w:pPr>
      <w:r w:rsidRPr="00190D6B">
        <w:rPr>
          <w:rFonts w:eastAsia="Times New Roman" w:cs="Arial"/>
          <w:szCs w:val="24"/>
        </w:rPr>
        <w:t>He was aware that the housing developments had been built in the 1960s and 1970s, at a time when there was no management arranged for maintenance of residential areas, as would be the case with modern developments. He understood that the area had been maintained by various landowners over the years but recalled as a child that the Council had placed up a sign prohibiting ball games at the site, so assumed the local authority had acquired an interest in the land at that point. From a period after that though, the land appeared to be abandoned and tests throughout the planning system had determined that it was designated open space.</w:t>
      </w:r>
    </w:p>
    <w:p w14:paraId="6345D9AA" w14:textId="77777777" w:rsidR="00190D6B" w:rsidRPr="00190D6B" w:rsidRDefault="00190D6B" w:rsidP="00190D6B">
      <w:pPr>
        <w:rPr>
          <w:rFonts w:eastAsia="Times New Roman" w:cs="Arial"/>
          <w:szCs w:val="24"/>
        </w:rPr>
      </w:pPr>
    </w:p>
    <w:p w14:paraId="09BC3F9A" w14:textId="77777777" w:rsidR="00190D6B" w:rsidRPr="00190D6B" w:rsidRDefault="00190D6B" w:rsidP="00190D6B">
      <w:pPr>
        <w:rPr>
          <w:rFonts w:eastAsia="Times New Roman" w:cs="Arial"/>
          <w:szCs w:val="24"/>
        </w:rPr>
      </w:pPr>
      <w:r w:rsidRPr="00190D6B">
        <w:rPr>
          <w:rFonts w:eastAsia="Times New Roman" w:cs="Arial"/>
          <w:szCs w:val="24"/>
        </w:rPr>
        <w:t xml:space="preserve">The proposer recalled the previous decision of the legacy North Down Borough Council to accept the gift of the land which was never completed. He was unable to go into the confidential reasons behind that decision but it was left open for reengagement in the future. </w:t>
      </w:r>
    </w:p>
    <w:p w14:paraId="15E0BF8E" w14:textId="77777777" w:rsidR="00190D6B" w:rsidRPr="00190D6B" w:rsidRDefault="00190D6B" w:rsidP="00190D6B">
      <w:pPr>
        <w:rPr>
          <w:rFonts w:eastAsia="Times New Roman" w:cs="Arial"/>
          <w:szCs w:val="24"/>
        </w:rPr>
      </w:pPr>
    </w:p>
    <w:p w14:paraId="6A215E6F" w14:textId="77777777" w:rsidR="00190D6B" w:rsidRPr="00190D6B" w:rsidRDefault="00190D6B" w:rsidP="00190D6B">
      <w:pPr>
        <w:rPr>
          <w:rFonts w:eastAsia="Times New Roman" w:cs="Arial"/>
          <w:szCs w:val="24"/>
        </w:rPr>
      </w:pPr>
      <w:r w:rsidRPr="00190D6B">
        <w:rPr>
          <w:rFonts w:eastAsia="Times New Roman" w:cs="Arial"/>
          <w:szCs w:val="24"/>
        </w:rPr>
        <w:t>During recent engagement around the local election, residents had highlighted concerns around the condition of the land, describing it as an eyesore and raising concerns around antisocial behaviour. As a result Councillor Cathcart, along with Stephen Dunne MLA, had continued that engagement which also included contact with NI Electricity which was keen to maintain its own access as it owned a section of the land.</w:t>
      </w:r>
    </w:p>
    <w:p w14:paraId="1D30BCD7" w14:textId="77777777" w:rsidR="00190D6B" w:rsidRPr="00190D6B" w:rsidRDefault="00190D6B" w:rsidP="00190D6B">
      <w:pPr>
        <w:rPr>
          <w:rFonts w:eastAsia="Times New Roman" w:cs="Arial"/>
          <w:szCs w:val="24"/>
        </w:rPr>
      </w:pPr>
    </w:p>
    <w:p w14:paraId="71C948E3" w14:textId="77777777" w:rsidR="00190D6B" w:rsidRPr="00190D6B" w:rsidRDefault="00190D6B" w:rsidP="00190D6B">
      <w:pPr>
        <w:rPr>
          <w:rFonts w:eastAsia="Times New Roman" w:cs="Arial"/>
          <w:szCs w:val="24"/>
        </w:rPr>
      </w:pPr>
      <w:r w:rsidRPr="00190D6B">
        <w:rPr>
          <w:rFonts w:eastAsia="Times New Roman" w:cs="Arial"/>
          <w:szCs w:val="24"/>
        </w:rPr>
        <w:t>Councillor Cathcart believed that local residents were not looking for extensive work to be undertaken, but just clearance of the site and improvements such as tree planting for example, to make it a useful and more attractive space.</w:t>
      </w:r>
    </w:p>
    <w:p w14:paraId="51FE22ED" w14:textId="77777777" w:rsidR="00190D6B" w:rsidRPr="00190D6B" w:rsidRDefault="00190D6B" w:rsidP="00190D6B">
      <w:pPr>
        <w:rPr>
          <w:rFonts w:eastAsia="Times New Roman" w:cs="Arial"/>
          <w:szCs w:val="24"/>
        </w:rPr>
      </w:pPr>
    </w:p>
    <w:p w14:paraId="1D8EBEAF" w14:textId="77777777" w:rsidR="00190D6B" w:rsidRPr="00190D6B" w:rsidRDefault="00190D6B" w:rsidP="00190D6B">
      <w:pPr>
        <w:rPr>
          <w:rFonts w:eastAsia="Times New Roman" w:cs="Arial"/>
          <w:szCs w:val="24"/>
        </w:rPr>
      </w:pPr>
      <w:r w:rsidRPr="00190D6B">
        <w:rPr>
          <w:rFonts w:eastAsia="Times New Roman" w:cs="Arial"/>
          <w:szCs w:val="24"/>
        </w:rPr>
        <w:t>In closing, he explained that the motion was just to explore options at this stage and he hoped that Members could give their support to address a terrible eyesore.</w:t>
      </w:r>
    </w:p>
    <w:p w14:paraId="0835F839" w14:textId="77777777" w:rsidR="00190D6B" w:rsidRPr="00190D6B" w:rsidRDefault="00190D6B" w:rsidP="00190D6B">
      <w:pPr>
        <w:rPr>
          <w:rFonts w:eastAsia="Times New Roman" w:cs="Arial"/>
          <w:szCs w:val="24"/>
        </w:rPr>
      </w:pPr>
    </w:p>
    <w:p w14:paraId="19806279" w14:textId="77777777" w:rsidR="00190D6B" w:rsidRPr="00190D6B" w:rsidRDefault="00190D6B" w:rsidP="00190D6B">
      <w:pPr>
        <w:rPr>
          <w:rFonts w:eastAsia="Times New Roman" w:cs="Arial"/>
          <w:szCs w:val="24"/>
        </w:rPr>
      </w:pPr>
      <w:r w:rsidRPr="00190D6B">
        <w:rPr>
          <w:rFonts w:eastAsia="Times New Roman" w:cs="Arial"/>
          <w:szCs w:val="24"/>
        </w:rPr>
        <w:t>The Mayor, Councillor Gilmour, recalled the previous discussions at North Down Borough Council and remembered that the matter had been kept open for future engagement. She knew the reasoning why it wasn’t pursued at that time but she felt now was an appropriate time to re-engage and reexamine the matter.</w:t>
      </w:r>
    </w:p>
    <w:p w14:paraId="6D4E8589" w14:textId="77777777" w:rsidR="00190D6B" w:rsidRPr="00190D6B" w:rsidRDefault="00190D6B" w:rsidP="00190D6B">
      <w:pPr>
        <w:rPr>
          <w:rFonts w:eastAsia="Times New Roman" w:cs="Arial"/>
          <w:szCs w:val="24"/>
        </w:rPr>
      </w:pPr>
    </w:p>
    <w:p w14:paraId="7865C0D8" w14:textId="77777777" w:rsidR="00190D6B" w:rsidRPr="00190D6B" w:rsidRDefault="00190D6B" w:rsidP="00190D6B">
      <w:pPr>
        <w:rPr>
          <w:rFonts w:eastAsia="Times New Roman" w:cs="Arial"/>
          <w:szCs w:val="24"/>
        </w:rPr>
      </w:pPr>
      <w:r w:rsidRPr="00190D6B">
        <w:rPr>
          <w:rFonts w:eastAsia="Times New Roman" w:cs="Arial"/>
          <w:szCs w:val="24"/>
        </w:rPr>
        <w:t xml:space="preserve">Adding his support to the motion, Councillor Chambers felt that the issue had rumbled on for too many years. Over the years various politicians had attempted to address the issue including representatives of his own party who had secured a decision for Council to take ownership of the land after a planning condition for it be kept as open land. It was mistakenly never signed off though despite being maintained for a number of years by the Council. </w:t>
      </w:r>
    </w:p>
    <w:p w14:paraId="72A403D8" w14:textId="77777777" w:rsidR="00190D6B" w:rsidRPr="00190D6B" w:rsidRDefault="00190D6B" w:rsidP="00190D6B">
      <w:pPr>
        <w:rPr>
          <w:rFonts w:eastAsia="Times New Roman" w:cs="Arial"/>
          <w:szCs w:val="24"/>
        </w:rPr>
      </w:pPr>
    </w:p>
    <w:p w14:paraId="19346C88" w14:textId="77777777" w:rsidR="00190D6B" w:rsidRPr="00190D6B" w:rsidRDefault="00190D6B" w:rsidP="00190D6B">
      <w:pPr>
        <w:rPr>
          <w:rFonts w:eastAsia="Times New Roman" w:cs="Arial"/>
          <w:szCs w:val="24"/>
        </w:rPr>
      </w:pPr>
      <w:r w:rsidRPr="00190D6B">
        <w:rPr>
          <w:rFonts w:eastAsia="Times New Roman" w:cs="Arial"/>
          <w:szCs w:val="24"/>
        </w:rPr>
        <w:t xml:space="preserve">He further recalled that the owners had tried to develop housing on the site but had failed in a planning application and it was agreed that the Council would assume ownership, however the owners stalled on the matter. He hoped now though after many years the matter could be settled with the owners signing it over to the Council to allow it to be maintained as an open space for residents to enjoy. He recalled the Planning Appeals Commission previously confirming its purpose as a green lung to </w:t>
      </w:r>
      <w:r w:rsidRPr="00190D6B">
        <w:rPr>
          <w:rFonts w:eastAsia="Times New Roman" w:cs="Arial"/>
          <w:szCs w:val="24"/>
        </w:rPr>
        <w:lastRenderedPageBreak/>
        <w:t>counteract carbon emissions from vehicles using the nearby ring road. He hoped it could be progressed.</w:t>
      </w:r>
    </w:p>
    <w:p w14:paraId="0B346903" w14:textId="77777777" w:rsidR="00190D6B" w:rsidRPr="00190D6B" w:rsidRDefault="00190D6B" w:rsidP="00190D6B">
      <w:pPr>
        <w:rPr>
          <w:rFonts w:eastAsia="Times New Roman" w:cs="Arial"/>
          <w:szCs w:val="24"/>
        </w:rPr>
      </w:pPr>
    </w:p>
    <w:p w14:paraId="74AD5621" w14:textId="77777777" w:rsidR="00190D6B" w:rsidRPr="00190D6B" w:rsidRDefault="00190D6B" w:rsidP="00190D6B">
      <w:pPr>
        <w:rPr>
          <w:rFonts w:eastAsia="Times New Roman" w:cs="Arial"/>
          <w:szCs w:val="24"/>
        </w:rPr>
      </w:pPr>
      <w:r w:rsidRPr="00190D6B">
        <w:rPr>
          <w:rFonts w:eastAsia="Times New Roman" w:cs="Arial"/>
          <w:szCs w:val="24"/>
        </w:rPr>
        <w:t>Councillor W Irvine thanked Councillor Cathcart for bringing the motion and he hoped the matter could be resolved. He agreed that the area was an eyesore and he welcomed an opportunity to explore different options for future use.</w:t>
      </w:r>
    </w:p>
    <w:p w14:paraId="38CE191D" w14:textId="77777777" w:rsidR="00190D6B" w:rsidRPr="00190D6B" w:rsidRDefault="00190D6B" w:rsidP="00190D6B">
      <w:pPr>
        <w:rPr>
          <w:rFonts w:eastAsia="Times New Roman" w:cs="Arial"/>
          <w:szCs w:val="24"/>
        </w:rPr>
      </w:pPr>
    </w:p>
    <w:p w14:paraId="55A64161" w14:textId="77777777" w:rsidR="00190D6B" w:rsidRPr="00190D6B" w:rsidRDefault="00190D6B" w:rsidP="00190D6B">
      <w:pPr>
        <w:rPr>
          <w:b/>
          <w:bCs/>
        </w:rPr>
      </w:pPr>
      <w:r w:rsidRPr="00190D6B">
        <w:rPr>
          <w:b/>
          <w:bCs/>
        </w:rPr>
        <w:t>AGREED TO RECOMMEND, on the proposal of Councillor Cathcart, seconded by Councillor Gilmour, that the notice of motion be adopted.</w:t>
      </w:r>
    </w:p>
    <w:p w14:paraId="662709E4" w14:textId="77777777" w:rsidR="00190D6B" w:rsidRPr="00190D6B" w:rsidRDefault="00190D6B" w:rsidP="00190D6B">
      <w:pPr>
        <w:rPr>
          <w:b/>
          <w:bCs/>
        </w:rPr>
      </w:pPr>
    </w:p>
    <w:p w14:paraId="02B36000" w14:textId="77777777" w:rsidR="00190D6B" w:rsidRPr="00190D6B" w:rsidRDefault="00190D6B" w:rsidP="00190D6B">
      <w:pPr>
        <w:keepNext/>
        <w:keepLines/>
        <w:outlineLvl w:val="0"/>
        <w:rPr>
          <w:rFonts w:eastAsia="Times New Roman"/>
          <w:b/>
          <w:caps/>
          <w:sz w:val="28"/>
          <w:szCs w:val="32"/>
        </w:rPr>
      </w:pPr>
      <w:r w:rsidRPr="00190D6B">
        <w:rPr>
          <w:rFonts w:eastAsia="Times New Roman"/>
          <w:b/>
          <w:caps/>
          <w:sz w:val="28"/>
          <w:szCs w:val="32"/>
        </w:rPr>
        <w:t>14.</w:t>
      </w:r>
      <w:r w:rsidRPr="00190D6B">
        <w:rPr>
          <w:rFonts w:eastAsia="Times New Roman"/>
          <w:b/>
          <w:caps/>
          <w:sz w:val="28"/>
          <w:szCs w:val="32"/>
        </w:rPr>
        <w:tab/>
      </w:r>
      <w:r w:rsidRPr="00190D6B">
        <w:rPr>
          <w:rFonts w:eastAsia="Times New Roman"/>
          <w:b/>
          <w:caps/>
          <w:sz w:val="28"/>
          <w:szCs w:val="32"/>
          <w:u w:val="single"/>
        </w:rPr>
        <w:t>Any Other Notified Business</w:t>
      </w:r>
      <w:r w:rsidRPr="00190D6B">
        <w:rPr>
          <w:rFonts w:eastAsia="Times New Roman"/>
          <w:b/>
          <w:caps/>
          <w:sz w:val="28"/>
          <w:szCs w:val="32"/>
        </w:rPr>
        <w:t xml:space="preserve"> </w:t>
      </w:r>
    </w:p>
    <w:p w14:paraId="36769041" w14:textId="77777777" w:rsidR="00190D6B" w:rsidRPr="00190D6B" w:rsidRDefault="00190D6B" w:rsidP="00190D6B">
      <w:pPr>
        <w:rPr>
          <w:rFonts w:eastAsia="Times New Roman" w:cs="Arial"/>
          <w:b/>
          <w:szCs w:val="24"/>
          <w:lang w:eastAsia="en-GB"/>
        </w:rPr>
      </w:pPr>
    </w:p>
    <w:p w14:paraId="7D88E68D" w14:textId="77777777" w:rsidR="00190D6B" w:rsidRPr="00190D6B" w:rsidRDefault="00190D6B" w:rsidP="00190D6B">
      <w:pPr>
        <w:rPr>
          <w:rFonts w:ascii="Calibri" w:hAnsi="Calibri"/>
          <w:b/>
          <w:bCs/>
          <w:sz w:val="22"/>
        </w:rPr>
      </w:pPr>
      <w:r w:rsidRPr="00190D6B">
        <w:rPr>
          <w:rFonts w:eastAsia="Times New Roman" w:cs="Arial"/>
          <w:bCs/>
          <w:szCs w:val="24"/>
          <w:lang w:eastAsia="en-GB"/>
        </w:rPr>
        <w:t>There were no items of any other notified business.</w:t>
      </w:r>
    </w:p>
    <w:p w14:paraId="0801B75F" w14:textId="77777777" w:rsidR="00190D6B" w:rsidRPr="00190D6B" w:rsidRDefault="00190D6B" w:rsidP="00190D6B">
      <w:pPr>
        <w:rPr>
          <w:b/>
          <w:bCs/>
        </w:rPr>
      </w:pPr>
    </w:p>
    <w:p w14:paraId="44E46CA3" w14:textId="77777777" w:rsidR="00190D6B" w:rsidRPr="00190D6B" w:rsidRDefault="00190D6B" w:rsidP="00190D6B">
      <w:pPr>
        <w:keepNext/>
        <w:keepLines/>
        <w:outlineLvl w:val="0"/>
        <w:rPr>
          <w:rFonts w:eastAsia="Times New Roman"/>
          <w:b/>
          <w:caps/>
          <w:sz w:val="28"/>
          <w:szCs w:val="32"/>
          <w:u w:val="single"/>
          <w:lang w:eastAsia="en-GB"/>
        </w:rPr>
      </w:pPr>
      <w:r w:rsidRPr="00190D6B">
        <w:rPr>
          <w:rFonts w:eastAsia="Times New Roman"/>
          <w:b/>
          <w:caps/>
          <w:sz w:val="28"/>
          <w:szCs w:val="32"/>
          <w:u w:val="single"/>
          <w:lang w:eastAsia="en-GB"/>
        </w:rPr>
        <w:t xml:space="preserve">Exclusion of Public/Press </w:t>
      </w:r>
    </w:p>
    <w:p w14:paraId="0A287ABE" w14:textId="77777777" w:rsidR="00190D6B" w:rsidRPr="00190D6B" w:rsidRDefault="00190D6B" w:rsidP="00190D6B">
      <w:pPr>
        <w:rPr>
          <w:rFonts w:eastAsia="Times New Roman" w:cs="Arial"/>
          <w:b/>
          <w:szCs w:val="24"/>
          <w:lang w:eastAsia="en-GB"/>
        </w:rPr>
      </w:pPr>
    </w:p>
    <w:p w14:paraId="72F2E10E" w14:textId="004D4E6D" w:rsidR="00190D6B" w:rsidRDefault="00190D6B" w:rsidP="00190D6B">
      <w:pPr>
        <w:rPr>
          <w:rFonts w:eastAsia="Times New Roman"/>
          <w:u w:val="single"/>
          <w:lang w:eastAsia="en-GB"/>
        </w:rPr>
      </w:pPr>
      <w:r w:rsidRPr="00190D6B">
        <w:rPr>
          <w:rFonts w:eastAsia="Times New Roman" w:cs="Arial"/>
          <w:b/>
          <w:szCs w:val="24"/>
          <w:lang w:eastAsia="en-GB"/>
        </w:rPr>
        <w:t xml:space="preserve">AGREED, on the proposal of Alderman McIlveen, seconded by Alderman Graham, that the public/press be excluded during the discussion of the undernoted items of confidential business. </w:t>
      </w:r>
    </w:p>
    <w:p w14:paraId="1965114F" w14:textId="77777777" w:rsidR="00190D6B" w:rsidRDefault="00190D6B" w:rsidP="00874464">
      <w:pPr>
        <w:rPr>
          <w:lang w:eastAsia="en-GB"/>
        </w:rPr>
      </w:pPr>
    </w:p>
    <w:p w14:paraId="184EE431" w14:textId="0BEC8027" w:rsidR="006F7827" w:rsidRPr="0003502C" w:rsidRDefault="006F7827" w:rsidP="00190D6B">
      <w:pPr>
        <w:pStyle w:val="Heading1"/>
        <w:ind w:left="720" w:hanging="720"/>
        <w:rPr>
          <w:u w:val="single"/>
        </w:rPr>
      </w:pPr>
      <w:bookmarkStart w:id="6" w:name="_Hlk150434724"/>
      <w:r>
        <w:t>15.</w:t>
      </w:r>
      <w:r>
        <w:tab/>
      </w:r>
      <w:r w:rsidR="00AB0363" w:rsidRPr="00AB0363">
        <w:rPr>
          <w:u w:val="single"/>
        </w:rPr>
        <w:t>Leisure Special Legal Regime VAT Case Update</w:t>
      </w:r>
      <w:r w:rsidR="005B1571">
        <w:rPr>
          <w:u w:val="single"/>
        </w:rPr>
        <w:t xml:space="preserve"> (</w:t>
      </w:r>
      <w:r w:rsidR="005B1571" w:rsidRPr="005B1571">
        <w:rPr>
          <w:u w:val="single"/>
        </w:rPr>
        <w:t>FIN152</w:t>
      </w:r>
      <w:r w:rsidR="005B1571">
        <w:rPr>
          <w:u w:val="single"/>
        </w:rPr>
        <w:t>)</w:t>
      </w:r>
    </w:p>
    <w:p w14:paraId="2594E93E" w14:textId="74F52059" w:rsidR="006F7827" w:rsidRDefault="006F7827" w:rsidP="006F7827">
      <w:pPr>
        <w:pStyle w:val="ListParagraph"/>
        <w:rPr>
          <w:rFonts w:ascii="Arial" w:hAnsi="Arial" w:cs="Arial"/>
          <w:sz w:val="24"/>
          <w:szCs w:val="24"/>
        </w:rPr>
      </w:pPr>
      <w:r>
        <w:rPr>
          <w:rFonts w:ascii="Arial" w:hAnsi="Arial" w:cs="Arial"/>
          <w:sz w:val="24"/>
          <w:szCs w:val="24"/>
        </w:rPr>
        <w:t xml:space="preserve">(Appendix </w:t>
      </w:r>
      <w:r w:rsidR="005B1571">
        <w:rPr>
          <w:rFonts w:ascii="Arial" w:hAnsi="Arial" w:cs="Arial"/>
          <w:sz w:val="24"/>
          <w:szCs w:val="24"/>
        </w:rPr>
        <w:t>XIII - XIV</w:t>
      </w:r>
      <w:r>
        <w:rPr>
          <w:rFonts w:ascii="Arial" w:hAnsi="Arial" w:cs="Arial"/>
          <w:sz w:val="24"/>
          <w:szCs w:val="24"/>
        </w:rPr>
        <w:t>)</w:t>
      </w:r>
    </w:p>
    <w:bookmarkEnd w:id="6"/>
    <w:p w14:paraId="26580D95" w14:textId="77777777" w:rsidR="006F7827" w:rsidRDefault="006F7827" w:rsidP="00A065F0">
      <w:pPr>
        <w:rPr>
          <w:rFonts w:eastAsia="Times New Roman" w:cs="Arial"/>
          <w:b/>
          <w:szCs w:val="24"/>
          <w:lang w:eastAsia="en-GB"/>
        </w:rPr>
      </w:pPr>
    </w:p>
    <w:p w14:paraId="4A287AFC" w14:textId="77777777" w:rsidR="00571B9C" w:rsidRPr="00C57BB1" w:rsidRDefault="00571B9C" w:rsidP="00571B9C">
      <w:pPr>
        <w:rPr>
          <w:rFonts w:cs="Arial"/>
          <w:szCs w:val="24"/>
        </w:rPr>
      </w:pPr>
      <w:r w:rsidRPr="00C57BB1">
        <w:rPr>
          <w:rFonts w:eastAsia="Times New Roman" w:cs="Arial"/>
          <w:b/>
          <w:szCs w:val="24"/>
          <w:lang w:eastAsia="en-GB"/>
        </w:rPr>
        <w:t>***IN CONFIDENCE***</w:t>
      </w:r>
    </w:p>
    <w:p w14:paraId="0E02DF5B" w14:textId="77777777" w:rsidR="00571B9C" w:rsidRPr="00C57BB1" w:rsidRDefault="00571B9C" w:rsidP="00571B9C">
      <w:pPr>
        <w:shd w:val="clear" w:color="auto" w:fill="FFFFFF"/>
        <w:rPr>
          <w:rFonts w:eastAsia="Times New Roman" w:cs="Arial"/>
          <w:szCs w:val="24"/>
        </w:rPr>
      </w:pPr>
    </w:p>
    <w:sdt>
      <w:sdtPr>
        <w:id w:val="-2024772398"/>
        <w:placeholder>
          <w:docPart w:val="2B2E82A71DBE40AFBD7D238F08EB036B"/>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1F3F5651" w14:textId="77777777" w:rsidR="00571B9C" w:rsidRPr="00BF5A9B" w:rsidRDefault="00571B9C" w:rsidP="00571B9C">
          <w:r w:rsidRPr="00BF5A9B">
            <w:t>5. Exemption: a claim to legal professional privilege</w:t>
          </w:r>
        </w:p>
      </w:sdtContent>
    </w:sdt>
    <w:p w14:paraId="5BDF1400" w14:textId="77777777" w:rsidR="00571B9C" w:rsidRPr="00BF5A9B" w:rsidRDefault="00571B9C" w:rsidP="00571B9C">
      <w:pPr>
        <w:rPr>
          <w:rFonts w:cs="Arial"/>
          <w:szCs w:val="24"/>
        </w:rPr>
      </w:pPr>
    </w:p>
    <w:p w14:paraId="180F3525" w14:textId="77777777" w:rsidR="00571B9C" w:rsidRPr="00BF5A9B" w:rsidRDefault="00571B9C" w:rsidP="00571B9C">
      <w:pPr>
        <w:rPr>
          <w:szCs w:val="24"/>
        </w:rPr>
      </w:pPr>
      <w:r w:rsidRPr="00BF5A9B">
        <w:rPr>
          <w:szCs w:val="24"/>
        </w:rPr>
        <w:t xml:space="preserve">Council was asked to agree to </w:t>
      </w:r>
      <w:r w:rsidRPr="00BF5A9B">
        <w:t>consent orders for North Down Borough Council and Ards Borough Council being signed and submitted</w:t>
      </w:r>
      <w:r w:rsidRPr="00BF5A9B">
        <w:rPr>
          <w:szCs w:val="24"/>
        </w:rPr>
        <w:t>.</w:t>
      </w:r>
    </w:p>
    <w:p w14:paraId="1A768A8F" w14:textId="77777777" w:rsidR="00571B9C" w:rsidRPr="00BF5A9B" w:rsidRDefault="00571B9C" w:rsidP="00571B9C">
      <w:pPr>
        <w:rPr>
          <w:rFonts w:cs="Arial"/>
          <w:szCs w:val="24"/>
        </w:rPr>
      </w:pPr>
    </w:p>
    <w:p w14:paraId="50AE59AE" w14:textId="77777777" w:rsidR="00571B9C" w:rsidRDefault="00571B9C" w:rsidP="00571B9C">
      <w:r w:rsidRPr="00BF5A9B">
        <w:t>The recommendation was that the consent orders for North Down Borough Council and Ards Borough Council Claim</w:t>
      </w:r>
      <w:r>
        <w:t>s</w:t>
      </w:r>
      <w:r w:rsidRPr="00BF5A9B">
        <w:t xml:space="preserve"> be signed and submitted by Council to </w:t>
      </w:r>
      <w:r>
        <w:t>withdraw the compound interest claims of both legacy Councils.</w:t>
      </w:r>
    </w:p>
    <w:p w14:paraId="4BB337DC" w14:textId="77777777" w:rsidR="00571B9C" w:rsidRDefault="00571B9C" w:rsidP="00571B9C"/>
    <w:p w14:paraId="42AE8D0F" w14:textId="25FDCED9" w:rsidR="000132D7" w:rsidRDefault="00571B9C" w:rsidP="00A065F0">
      <w:pPr>
        <w:rPr>
          <w:rFonts w:eastAsia="Times New Roman" w:cs="Arial"/>
          <w:b/>
          <w:szCs w:val="24"/>
          <w:lang w:eastAsia="en-GB"/>
        </w:rPr>
      </w:pPr>
      <w:r>
        <w:t>The recommendation was agreed.</w:t>
      </w:r>
    </w:p>
    <w:p w14:paraId="19EE2CDE" w14:textId="77777777" w:rsidR="000132D7" w:rsidRDefault="000132D7" w:rsidP="00A065F0">
      <w:pPr>
        <w:rPr>
          <w:rFonts w:eastAsia="Times New Roman" w:cs="Arial"/>
          <w:b/>
          <w:szCs w:val="24"/>
          <w:lang w:eastAsia="en-GB"/>
        </w:rPr>
      </w:pPr>
    </w:p>
    <w:p w14:paraId="3ABFA073" w14:textId="3A764066" w:rsidR="007A2643" w:rsidRPr="0003502C" w:rsidRDefault="007A2643" w:rsidP="00AB0363">
      <w:pPr>
        <w:pStyle w:val="Heading1"/>
        <w:ind w:left="720" w:hanging="720"/>
        <w:rPr>
          <w:u w:val="single"/>
        </w:rPr>
      </w:pPr>
      <w:r>
        <w:t>16.</w:t>
      </w:r>
      <w:r>
        <w:tab/>
      </w:r>
      <w:r w:rsidR="00AB0363" w:rsidRPr="00AB0363">
        <w:rPr>
          <w:u w:val="single"/>
        </w:rPr>
        <w:t>Blair Mayne Bursary Sub-Committee - Appointment of External Contributors</w:t>
      </w:r>
    </w:p>
    <w:p w14:paraId="647B25CE" w14:textId="19CEFE3B" w:rsidR="007A2643" w:rsidRDefault="007A2643" w:rsidP="007A2643">
      <w:pPr>
        <w:pStyle w:val="ListParagraph"/>
        <w:rPr>
          <w:rFonts w:ascii="Arial" w:hAnsi="Arial" w:cs="Arial"/>
          <w:sz w:val="24"/>
          <w:szCs w:val="24"/>
        </w:rPr>
      </w:pPr>
      <w:r>
        <w:rPr>
          <w:rFonts w:ascii="Arial" w:hAnsi="Arial" w:cs="Arial"/>
          <w:sz w:val="24"/>
          <w:szCs w:val="24"/>
        </w:rPr>
        <w:t xml:space="preserve">(Appendix </w:t>
      </w:r>
      <w:r w:rsidR="005B1571">
        <w:rPr>
          <w:rFonts w:ascii="Arial" w:hAnsi="Arial" w:cs="Arial"/>
          <w:sz w:val="24"/>
          <w:szCs w:val="24"/>
        </w:rPr>
        <w:t>XV</w:t>
      </w:r>
      <w:r>
        <w:rPr>
          <w:rFonts w:ascii="Arial" w:hAnsi="Arial" w:cs="Arial"/>
          <w:sz w:val="24"/>
          <w:szCs w:val="24"/>
        </w:rPr>
        <w:t>)</w:t>
      </w:r>
    </w:p>
    <w:p w14:paraId="1CB08AA5" w14:textId="77777777" w:rsidR="00571B9C" w:rsidRDefault="00571B9C" w:rsidP="00571B9C">
      <w:pPr>
        <w:rPr>
          <w:rFonts w:cs="Arial"/>
          <w:szCs w:val="24"/>
        </w:rPr>
      </w:pPr>
    </w:p>
    <w:p w14:paraId="74B3D40B" w14:textId="77777777" w:rsidR="00571B9C" w:rsidRPr="00C57BB1" w:rsidRDefault="00571B9C" w:rsidP="00571B9C">
      <w:pPr>
        <w:rPr>
          <w:rFonts w:cs="Arial"/>
          <w:szCs w:val="24"/>
        </w:rPr>
      </w:pPr>
      <w:r w:rsidRPr="00C57BB1">
        <w:rPr>
          <w:rFonts w:eastAsia="Times New Roman" w:cs="Arial"/>
          <w:b/>
          <w:szCs w:val="24"/>
          <w:lang w:eastAsia="en-GB"/>
        </w:rPr>
        <w:t>***IN CONFIDENCE***</w:t>
      </w:r>
    </w:p>
    <w:p w14:paraId="31DA98AB" w14:textId="77777777" w:rsidR="00571B9C" w:rsidRPr="00C57BB1" w:rsidRDefault="00571B9C" w:rsidP="00571B9C">
      <w:pPr>
        <w:shd w:val="clear" w:color="auto" w:fill="FFFFFF"/>
        <w:rPr>
          <w:rFonts w:eastAsia="Times New Roman" w:cs="Arial"/>
          <w:szCs w:val="24"/>
        </w:rPr>
      </w:pPr>
    </w:p>
    <w:sdt>
      <w:sdtPr>
        <w:id w:val="-1446462002"/>
        <w:placeholder>
          <w:docPart w:val="4324544241964B3EA1A77DADB230CC3D"/>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2A1F968A" w14:textId="77777777" w:rsidR="00571B9C" w:rsidRPr="00C57BB1" w:rsidRDefault="00571B9C" w:rsidP="00571B9C">
          <w:pPr>
            <w:rPr>
              <w:rFonts w:cs="Arial"/>
              <w:szCs w:val="24"/>
            </w:rPr>
          </w:pPr>
          <w:r>
            <w:t>1. Exemption: relating to an individual</w:t>
          </w:r>
        </w:p>
      </w:sdtContent>
    </w:sdt>
    <w:p w14:paraId="18DEEB60" w14:textId="77777777" w:rsidR="00571B9C" w:rsidRDefault="00571B9C" w:rsidP="00571B9C">
      <w:pPr>
        <w:rPr>
          <w:color w:val="000000" w:themeColor="text1"/>
          <w:szCs w:val="24"/>
        </w:rPr>
      </w:pPr>
    </w:p>
    <w:p w14:paraId="3AF8810A" w14:textId="77777777" w:rsidR="00571B9C" w:rsidRPr="00C57BB1" w:rsidRDefault="00571B9C" w:rsidP="00571B9C">
      <w:pPr>
        <w:rPr>
          <w:color w:val="000000" w:themeColor="text1"/>
          <w:szCs w:val="24"/>
        </w:rPr>
      </w:pPr>
      <w:r w:rsidRPr="00C57BB1">
        <w:rPr>
          <w:color w:val="000000" w:themeColor="text1"/>
          <w:szCs w:val="24"/>
        </w:rPr>
        <w:t>Council was asked to</w:t>
      </w:r>
      <w:r>
        <w:rPr>
          <w:color w:val="000000" w:themeColor="text1"/>
          <w:szCs w:val="24"/>
        </w:rPr>
        <w:t xml:space="preserve"> agree the </w:t>
      </w:r>
      <w:r>
        <w:t>Minutes of the Meeting of the Blair Mayne Bursary Sub-Committee held on 29</w:t>
      </w:r>
      <w:r w:rsidRPr="0047416B">
        <w:rPr>
          <w:vertAlign w:val="superscript"/>
        </w:rPr>
        <w:t>th</w:t>
      </w:r>
      <w:r>
        <w:t xml:space="preserve"> September 2023 and the appointment of External Members</w:t>
      </w:r>
      <w:r>
        <w:rPr>
          <w:color w:val="000000" w:themeColor="text1"/>
          <w:szCs w:val="24"/>
        </w:rPr>
        <w:t>.</w:t>
      </w:r>
    </w:p>
    <w:p w14:paraId="6A7B3B31" w14:textId="77777777" w:rsidR="00571B9C" w:rsidRPr="00C57BB1" w:rsidRDefault="00571B9C" w:rsidP="00571B9C">
      <w:pPr>
        <w:rPr>
          <w:rFonts w:cs="Arial"/>
          <w:szCs w:val="24"/>
        </w:rPr>
      </w:pPr>
    </w:p>
    <w:p w14:paraId="7BD97B3C" w14:textId="3AA61DE9" w:rsidR="00571B9C" w:rsidRPr="00571B9C" w:rsidRDefault="00571B9C" w:rsidP="00571B9C">
      <w:pPr>
        <w:shd w:val="clear" w:color="auto" w:fill="FFFFFF"/>
        <w:rPr>
          <w:rFonts w:cs="Arial"/>
          <w:szCs w:val="24"/>
        </w:rPr>
      </w:pPr>
      <w:r w:rsidRPr="00C57BB1">
        <w:rPr>
          <w:rFonts w:eastAsia="Times New Roman" w:cs="Arial"/>
          <w:szCs w:val="24"/>
        </w:rPr>
        <w:lastRenderedPageBreak/>
        <w:t xml:space="preserve">The recommendation was </w:t>
      </w:r>
      <w:r>
        <w:rPr>
          <w:rFonts w:eastAsia="Times New Roman" w:cs="Arial"/>
          <w:szCs w:val="24"/>
        </w:rPr>
        <w:t>agreed.</w:t>
      </w:r>
    </w:p>
    <w:p w14:paraId="7537AC41" w14:textId="77777777" w:rsidR="00471DE8" w:rsidRDefault="00471DE8" w:rsidP="00A065F0"/>
    <w:p w14:paraId="591D3868" w14:textId="4D9E6BB7" w:rsidR="007A2643" w:rsidRPr="0003502C" w:rsidRDefault="007A2643" w:rsidP="00AB0363">
      <w:pPr>
        <w:pStyle w:val="Heading1"/>
        <w:ind w:left="720" w:hanging="720"/>
        <w:rPr>
          <w:u w:val="single"/>
        </w:rPr>
      </w:pPr>
      <w:r>
        <w:t>17.</w:t>
      </w:r>
      <w:r>
        <w:tab/>
      </w:r>
      <w:r w:rsidR="00AB0363" w:rsidRPr="00AB0363">
        <w:rPr>
          <w:u w:val="single"/>
        </w:rPr>
        <w:t>ANDBC Absence Report - Quarter 1 (1 April - 30 June 2023)</w:t>
      </w:r>
    </w:p>
    <w:p w14:paraId="5109DC26" w14:textId="79B9BC50" w:rsidR="007A2643" w:rsidRDefault="007A2643" w:rsidP="007A2643">
      <w:pPr>
        <w:pStyle w:val="ListParagraph"/>
        <w:rPr>
          <w:rFonts w:ascii="Arial" w:hAnsi="Arial" w:cs="Arial"/>
          <w:sz w:val="24"/>
          <w:szCs w:val="24"/>
        </w:rPr>
      </w:pPr>
      <w:r>
        <w:rPr>
          <w:rFonts w:ascii="Arial" w:hAnsi="Arial" w:cs="Arial"/>
          <w:sz w:val="24"/>
          <w:szCs w:val="24"/>
        </w:rPr>
        <w:t xml:space="preserve">(Appendix </w:t>
      </w:r>
      <w:r w:rsidR="009D6DAA">
        <w:rPr>
          <w:rFonts w:ascii="Arial" w:hAnsi="Arial" w:cs="Arial"/>
          <w:sz w:val="24"/>
          <w:szCs w:val="24"/>
        </w:rPr>
        <w:t>XVI - XVII</w:t>
      </w:r>
      <w:r>
        <w:rPr>
          <w:rFonts w:ascii="Arial" w:hAnsi="Arial" w:cs="Arial"/>
          <w:sz w:val="24"/>
          <w:szCs w:val="24"/>
        </w:rPr>
        <w:t>)</w:t>
      </w:r>
    </w:p>
    <w:p w14:paraId="638A352F" w14:textId="77777777" w:rsidR="00571B9C" w:rsidRDefault="00571B9C" w:rsidP="00571B9C">
      <w:pPr>
        <w:rPr>
          <w:rFonts w:cs="Arial"/>
          <w:szCs w:val="24"/>
        </w:rPr>
      </w:pPr>
    </w:p>
    <w:p w14:paraId="29BF4E2C" w14:textId="77777777" w:rsidR="00571B9C" w:rsidRDefault="00571B9C" w:rsidP="00571B9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***IN CONFIDENCE***</w:t>
      </w:r>
      <w:r>
        <w:rPr>
          <w:rStyle w:val="eop"/>
          <w:rFonts w:ascii="Arial" w:hAnsi="Arial" w:cs="Arial"/>
        </w:rPr>
        <w:t> </w:t>
      </w:r>
    </w:p>
    <w:p w14:paraId="2B26C919" w14:textId="77777777" w:rsidR="00571B9C" w:rsidRDefault="00571B9C" w:rsidP="00571B9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rPr>
        <w:t> </w:t>
      </w:r>
    </w:p>
    <w:p w14:paraId="09FD9921" w14:textId="32F6DE5E" w:rsidR="00571B9C" w:rsidRDefault="00571B9C" w:rsidP="00571B9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4. Exemption: consultations or negotiations</w:t>
      </w:r>
      <w:r>
        <w:rPr>
          <w:rStyle w:val="eop"/>
          <w:rFonts w:ascii="Arial" w:hAnsi="Arial" w:cs="Arial"/>
        </w:rPr>
        <w:t> </w:t>
      </w:r>
    </w:p>
    <w:p w14:paraId="60E840AE" w14:textId="77777777" w:rsidR="00571B9C" w:rsidRDefault="00571B9C" w:rsidP="00571B9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9064E2B" w14:textId="77777777" w:rsidR="00571B9C" w:rsidRDefault="00571B9C" w:rsidP="00571B9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Council was asked to note the absence data and recommendations presented.</w:t>
      </w:r>
      <w:r>
        <w:rPr>
          <w:rStyle w:val="eop"/>
          <w:rFonts w:ascii="Arial" w:hAnsi="Arial" w:cs="Arial"/>
          <w:color w:val="000000"/>
        </w:rPr>
        <w:t> </w:t>
      </w:r>
    </w:p>
    <w:p w14:paraId="11F1A43C" w14:textId="77777777" w:rsidR="00571B9C" w:rsidRDefault="00571B9C" w:rsidP="00571B9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E3658C0" w14:textId="46938BDB" w:rsidR="00571B9C" w:rsidRDefault="00571B9C" w:rsidP="00571B9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rPr>
        <w:t>The recommendation was agreed.</w:t>
      </w:r>
    </w:p>
    <w:p w14:paraId="46216573" w14:textId="77777777" w:rsidR="007A2643" w:rsidRDefault="007A2643" w:rsidP="00A065F0"/>
    <w:p w14:paraId="3A1874F4" w14:textId="765744BD" w:rsidR="007A2643" w:rsidRPr="0003502C" w:rsidRDefault="007A2643" w:rsidP="007A2643">
      <w:pPr>
        <w:pStyle w:val="Heading1"/>
        <w:rPr>
          <w:u w:val="single"/>
        </w:rPr>
      </w:pPr>
      <w:r>
        <w:t>18.</w:t>
      </w:r>
      <w:r>
        <w:tab/>
      </w:r>
      <w:r w:rsidR="00AB0363" w:rsidRPr="00AB0363">
        <w:rPr>
          <w:u w:val="single"/>
        </w:rPr>
        <w:t>Redundancy Policy</w:t>
      </w:r>
    </w:p>
    <w:p w14:paraId="574B7843" w14:textId="5644A51C" w:rsidR="007A2643" w:rsidRDefault="007A2643" w:rsidP="007A2643">
      <w:pPr>
        <w:pStyle w:val="ListParagraph"/>
        <w:rPr>
          <w:rFonts w:ascii="Arial" w:hAnsi="Arial" w:cs="Arial"/>
          <w:sz w:val="24"/>
          <w:szCs w:val="24"/>
        </w:rPr>
      </w:pPr>
      <w:r>
        <w:rPr>
          <w:rFonts w:ascii="Arial" w:hAnsi="Arial" w:cs="Arial"/>
          <w:sz w:val="24"/>
          <w:szCs w:val="24"/>
        </w:rPr>
        <w:t xml:space="preserve">(Appendix </w:t>
      </w:r>
      <w:r w:rsidR="009D6DAA">
        <w:rPr>
          <w:rFonts w:ascii="Arial" w:hAnsi="Arial" w:cs="Arial"/>
          <w:sz w:val="24"/>
          <w:szCs w:val="24"/>
        </w:rPr>
        <w:t>XVIII - XX</w:t>
      </w:r>
      <w:r>
        <w:rPr>
          <w:rFonts w:ascii="Arial" w:hAnsi="Arial" w:cs="Arial"/>
          <w:sz w:val="24"/>
          <w:szCs w:val="24"/>
        </w:rPr>
        <w:t>)</w:t>
      </w:r>
    </w:p>
    <w:p w14:paraId="45DF874D" w14:textId="77777777" w:rsidR="00D6472B" w:rsidRDefault="00D6472B" w:rsidP="00D6472B">
      <w:pPr>
        <w:rPr>
          <w:rFonts w:cs="Arial"/>
          <w:szCs w:val="24"/>
        </w:rPr>
      </w:pPr>
    </w:p>
    <w:p w14:paraId="1AF39F6E" w14:textId="77777777" w:rsidR="00D6472B" w:rsidRDefault="00D6472B" w:rsidP="00D647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***IN CONFIDENCE***</w:t>
      </w:r>
      <w:r>
        <w:rPr>
          <w:rStyle w:val="eop"/>
          <w:rFonts w:ascii="Arial" w:hAnsi="Arial" w:cs="Arial"/>
        </w:rPr>
        <w:t> </w:t>
      </w:r>
    </w:p>
    <w:p w14:paraId="0F380A58" w14:textId="77777777" w:rsidR="00D6472B" w:rsidRDefault="00D6472B" w:rsidP="00D6472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rPr>
        <w:t> </w:t>
      </w:r>
    </w:p>
    <w:p w14:paraId="73F17B1A" w14:textId="3740D3D1" w:rsidR="00D6472B" w:rsidRDefault="00D6472B" w:rsidP="00D647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4. Exemption: consultations or negotiations</w:t>
      </w:r>
      <w:r>
        <w:rPr>
          <w:rStyle w:val="eop"/>
          <w:rFonts w:ascii="Arial" w:hAnsi="Arial" w:cs="Arial"/>
        </w:rPr>
        <w:t> </w:t>
      </w:r>
    </w:p>
    <w:p w14:paraId="120C89F0" w14:textId="77777777" w:rsidR="00D6472B" w:rsidRDefault="00D6472B" w:rsidP="00D647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6146879" w14:textId="77777777" w:rsidR="00D6472B" w:rsidRDefault="00D6472B" w:rsidP="00D647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was asked to approve a Redundancy Policy for Ards and North Down Borough Council.</w:t>
      </w:r>
      <w:r>
        <w:rPr>
          <w:rStyle w:val="eop"/>
          <w:rFonts w:ascii="Arial" w:hAnsi="Arial" w:cs="Arial"/>
        </w:rPr>
        <w:t> </w:t>
      </w:r>
    </w:p>
    <w:p w14:paraId="57F8AAD8" w14:textId="77777777" w:rsidR="00D6472B" w:rsidRDefault="00D6472B" w:rsidP="00D647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931FC8A" w14:textId="7C8243B4" w:rsidR="00D6472B" w:rsidRPr="00D6472B" w:rsidRDefault="00D6472B" w:rsidP="00D6472B">
      <w:pPr>
        <w:pStyle w:val="paragraph"/>
        <w:shd w:val="clear" w:color="auto" w:fill="FFFFFF"/>
        <w:spacing w:before="0" w:beforeAutospacing="0" w:after="0" w:afterAutospacing="0"/>
        <w:textAlignment w:val="baseline"/>
        <w:rPr>
          <w:rFonts w:ascii="Arial" w:hAnsi="Arial" w:cs="Arial"/>
        </w:rPr>
      </w:pPr>
      <w:r>
        <w:rPr>
          <w:rStyle w:val="normaltextrun"/>
          <w:rFonts w:ascii="Arial" w:hAnsi="Arial" w:cs="Arial"/>
        </w:rPr>
        <w:t>The recommendation was agreed.</w:t>
      </w:r>
    </w:p>
    <w:p w14:paraId="417D1C59" w14:textId="77777777" w:rsidR="007A2643" w:rsidRDefault="007A2643" w:rsidP="00A065F0"/>
    <w:p w14:paraId="6391415E" w14:textId="0A062267" w:rsidR="007A2643" w:rsidRPr="0003502C" w:rsidRDefault="007A2643" w:rsidP="007A2643">
      <w:pPr>
        <w:pStyle w:val="Heading1"/>
        <w:rPr>
          <w:u w:val="single"/>
        </w:rPr>
      </w:pPr>
      <w:r>
        <w:t>19.</w:t>
      </w:r>
      <w:r>
        <w:tab/>
      </w:r>
      <w:r w:rsidR="00AB0363" w:rsidRPr="00AB0363">
        <w:rPr>
          <w:u w:val="single"/>
        </w:rPr>
        <w:t>Social Media Policy</w:t>
      </w:r>
    </w:p>
    <w:p w14:paraId="5685AE41" w14:textId="0483618E" w:rsidR="007A2643" w:rsidRDefault="007A2643" w:rsidP="007A2643">
      <w:pPr>
        <w:pStyle w:val="ListParagraph"/>
        <w:rPr>
          <w:rFonts w:ascii="Arial" w:hAnsi="Arial" w:cs="Arial"/>
          <w:sz w:val="24"/>
          <w:szCs w:val="24"/>
        </w:rPr>
      </w:pPr>
      <w:r>
        <w:rPr>
          <w:rFonts w:ascii="Arial" w:hAnsi="Arial" w:cs="Arial"/>
          <w:sz w:val="24"/>
          <w:szCs w:val="24"/>
        </w:rPr>
        <w:t xml:space="preserve">(Appendix </w:t>
      </w:r>
      <w:r w:rsidR="004E2152">
        <w:rPr>
          <w:rFonts w:ascii="Arial" w:hAnsi="Arial" w:cs="Arial"/>
          <w:sz w:val="24"/>
          <w:szCs w:val="24"/>
        </w:rPr>
        <w:t>XXI</w:t>
      </w:r>
      <w:r>
        <w:rPr>
          <w:rFonts w:ascii="Arial" w:hAnsi="Arial" w:cs="Arial"/>
          <w:sz w:val="24"/>
          <w:szCs w:val="24"/>
        </w:rPr>
        <w:t>)</w:t>
      </w:r>
    </w:p>
    <w:p w14:paraId="4F93C90A" w14:textId="77777777" w:rsidR="00D6472B" w:rsidRDefault="00D6472B" w:rsidP="00D6472B">
      <w:pPr>
        <w:rPr>
          <w:rFonts w:cs="Arial"/>
          <w:szCs w:val="24"/>
        </w:rPr>
      </w:pPr>
    </w:p>
    <w:p w14:paraId="1C836BD1" w14:textId="77777777" w:rsidR="00D6472B" w:rsidRDefault="00D6472B" w:rsidP="00D647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***IN CONFIDENCE***</w:t>
      </w:r>
      <w:r>
        <w:rPr>
          <w:rStyle w:val="eop"/>
          <w:rFonts w:ascii="Arial" w:hAnsi="Arial" w:cs="Arial"/>
        </w:rPr>
        <w:t> </w:t>
      </w:r>
    </w:p>
    <w:p w14:paraId="78CBF974" w14:textId="77777777" w:rsidR="00D6472B" w:rsidRDefault="00D6472B" w:rsidP="00D6472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rPr>
        <w:t> </w:t>
      </w:r>
    </w:p>
    <w:p w14:paraId="442DD0C0" w14:textId="62B43ACE" w:rsidR="00D6472B" w:rsidRDefault="00D6472B" w:rsidP="00D6472B">
      <w:pPr>
        <w:pStyle w:val="paragraph"/>
        <w:spacing w:before="0" w:beforeAutospacing="0" w:after="0" w:afterAutospacing="0"/>
        <w:textAlignment w:val="baseline"/>
        <w:rPr>
          <w:rStyle w:val="eop"/>
          <w:rFonts w:ascii="Arial" w:hAnsi="Arial" w:cs="Arial"/>
        </w:rPr>
      </w:pPr>
      <w:r>
        <w:rPr>
          <w:rStyle w:val="normaltextrun"/>
          <w:rFonts w:ascii="Arial" w:hAnsi="Arial" w:cs="Arial"/>
        </w:rPr>
        <w:t>4. Exemption: consultations or negotiations</w:t>
      </w:r>
      <w:r>
        <w:rPr>
          <w:rStyle w:val="eop"/>
          <w:rFonts w:ascii="Arial" w:hAnsi="Arial" w:cs="Arial"/>
        </w:rPr>
        <w:t> </w:t>
      </w:r>
    </w:p>
    <w:p w14:paraId="52751EEB" w14:textId="77777777" w:rsidR="00D6472B" w:rsidRDefault="00D6472B" w:rsidP="00D6472B">
      <w:pPr>
        <w:pStyle w:val="paragraph"/>
        <w:spacing w:before="0" w:beforeAutospacing="0" w:after="0" w:afterAutospacing="0"/>
        <w:textAlignment w:val="baseline"/>
        <w:rPr>
          <w:rFonts w:ascii="Segoe UI" w:hAnsi="Segoe UI" w:cs="Segoe UI"/>
          <w:sz w:val="18"/>
          <w:szCs w:val="18"/>
        </w:rPr>
      </w:pPr>
    </w:p>
    <w:p w14:paraId="2CAE2819" w14:textId="77777777" w:rsidR="00D6472B" w:rsidRDefault="00D6472B" w:rsidP="00D647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was asked to approve a Social Media Policy for Ards and North Down Borough Council.</w:t>
      </w:r>
      <w:r>
        <w:rPr>
          <w:rStyle w:val="eop"/>
          <w:rFonts w:ascii="Arial" w:hAnsi="Arial" w:cs="Arial"/>
        </w:rPr>
        <w:t> </w:t>
      </w:r>
    </w:p>
    <w:p w14:paraId="30451276" w14:textId="5B8B987B" w:rsidR="00D6472B" w:rsidRDefault="00D6472B" w:rsidP="00D6472B">
      <w:pPr>
        <w:pStyle w:val="paragraph"/>
        <w:spacing w:before="0" w:beforeAutospacing="0" w:after="0" w:afterAutospacing="0"/>
        <w:textAlignment w:val="baseline"/>
        <w:rPr>
          <w:rStyle w:val="eop"/>
          <w:rFonts w:ascii="Arial" w:hAnsi="Arial" w:cs="Arial"/>
        </w:rPr>
      </w:pPr>
    </w:p>
    <w:p w14:paraId="66B39A99" w14:textId="1DC7214F" w:rsidR="00D6472B" w:rsidRPr="00D6472B" w:rsidRDefault="00D6472B" w:rsidP="00D6472B">
      <w:pPr>
        <w:pStyle w:val="paragraph"/>
        <w:shd w:val="clear" w:color="auto" w:fill="FFFFFF"/>
        <w:spacing w:before="0" w:beforeAutospacing="0" w:after="0" w:afterAutospacing="0"/>
        <w:textAlignment w:val="baseline"/>
        <w:rPr>
          <w:rFonts w:ascii="Arial" w:hAnsi="Arial" w:cs="Arial"/>
        </w:rPr>
      </w:pPr>
      <w:r>
        <w:rPr>
          <w:rStyle w:val="normaltextrun"/>
          <w:rFonts w:ascii="Arial" w:hAnsi="Arial" w:cs="Arial"/>
        </w:rPr>
        <w:t>The recommendation was agreed.</w:t>
      </w:r>
    </w:p>
    <w:p w14:paraId="3079D730" w14:textId="77777777" w:rsidR="007A2643" w:rsidRPr="00EF671A" w:rsidRDefault="007A2643" w:rsidP="00A065F0"/>
    <w:p w14:paraId="2769B8C5" w14:textId="7BA0A679" w:rsidR="007A2643" w:rsidRPr="0003502C" w:rsidRDefault="007A2643" w:rsidP="00AB0363">
      <w:pPr>
        <w:pStyle w:val="Heading1"/>
        <w:ind w:left="720" w:hanging="720"/>
        <w:rPr>
          <w:u w:val="single"/>
        </w:rPr>
      </w:pPr>
      <w:r>
        <w:t>20.</w:t>
      </w:r>
      <w:r>
        <w:tab/>
      </w:r>
      <w:r w:rsidR="00AB0363" w:rsidRPr="00AB0363">
        <w:rPr>
          <w:u w:val="single"/>
        </w:rPr>
        <w:t>Lands at Rear of Beverley Crescent, Newtownards</w:t>
      </w:r>
    </w:p>
    <w:p w14:paraId="1DE21F48" w14:textId="7465DC57" w:rsidR="007A2643" w:rsidRDefault="007A2643" w:rsidP="007A2643">
      <w:pPr>
        <w:pStyle w:val="ListParagraph"/>
        <w:rPr>
          <w:rFonts w:ascii="Arial" w:hAnsi="Arial" w:cs="Arial"/>
          <w:sz w:val="24"/>
          <w:szCs w:val="24"/>
        </w:rPr>
      </w:pPr>
      <w:r>
        <w:rPr>
          <w:rFonts w:ascii="Arial" w:hAnsi="Arial" w:cs="Arial"/>
          <w:sz w:val="24"/>
          <w:szCs w:val="24"/>
        </w:rPr>
        <w:t xml:space="preserve">(Appendix </w:t>
      </w:r>
      <w:r w:rsidR="00B93B04">
        <w:rPr>
          <w:rFonts w:ascii="Arial" w:hAnsi="Arial" w:cs="Arial"/>
          <w:sz w:val="24"/>
          <w:szCs w:val="24"/>
        </w:rPr>
        <w:t>XXII - XXIII</w:t>
      </w:r>
      <w:r>
        <w:rPr>
          <w:rFonts w:ascii="Arial" w:hAnsi="Arial" w:cs="Arial"/>
          <w:sz w:val="24"/>
          <w:szCs w:val="24"/>
        </w:rPr>
        <w:t>)</w:t>
      </w:r>
    </w:p>
    <w:p w14:paraId="203D20D3" w14:textId="77777777" w:rsidR="00D6472B" w:rsidRDefault="00D6472B" w:rsidP="00D6472B">
      <w:pPr>
        <w:rPr>
          <w:rFonts w:cs="Arial"/>
          <w:szCs w:val="24"/>
        </w:rPr>
      </w:pPr>
    </w:p>
    <w:p w14:paraId="25AF81C5" w14:textId="77777777" w:rsidR="00D6472B" w:rsidRPr="00C57BB1" w:rsidRDefault="00D6472B" w:rsidP="00D6472B">
      <w:pPr>
        <w:rPr>
          <w:rFonts w:cs="Arial"/>
          <w:szCs w:val="24"/>
        </w:rPr>
      </w:pPr>
      <w:r w:rsidRPr="00C57BB1">
        <w:rPr>
          <w:rFonts w:eastAsia="Times New Roman" w:cs="Arial"/>
          <w:b/>
          <w:szCs w:val="24"/>
          <w:lang w:eastAsia="en-GB"/>
        </w:rPr>
        <w:t>***IN CONFIDENCE***</w:t>
      </w:r>
    </w:p>
    <w:p w14:paraId="59121C43" w14:textId="77777777" w:rsidR="00D6472B" w:rsidRPr="00C57BB1" w:rsidRDefault="00D6472B" w:rsidP="00D6472B">
      <w:pPr>
        <w:shd w:val="clear" w:color="auto" w:fill="FFFFFF"/>
        <w:rPr>
          <w:rFonts w:eastAsia="Times New Roman" w:cs="Arial"/>
          <w:szCs w:val="24"/>
        </w:rPr>
      </w:pPr>
    </w:p>
    <w:p w14:paraId="26D30AF0" w14:textId="77777777" w:rsidR="00D6472B" w:rsidRPr="00C57BB1" w:rsidRDefault="00D6472B" w:rsidP="00D6472B">
      <w:pPr>
        <w:rPr>
          <w:rFonts w:cs="Arial"/>
          <w:b/>
          <w:bCs/>
          <w:szCs w:val="24"/>
        </w:rPr>
      </w:pPr>
      <w:r w:rsidRPr="00C57BB1">
        <w:rPr>
          <w:b/>
          <w:bCs/>
          <w:szCs w:val="24"/>
        </w:rPr>
        <w:t>NOT FOR PUBLICATION SCHEDULE 6 – INFORMATION RELATING TO THE FINANCIAL OR BUSINESS AFFAIRS OF ANY PARTICULAR PERSON (INCLUDING THE COUNCIL HOLDING THAT INFORMATION)</w:t>
      </w:r>
    </w:p>
    <w:p w14:paraId="09574F70" w14:textId="77777777" w:rsidR="00D6472B" w:rsidRPr="00C57BB1" w:rsidRDefault="00D6472B" w:rsidP="00D6472B">
      <w:pPr>
        <w:rPr>
          <w:rFonts w:cs="Arial"/>
          <w:szCs w:val="24"/>
        </w:rPr>
      </w:pPr>
    </w:p>
    <w:p w14:paraId="758F42A4" w14:textId="77777777" w:rsidR="00D6472B" w:rsidRPr="00C57BB1" w:rsidRDefault="00D6472B" w:rsidP="00D6472B">
      <w:pPr>
        <w:rPr>
          <w:color w:val="000000" w:themeColor="text1"/>
          <w:szCs w:val="24"/>
        </w:rPr>
      </w:pPr>
      <w:r w:rsidRPr="00C57BB1">
        <w:rPr>
          <w:color w:val="000000" w:themeColor="text1"/>
          <w:szCs w:val="24"/>
        </w:rPr>
        <w:lastRenderedPageBreak/>
        <w:t xml:space="preserve">Council was asked to agree an approach in relation to Council owned land at the rear of Beverley Crescent, Newtownards. </w:t>
      </w:r>
    </w:p>
    <w:p w14:paraId="13FC8E4F" w14:textId="77777777" w:rsidR="00D6472B" w:rsidRPr="00C57BB1" w:rsidRDefault="00D6472B" w:rsidP="00D6472B">
      <w:pPr>
        <w:rPr>
          <w:rFonts w:cs="Arial"/>
          <w:szCs w:val="24"/>
        </w:rPr>
      </w:pPr>
    </w:p>
    <w:p w14:paraId="6DD6909E" w14:textId="75ECDD21" w:rsidR="00D6472B" w:rsidRPr="00D6472B" w:rsidRDefault="00D6472B" w:rsidP="00D6472B">
      <w:pPr>
        <w:shd w:val="clear" w:color="auto" w:fill="FFFFFF"/>
        <w:rPr>
          <w:rFonts w:cs="Arial"/>
          <w:szCs w:val="24"/>
        </w:rPr>
      </w:pPr>
      <w:r w:rsidRPr="00C57BB1">
        <w:rPr>
          <w:rFonts w:eastAsia="Times New Roman" w:cs="Arial"/>
          <w:szCs w:val="24"/>
        </w:rPr>
        <w:t xml:space="preserve">The recommendation was </w:t>
      </w:r>
      <w:r>
        <w:rPr>
          <w:rFonts w:eastAsia="Times New Roman" w:cs="Arial"/>
          <w:szCs w:val="24"/>
        </w:rPr>
        <w:t>agreed.</w:t>
      </w:r>
    </w:p>
    <w:p w14:paraId="167B508C" w14:textId="77777777" w:rsidR="00AB0363" w:rsidRPr="00621495" w:rsidRDefault="00AB0363" w:rsidP="007A2643">
      <w:pPr>
        <w:rPr>
          <w:b/>
          <w:bCs/>
        </w:rPr>
      </w:pPr>
    </w:p>
    <w:p w14:paraId="43D5BE17" w14:textId="5EEC409E" w:rsidR="007A2643" w:rsidRPr="0003502C" w:rsidRDefault="007A2643" w:rsidP="00AB0363">
      <w:pPr>
        <w:pStyle w:val="Heading1"/>
        <w:ind w:left="720" w:hanging="720"/>
        <w:rPr>
          <w:u w:val="single"/>
        </w:rPr>
      </w:pPr>
      <w:r>
        <w:t>21.</w:t>
      </w:r>
      <w:r>
        <w:tab/>
      </w:r>
      <w:r w:rsidR="00AB0363" w:rsidRPr="00AB0363">
        <w:rPr>
          <w:u w:val="single"/>
        </w:rPr>
        <w:t>Request from NIE for a Wayleave - land at Tullymally Road, Portaferry</w:t>
      </w:r>
    </w:p>
    <w:p w14:paraId="79EA4AC6" w14:textId="6A020885" w:rsidR="007A2643" w:rsidRDefault="007A2643" w:rsidP="007A2643">
      <w:pPr>
        <w:pStyle w:val="ListParagraph"/>
        <w:rPr>
          <w:rFonts w:ascii="Arial" w:hAnsi="Arial" w:cs="Arial"/>
          <w:sz w:val="24"/>
          <w:szCs w:val="24"/>
        </w:rPr>
      </w:pPr>
      <w:r>
        <w:rPr>
          <w:rFonts w:ascii="Arial" w:hAnsi="Arial" w:cs="Arial"/>
          <w:sz w:val="24"/>
          <w:szCs w:val="24"/>
        </w:rPr>
        <w:t xml:space="preserve">(Appendix </w:t>
      </w:r>
      <w:r w:rsidR="00B93B04">
        <w:rPr>
          <w:rFonts w:ascii="Arial" w:hAnsi="Arial" w:cs="Arial"/>
          <w:sz w:val="24"/>
          <w:szCs w:val="24"/>
        </w:rPr>
        <w:t>XIV – XXVI)</w:t>
      </w:r>
    </w:p>
    <w:p w14:paraId="2C4386A4" w14:textId="77777777" w:rsidR="007A2643" w:rsidRDefault="007A2643" w:rsidP="007A2643">
      <w:pPr>
        <w:pStyle w:val="ListParagraph"/>
        <w:rPr>
          <w:rFonts w:ascii="Arial" w:hAnsi="Arial" w:cs="Arial"/>
          <w:sz w:val="24"/>
          <w:szCs w:val="24"/>
        </w:rPr>
      </w:pPr>
    </w:p>
    <w:p w14:paraId="54BFF90D" w14:textId="77777777" w:rsidR="00D6472B" w:rsidRPr="00C57BB1" w:rsidRDefault="00D6472B" w:rsidP="00D6472B">
      <w:pPr>
        <w:rPr>
          <w:rFonts w:cs="Arial"/>
          <w:szCs w:val="24"/>
        </w:rPr>
      </w:pPr>
      <w:r w:rsidRPr="00C57BB1">
        <w:rPr>
          <w:rFonts w:eastAsia="Times New Roman" w:cs="Arial"/>
          <w:b/>
          <w:szCs w:val="24"/>
          <w:lang w:eastAsia="en-GB"/>
        </w:rPr>
        <w:t>***IN CONFIDENCE***</w:t>
      </w:r>
    </w:p>
    <w:p w14:paraId="63C24E26" w14:textId="77777777" w:rsidR="00D6472B" w:rsidRPr="00C57BB1" w:rsidRDefault="00D6472B" w:rsidP="00D6472B">
      <w:pPr>
        <w:shd w:val="clear" w:color="auto" w:fill="FFFFFF"/>
        <w:rPr>
          <w:rFonts w:eastAsia="Times New Roman" w:cs="Arial"/>
          <w:szCs w:val="24"/>
        </w:rPr>
      </w:pPr>
    </w:p>
    <w:p w14:paraId="303CED42" w14:textId="77777777" w:rsidR="00D6472B" w:rsidRPr="00C57BB1" w:rsidRDefault="00D6472B" w:rsidP="00D6472B">
      <w:pPr>
        <w:rPr>
          <w:rFonts w:cs="Arial"/>
          <w:b/>
          <w:bCs/>
          <w:szCs w:val="24"/>
        </w:rPr>
      </w:pPr>
      <w:r w:rsidRPr="00C57BB1">
        <w:rPr>
          <w:b/>
          <w:bCs/>
          <w:szCs w:val="24"/>
        </w:rPr>
        <w:t>NOT FOR PUBLICATION SCHEDULE 6 – INFORMATION RELATING TO THE FINANCIAL OR BUSINESS AFFAIRS OF ANY PARTICULAR PERSON (INCLUDING THE COUNCIL HOLDING THAT INFORMATION)</w:t>
      </w:r>
    </w:p>
    <w:p w14:paraId="2C66D492" w14:textId="77777777" w:rsidR="00D6472B" w:rsidRPr="00C57BB1" w:rsidRDefault="00D6472B" w:rsidP="00D6472B">
      <w:pPr>
        <w:rPr>
          <w:rFonts w:cs="Arial"/>
          <w:szCs w:val="24"/>
        </w:rPr>
      </w:pPr>
    </w:p>
    <w:p w14:paraId="7FF5A579" w14:textId="77777777" w:rsidR="00D6472B" w:rsidRPr="00C57BB1" w:rsidRDefault="00D6472B" w:rsidP="00D6472B">
      <w:pPr>
        <w:rPr>
          <w:szCs w:val="24"/>
        </w:rPr>
      </w:pPr>
      <w:r w:rsidRPr="00C57BB1">
        <w:rPr>
          <w:szCs w:val="24"/>
        </w:rPr>
        <w:t xml:space="preserve">The Council has received a request from NIE for a Wayleave over land at the play park at Tullymally Road, Portaferry. Council was asked to agree to the request and to enter into the Wayleave Agreement. </w:t>
      </w:r>
    </w:p>
    <w:p w14:paraId="0DDA1B41" w14:textId="77777777" w:rsidR="00D6472B" w:rsidRPr="00C57BB1" w:rsidRDefault="00D6472B" w:rsidP="00D6472B">
      <w:pPr>
        <w:rPr>
          <w:rFonts w:cs="Arial"/>
          <w:szCs w:val="24"/>
        </w:rPr>
      </w:pPr>
    </w:p>
    <w:p w14:paraId="060A0C19" w14:textId="1B498284" w:rsidR="006F7B64" w:rsidRDefault="00D6472B" w:rsidP="00D6472B">
      <w:pPr>
        <w:shd w:val="clear" w:color="auto" w:fill="FFFFFF"/>
        <w:rPr>
          <w:b/>
          <w:bCs/>
        </w:rPr>
      </w:pPr>
      <w:r w:rsidRPr="00C57BB1">
        <w:rPr>
          <w:rFonts w:eastAsia="Times New Roman" w:cs="Arial"/>
          <w:szCs w:val="24"/>
        </w:rPr>
        <w:t xml:space="preserve">The recommendation was </w:t>
      </w:r>
      <w:r>
        <w:rPr>
          <w:rFonts w:eastAsia="Times New Roman" w:cs="Arial"/>
          <w:szCs w:val="24"/>
        </w:rPr>
        <w:t>agreed.</w:t>
      </w:r>
    </w:p>
    <w:p w14:paraId="729684C1" w14:textId="77777777" w:rsidR="00D6472B" w:rsidRDefault="00D6472B" w:rsidP="00A065F0">
      <w:pPr>
        <w:rPr>
          <w:b/>
          <w:bCs/>
        </w:rPr>
      </w:pPr>
    </w:p>
    <w:p w14:paraId="413EED18" w14:textId="081688A6" w:rsidR="007A2643" w:rsidRPr="0003502C" w:rsidRDefault="007A2643" w:rsidP="00AD3755">
      <w:pPr>
        <w:pStyle w:val="Heading1"/>
        <w:ind w:left="720" w:hanging="720"/>
        <w:rPr>
          <w:u w:val="single"/>
        </w:rPr>
      </w:pPr>
      <w:r>
        <w:t>22.</w:t>
      </w:r>
      <w:r>
        <w:tab/>
      </w:r>
      <w:r w:rsidR="00AD3755" w:rsidRPr="00AD3755">
        <w:rPr>
          <w:u w:val="single"/>
        </w:rPr>
        <w:t>Lease to Arqiva - Site at Bowtown Road, Newtownards</w:t>
      </w:r>
    </w:p>
    <w:p w14:paraId="261A8D6F" w14:textId="5E8A5526" w:rsidR="007A2643" w:rsidRDefault="007A2643" w:rsidP="007A2643">
      <w:pPr>
        <w:pStyle w:val="ListParagraph"/>
        <w:rPr>
          <w:rFonts w:ascii="Arial" w:hAnsi="Arial" w:cs="Arial"/>
          <w:sz w:val="24"/>
          <w:szCs w:val="24"/>
        </w:rPr>
      </w:pPr>
      <w:r>
        <w:rPr>
          <w:rFonts w:ascii="Arial" w:hAnsi="Arial" w:cs="Arial"/>
          <w:sz w:val="24"/>
          <w:szCs w:val="24"/>
        </w:rPr>
        <w:t xml:space="preserve">(Appendix </w:t>
      </w:r>
      <w:r w:rsidR="00313E1F">
        <w:rPr>
          <w:rFonts w:ascii="Arial" w:hAnsi="Arial" w:cs="Arial"/>
          <w:sz w:val="24"/>
          <w:szCs w:val="24"/>
        </w:rPr>
        <w:t>XXVII-XVIII</w:t>
      </w:r>
      <w:r>
        <w:rPr>
          <w:rFonts w:ascii="Arial" w:hAnsi="Arial" w:cs="Arial"/>
          <w:sz w:val="24"/>
          <w:szCs w:val="24"/>
        </w:rPr>
        <w:t>)</w:t>
      </w:r>
    </w:p>
    <w:p w14:paraId="7C917871" w14:textId="77777777" w:rsidR="00D6472B" w:rsidRDefault="00D6472B" w:rsidP="00D6472B">
      <w:pPr>
        <w:rPr>
          <w:rFonts w:cs="Arial"/>
          <w:szCs w:val="24"/>
        </w:rPr>
      </w:pPr>
    </w:p>
    <w:p w14:paraId="0221E6C9" w14:textId="77777777" w:rsidR="00D6472B" w:rsidRPr="00C57BB1" w:rsidRDefault="00D6472B" w:rsidP="00D6472B">
      <w:pPr>
        <w:rPr>
          <w:rFonts w:cs="Arial"/>
          <w:szCs w:val="24"/>
        </w:rPr>
      </w:pPr>
      <w:bookmarkStart w:id="7" w:name="_Hlk151549070"/>
      <w:r w:rsidRPr="00C57BB1">
        <w:rPr>
          <w:rFonts w:eastAsia="Times New Roman" w:cs="Arial"/>
          <w:b/>
          <w:szCs w:val="24"/>
          <w:lang w:eastAsia="en-GB"/>
        </w:rPr>
        <w:t>***IN CONFIDENCE***</w:t>
      </w:r>
    </w:p>
    <w:bookmarkEnd w:id="7"/>
    <w:p w14:paraId="699F5ED8" w14:textId="77777777" w:rsidR="00D6472B" w:rsidRPr="00C57BB1" w:rsidRDefault="00D6472B" w:rsidP="00D6472B">
      <w:pPr>
        <w:shd w:val="clear" w:color="auto" w:fill="FFFFFF"/>
        <w:rPr>
          <w:rFonts w:eastAsia="Times New Roman" w:cs="Arial"/>
          <w:szCs w:val="24"/>
        </w:rPr>
      </w:pPr>
    </w:p>
    <w:p w14:paraId="22067CA9" w14:textId="77777777" w:rsidR="00D6472B" w:rsidRPr="00C57BB1" w:rsidRDefault="00D6472B" w:rsidP="00D6472B">
      <w:pPr>
        <w:rPr>
          <w:rFonts w:cs="Arial"/>
          <w:b/>
          <w:bCs/>
          <w:szCs w:val="24"/>
        </w:rPr>
      </w:pPr>
      <w:r w:rsidRPr="00C57BB1">
        <w:rPr>
          <w:b/>
          <w:bCs/>
          <w:szCs w:val="24"/>
        </w:rPr>
        <w:t>NOT FOR PUBLICATION SCHEDULE 6 – INFORMATION RELATING TO THE FINANCIAL OR BUSINESS AFFAIRS OF ANY PARTICULAR PERSON (INCLUDING THE COUNCIL HOLDING THAT INFORMATION)</w:t>
      </w:r>
    </w:p>
    <w:p w14:paraId="6DE910FF" w14:textId="77777777" w:rsidR="00D6472B" w:rsidRPr="00C57BB1" w:rsidRDefault="00D6472B" w:rsidP="00D6472B">
      <w:pPr>
        <w:rPr>
          <w:rFonts w:cs="Arial"/>
          <w:szCs w:val="24"/>
        </w:rPr>
      </w:pPr>
    </w:p>
    <w:p w14:paraId="213DE9EB" w14:textId="77777777" w:rsidR="00D6472B" w:rsidRPr="00C57BB1" w:rsidRDefault="00D6472B" w:rsidP="00D6472B">
      <w:pPr>
        <w:rPr>
          <w:szCs w:val="24"/>
        </w:rPr>
      </w:pPr>
      <w:r>
        <w:t xml:space="preserve">The Council leases land at Bowtown Road to Arqiva for telecommunications equipment.  </w:t>
      </w:r>
      <w:r w:rsidRPr="00C57BB1">
        <w:rPr>
          <w:szCs w:val="24"/>
        </w:rPr>
        <w:t xml:space="preserve">Council was asked to agree to </w:t>
      </w:r>
      <w:r>
        <w:rPr>
          <w:szCs w:val="24"/>
        </w:rPr>
        <w:t>renew the lease.</w:t>
      </w:r>
      <w:r w:rsidRPr="00C57BB1">
        <w:rPr>
          <w:szCs w:val="24"/>
        </w:rPr>
        <w:t xml:space="preserve"> </w:t>
      </w:r>
    </w:p>
    <w:p w14:paraId="5F43A9C5" w14:textId="77777777" w:rsidR="00D6472B" w:rsidRPr="00C57BB1" w:rsidRDefault="00D6472B" w:rsidP="00D6472B">
      <w:pPr>
        <w:rPr>
          <w:rFonts w:cs="Arial"/>
          <w:szCs w:val="24"/>
        </w:rPr>
      </w:pPr>
    </w:p>
    <w:p w14:paraId="5917A653" w14:textId="7BB943EB" w:rsidR="00D6472B" w:rsidRPr="00D6472B" w:rsidRDefault="00D6472B" w:rsidP="00D6472B">
      <w:pPr>
        <w:shd w:val="clear" w:color="auto" w:fill="FFFFFF"/>
        <w:rPr>
          <w:rFonts w:cs="Arial"/>
          <w:szCs w:val="24"/>
        </w:rPr>
      </w:pPr>
      <w:r w:rsidRPr="00C57BB1">
        <w:rPr>
          <w:rFonts w:eastAsia="Times New Roman" w:cs="Arial"/>
          <w:szCs w:val="24"/>
        </w:rPr>
        <w:t xml:space="preserve">The recommendation was </w:t>
      </w:r>
      <w:r>
        <w:rPr>
          <w:rFonts w:eastAsia="Times New Roman" w:cs="Arial"/>
          <w:szCs w:val="24"/>
        </w:rPr>
        <w:t>agreed.</w:t>
      </w:r>
    </w:p>
    <w:p w14:paraId="004C8831" w14:textId="77777777" w:rsidR="007A2643" w:rsidRDefault="007A2643" w:rsidP="00A065F0">
      <w:pPr>
        <w:rPr>
          <w:b/>
          <w:bCs/>
        </w:rPr>
      </w:pPr>
    </w:p>
    <w:p w14:paraId="747762F8" w14:textId="308EDC4F" w:rsidR="007A2643" w:rsidRPr="0003502C" w:rsidRDefault="007A2643" w:rsidP="00AD3755">
      <w:pPr>
        <w:pStyle w:val="Heading1"/>
        <w:ind w:left="720" w:hanging="720"/>
        <w:rPr>
          <w:u w:val="single"/>
        </w:rPr>
      </w:pPr>
      <w:r>
        <w:t>23.</w:t>
      </w:r>
      <w:r>
        <w:tab/>
      </w:r>
      <w:r w:rsidR="00AD3755" w:rsidRPr="00AD3755">
        <w:rPr>
          <w:u w:val="single"/>
        </w:rPr>
        <w:t>Request for a lease of building in Ward Park - Bangor Sea Cadets</w:t>
      </w:r>
    </w:p>
    <w:p w14:paraId="231CC041" w14:textId="5E6C83C2" w:rsidR="007A2643" w:rsidRDefault="007A2643" w:rsidP="007A2643">
      <w:pPr>
        <w:pStyle w:val="ListParagraph"/>
        <w:rPr>
          <w:rFonts w:ascii="Arial" w:hAnsi="Arial" w:cs="Arial"/>
          <w:sz w:val="24"/>
          <w:szCs w:val="24"/>
        </w:rPr>
      </w:pPr>
      <w:r>
        <w:rPr>
          <w:rFonts w:ascii="Arial" w:hAnsi="Arial" w:cs="Arial"/>
          <w:sz w:val="24"/>
          <w:szCs w:val="24"/>
        </w:rPr>
        <w:t xml:space="preserve">(Appendix </w:t>
      </w:r>
      <w:r w:rsidR="00313E1F">
        <w:rPr>
          <w:rFonts w:ascii="Arial" w:hAnsi="Arial" w:cs="Arial"/>
          <w:sz w:val="24"/>
          <w:szCs w:val="24"/>
        </w:rPr>
        <w:t>XIX - XXX</w:t>
      </w:r>
      <w:r>
        <w:rPr>
          <w:rFonts w:ascii="Arial" w:hAnsi="Arial" w:cs="Arial"/>
          <w:sz w:val="24"/>
          <w:szCs w:val="24"/>
        </w:rPr>
        <w:t>)</w:t>
      </w:r>
    </w:p>
    <w:p w14:paraId="21083058" w14:textId="77777777" w:rsidR="007A2643" w:rsidRDefault="007A2643" w:rsidP="00D6472B">
      <w:pPr>
        <w:rPr>
          <w:rFonts w:cs="Arial"/>
          <w:szCs w:val="24"/>
        </w:rPr>
      </w:pPr>
    </w:p>
    <w:p w14:paraId="084B292F" w14:textId="3BAD56DA" w:rsidR="009E5744" w:rsidRDefault="009E5744" w:rsidP="009E5744">
      <w:pPr>
        <w:rPr>
          <w:b/>
          <w:bCs/>
          <w:szCs w:val="24"/>
        </w:rPr>
      </w:pPr>
      <w:bookmarkStart w:id="8" w:name="_Hlk151549120"/>
      <w:r w:rsidRPr="00C57BB1">
        <w:rPr>
          <w:rFonts w:eastAsia="Times New Roman" w:cs="Arial"/>
          <w:b/>
          <w:szCs w:val="24"/>
          <w:lang w:eastAsia="en-GB"/>
        </w:rPr>
        <w:t>***IN CONFIDENCE***</w:t>
      </w:r>
    </w:p>
    <w:bookmarkEnd w:id="8"/>
    <w:p w14:paraId="789BE071" w14:textId="77777777" w:rsidR="009E5744" w:rsidRDefault="009E5744" w:rsidP="009E5744">
      <w:pPr>
        <w:rPr>
          <w:b/>
          <w:bCs/>
          <w:szCs w:val="24"/>
        </w:rPr>
      </w:pPr>
    </w:p>
    <w:p w14:paraId="7CB378A7" w14:textId="4677AFB0" w:rsidR="009E5744" w:rsidRPr="00C57BB1" w:rsidRDefault="009E5744" w:rsidP="009E5744">
      <w:pPr>
        <w:rPr>
          <w:rFonts w:cs="Arial"/>
          <w:b/>
          <w:bCs/>
          <w:szCs w:val="24"/>
        </w:rPr>
      </w:pPr>
      <w:r w:rsidRPr="00C57BB1">
        <w:rPr>
          <w:b/>
          <w:bCs/>
          <w:szCs w:val="24"/>
        </w:rPr>
        <w:t>NOT FOR PUBLICATION SCHEDULE 6 – INFORMATION RELATING TO THE FINANCIAL OR BUSINESS AFFAIRS OF ANY PARTICULAR PERSON (INCLUDING THE COUNCIL HOLDING THAT INFORMATION)</w:t>
      </w:r>
    </w:p>
    <w:p w14:paraId="0C28A1A5" w14:textId="77777777" w:rsidR="009E5744" w:rsidRPr="00C57BB1" w:rsidRDefault="009E5744" w:rsidP="009E5744">
      <w:pPr>
        <w:rPr>
          <w:rFonts w:cs="Arial"/>
          <w:szCs w:val="24"/>
        </w:rPr>
      </w:pPr>
    </w:p>
    <w:p w14:paraId="0DCDFDE7" w14:textId="77777777" w:rsidR="009E5744" w:rsidRPr="00C57BB1" w:rsidRDefault="009E5744" w:rsidP="009E5744">
      <w:pPr>
        <w:rPr>
          <w:szCs w:val="24"/>
        </w:rPr>
      </w:pPr>
      <w:r w:rsidRPr="00C57BB1">
        <w:rPr>
          <w:szCs w:val="24"/>
        </w:rPr>
        <w:t xml:space="preserve">Council was asked to agree to </w:t>
      </w:r>
      <w:r>
        <w:rPr>
          <w:szCs w:val="24"/>
        </w:rPr>
        <w:t xml:space="preserve">enter into a lease with the </w:t>
      </w:r>
      <w:r>
        <w:t>Sea Cadets in relation to the building they currently occupy beside the Castle Street entrance to Ward Park.</w:t>
      </w:r>
    </w:p>
    <w:p w14:paraId="32923AEB" w14:textId="77777777" w:rsidR="009E5744" w:rsidRPr="00C57BB1" w:rsidRDefault="009E5744" w:rsidP="009E5744">
      <w:pPr>
        <w:rPr>
          <w:rFonts w:cs="Arial"/>
          <w:szCs w:val="24"/>
        </w:rPr>
      </w:pPr>
    </w:p>
    <w:p w14:paraId="34B5AC46" w14:textId="3A01850C" w:rsidR="00D6472B" w:rsidRPr="00D6472B" w:rsidRDefault="009E5744" w:rsidP="009E5744">
      <w:pPr>
        <w:shd w:val="clear" w:color="auto" w:fill="FFFFFF"/>
        <w:rPr>
          <w:rFonts w:cs="Arial"/>
          <w:szCs w:val="24"/>
        </w:rPr>
      </w:pPr>
      <w:r w:rsidRPr="00C57BB1">
        <w:rPr>
          <w:rFonts w:eastAsia="Times New Roman" w:cs="Arial"/>
          <w:szCs w:val="24"/>
        </w:rPr>
        <w:lastRenderedPageBreak/>
        <w:t xml:space="preserve">The recommendation was </w:t>
      </w:r>
      <w:r>
        <w:rPr>
          <w:rFonts w:eastAsia="Times New Roman" w:cs="Arial"/>
          <w:szCs w:val="24"/>
        </w:rPr>
        <w:t>agreed.</w:t>
      </w:r>
    </w:p>
    <w:p w14:paraId="0146A262" w14:textId="77777777" w:rsidR="007A2643" w:rsidRDefault="007A2643" w:rsidP="00A065F0">
      <w:pPr>
        <w:rPr>
          <w:b/>
          <w:bCs/>
        </w:rPr>
      </w:pPr>
    </w:p>
    <w:p w14:paraId="7C61443E" w14:textId="790091A4" w:rsidR="007A2643" w:rsidRPr="0003502C" w:rsidRDefault="007A2643" w:rsidP="00AD3755">
      <w:pPr>
        <w:pStyle w:val="Heading1"/>
        <w:ind w:left="720" w:hanging="720"/>
        <w:rPr>
          <w:u w:val="single"/>
        </w:rPr>
      </w:pPr>
      <w:r>
        <w:t>24.</w:t>
      </w:r>
      <w:r>
        <w:tab/>
      </w:r>
      <w:bookmarkStart w:id="9" w:name="_Hlk149142665"/>
      <w:r w:rsidR="00AD3755" w:rsidRPr="00AD3755">
        <w:rPr>
          <w:u w:val="single"/>
        </w:rPr>
        <w:t>Sir Samuel Kelly Lease - request for an additional strip of land</w:t>
      </w:r>
      <w:bookmarkEnd w:id="9"/>
    </w:p>
    <w:p w14:paraId="3A83FD14" w14:textId="15BC1D50" w:rsidR="007A2643" w:rsidRDefault="007A2643" w:rsidP="007A2643">
      <w:pPr>
        <w:pStyle w:val="ListParagraph"/>
        <w:rPr>
          <w:rFonts w:ascii="Arial" w:hAnsi="Arial" w:cs="Arial"/>
          <w:sz w:val="24"/>
          <w:szCs w:val="24"/>
        </w:rPr>
      </w:pPr>
      <w:r>
        <w:rPr>
          <w:rFonts w:ascii="Arial" w:hAnsi="Arial" w:cs="Arial"/>
          <w:sz w:val="24"/>
          <w:szCs w:val="24"/>
        </w:rPr>
        <w:t xml:space="preserve">(Appendix </w:t>
      </w:r>
      <w:r w:rsidR="003B261C">
        <w:rPr>
          <w:rFonts w:ascii="Arial" w:hAnsi="Arial" w:cs="Arial"/>
          <w:sz w:val="24"/>
          <w:szCs w:val="24"/>
        </w:rPr>
        <w:t>XXXI - XXXIII</w:t>
      </w:r>
      <w:r>
        <w:rPr>
          <w:rFonts w:ascii="Arial" w:hAnsi="Arial" w:cs="Arial"/>
          <w:sz w:val="24"/>
          <w:szCs w:val="24"/>
        </w:rPr>
        <w:t>)</w:t>
      </w:r>
    </w:p>
    <w:p w14:paraId="191ABB0A" w14:textId="77777777" w:rsidR="009E5744" w:rsidRDefault="009E5744" w:rsidP="009E5744">
      <w:pPr>
        <w:rPr>
          <w:rFonts w:cs="Arial"/>
          <w:szCs w:val="24"/>
        </w:rPr>
      </w:pPr>
    </w:p>
    <w:p w14:paraId="26235661" w14:textId="6C1A3259" w:rsidR="009E5744" w:rsidRDefault="009E5744" w:rsidP="009E5744">
      <w:pPr>
        <w:rPr>
          <w:b/>
          <w:bCs/>
          <w:szCs w:val="24"/>
        </w:rPr>
      </w:pPr>
      <w:r w:rsidRPr="00C57BB1">
        <w:rPr>
          <w:rFonts w:eastAsia="Times New Roman" w:cs="Arial"/>
          <w:b/>
          <w:szCs w:val="24"/>
          <w:lang w:eastAsia="en-GB"/>
        </w:rPr>
        <w:t>***IN CONFIDENCE***</w:t>
      </w:r>
    </w:p>
    <w:p w14:paraId="3433ED7E" w14:textId="77777777" w:rsidR="009E5744" w:rsidRDefault="009E5744" w:rsidP="009E5744">
      <w:pPr>
        <w:rPr>
          <w:b/>
          <w:bCs/>
          <w:szCs w:val="24"/>
        </w:rPr>
      </w:pPr>
    </w:p>
    <w:p w14:paraId="4CBADDD7" w14:textId="34B58ECC" w:rsidR="009E5744" w:rsidRPr="00C57BB1" w:rsidRDefault="009E5744" w:rsidP="009E5744">
      <w:pPr>
        <w:rPr>
          <w:rFonts w:cs="Arial"/>
          <w:b/>
          <w:bCs/>
          <w:szCs w:val="24"/>
        </w:rPr>
      </w:pPr>
      <w:r w:rsidRPr="00C57BB1">
        <w:rPr>
          <w:b/>
          <w:bCs/>
          <w:szCs w:val="24"/>
        </w:rPr>
        <w:t>NOT FOR PUBLICATION SCHEDULE 6 – INFORMATION RELATING TO THE FINANCIAL OR BUSINESS AFFAIRS OF ANY PARTICULAR PERSON (INCLUDING THE COUNCIL HOLDING THAT INFORMATION)</w:t>
      </w:r>
    </w:p>
    <w:p w14:paraId="37DD662F" w14:textId="77777777" w:rsidR="009E5744" w:rsidRPr="00C57BB1" w:rsidRDefault="009E5744" w:rsidP="009E5744">
      <w:pPr>
        <w:rPr>
          <w:rFonts w:cs="Arial"/>
          <w:szCs w:val="24"/>
        </w:rPr>
      </w:pPr>
    </w:p>
    <w:p w14:paraId="43A5F430" w14:textId="77777777" w:rsidR="009E5744" w:rsidRDefault="009E5744" w:rsidP="009E5744">
      <w:pPr>
        <w:rPr>
          <w:szCs w:val="24"/>
        </w:rPr>
      </w:pPr>
      <w:r w:rsidRPr="00C57BB1">
        <w:rPr>
          <w:szCs w:val="24"/>
        </w:rPr>
        <w:t>Counci</w:t>
      </w:r>
      <w:r>
        <w:rPr>
          <w:szCs w:val="24"/>
        </w:rPr>
        <w:t xml:space="preserve">l had previously </w:t>
      </w:r>
      <w:r>
        <w:t xml:space="preserve">approved a request to grant a new Lease to the Donaghadee Heritage Preservation Company Limited for the purposes of installing a temporary visitor centre at the site of the Sir Samuel Kelly lifeboat in Donaghadee. Council was asked to agree to include an additional strip of land within the boundary of the leased area. </w:t>
      </w:r>
    </w:p>
    <w:p w14:paraId="5095AA7B" w14:textId="77777777" w:rsidR="009E5744" w:rsidRPr="00C57BB1" w:rsidRDefault="009E5744" w:rsidP="009E5744">
      <w:pPr>
        <w:rPr>
          <w:rFonts w:cs="Arial"/>
          <w:szCs w:val="24"/>
        </w:rPr>
      </w:pPr>
    </w:p>
    <w:p w14:paraId="18BA10BF" w14:textId="77777777" w:rsidR="009E5744" w:rsidRDefault="009E5744" w:rsidP="009E5744">
      <w:pPr>
        <w:shd w:val="clear" w:color="auto" w:fill="FFFFFF"/>
        <w:rPr>
          <w:rFonts w:eastAsia="Times New Roman" w:cs="Arial"/>
          <w:szCs w:val="24"/>
        </w:rPr>
      </w:pPr>
      <w:r w:rsidRPr="00C57BB1">
        <w:rPr>
          <w:rFonts w:eastAsia="Times New Roman" w:cs="Arial"/>
          <w:szCs w:val="24"/>
        </w:rPr>
        <w:t xml:space="preserve">The recommendation was </w:t>
      </w:r>
      <w:r>
        <w:rPr>
          <w:rFonts w:eastAsia="Times New Roman" w:cs="Arial"/>
          <w:szCs w:val="24"/>
        </w:rPr>
        <w:t>agreed.</w:t>
      </w:r>
    </w:p>
    <w:p w14:paraId="62A58C0F" w14:textId="77777777" w:rsidR="007A2643" w:rsidRDefault="007A2643" w:rsidP="00A065F0">
      <w:pPr>
        <w:rPr>
          <w:b/>
          <w:bCs/>
        </w:rPr>
      </w:pPr>
    </w:p>
    <w:p w14:paraId="2D8D27B6" w14:textId="4D9866AD" w:rsidR="007A2643" w:rsidRPr="0003502C" w:rsidRDefault="007A2643" w:rsidP="00F002E7">
      <w:pPr>
        <w:pStyle w:val="Heading1"/>
        <w:ind w:left="720" w:hanging="720"/>
        <w:rPr>
          <w:u w:val="single"/>
        </w:rPr>
      </w:pPr>
      <w:bookmarkStart w:id="10" w:name="_Hlk150435139"/>
      <w:r>
        <w:t>25.</w:t>
      </w:r>
      <w:r>
        <w:tab/>
      </w:r>
      <w:r w:rsidR="00BA45AC" w:rsidRPr="00BA45AC">
        <w:rPr>
          <w:u w:val="single"/>
        </w:rPr>
        <w:t>Renewal of Tender for Signange and Fixings</w:t>
      </w:r>
      <w:r w:rsidR="00F002E7">
        <w:rPr>
          <w:u w:val="single"/>
        </w:rPr>
        <w:t xml:space="preserve"> </w:t>
      </w:r>
      <w:bookmarkStart w:id="11" w:name="_Hlk150518059"/>
      <w:r w:rsidR="00F002E7">
        <w:rPr>
          <w:u w:val="single"/>
        </w:rPr>
        <w:t>(</w:t>
      </w:r>
      <w:r w:rsidR="00F002E7" w:rsidRPr="00F002E7">
        <w:rPr>
          <w:u w:val="single"/>
        </w:rPr>
        <w:t>2023/Admin/Procurement</w:t>
      </w:r>
      <w:r w:rsidR="00F002E7">
        <w:rPr>
          <w:u w:val="single"/>
        </w:rPr>
        <w:t>)</w:t>
      </w:r>
      <w:bookmarkEnd w:id="11"/>
    </w:p>
    <w:p w14:paraId="7B8B1DE3" w14:textId="77777777" w:rsidR="007A2643" w:rsidRDefault="007A2643" w:rsidP="007A2643">
      <w:pPr>
        <w:pStyle w:val="ListParagraph"/>
        <w:rPr>
          <w:rFonts w:ascii="Arial" w:hAnsi="Arial" w:cs="Arial"/>
          <w:sz w:val="24"/>
          <w:szCs w:val="24"/>
        </w:rPr>
      </w:pPr>
    </w:p>
    <w:p w14:paraId="48392E37" w14:textId="7D178812" w:rsidR="009E5744" w:rsidRPr="00C57BB1" w:rsidRDefault="009E5744" w:rsidP="009E5744">
      <w:pPr>
        <w:rPr>
          <w:rFonts w:cs="Arial"/>
          <w:szCs w:val="24"/>
        </w:rPr>
      </w:pPr>
      <w:bookmarkStart w:id="12" w:name="_Hlk151549331"/>
      <w:r w:rsidRPr="00C57BB1">
        <w:rPr>
          <w:rFonts w:eastAsia="Times New Roman" w:cs="Arial"/>
          <w:b/>
          <w:szCs w:val="24"/>
          <w:lang w:eastAsia="en-GB"/>
        </w:rPr>
        <w:t>***IN CONFIDENCE***</w:t>
      </w:r>
    </w:p>
    <w:bookmarkEnd w:id="12"/>
    <w:p w14:paraId="7D3E267F" w14:textId="77777777" w:rsidR="009E5744" w:rsidRDefault="009E5744" w:rsidP="009E5744">
      <w:pPr>
        <w:pStyle w:val="paragraph"/>
        <w:spacing w:before="0" w:beforeAutospacing="0" w:after="0" w:afterAutospacing="0"/>
        <w:textAlignment w:val="baseline"/>
        <w:rPr>
          <w:rStyle w:val="contentcontrolboundarysink"/>
          <w:rFonts w:ascii="Calibri" w:hAnsi="Calibri" w:cs="Calibri"/>
        </w:rPr>
      </w:pPr>
    </w:p>
    <w:p w14:paraId="27C75242" w14:textId="1AD46F08" w:rsidR="009E5744" w:rsidRDefault="009E5744" w:rsidP="009E57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3. Exemption: relating to the financial or business affairs of any particular person</w:t>
      </w:r>
      <w:r w:rsidR="00EF4193">
        <w:rPr>
          <w:rStyle w:val="contentcontrolboundarysink"/>
          <w:rFonts w:ascii="Calibri" w:hAnsi="Calibri" w:cs="Calibri"/>
        </w:rPr>
        <w:t>.</w:t>
      </w:r>
    </w:p>
    <w:p w14:paraId="24AB7336" w14:textId="77777777" w:rsidR="009E5744" w:rsidRDefault="009E5744" w:rsidP="009E574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06FB229" w14:textId="77777777" w:rsidR="009E5744" w:rsidRDefault="009E5744" w:rsidP="009E57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Council was asked to </w:t>
      </w:r>
      <w:r>
        <w:rPr>
          <w:rStyle w:val="normaltextrun"/>
          <w:rFonts w:ascii="Arial" w:hAnsi="Arial" w:cs="Arial"/>
        </w:rPr>
        <w:t>approve an extension of the Signage and Fixings contract for a further 12-month period under the existing Tender Option</w:t>
      </w:r>
      <w:r>
        <w:rPr>
          <w:rStyle w:val="normaltextrun"/>
          <w:rFonts w:ascii="Arial" w:hAnsi="Arial" w:cs="Arial"/>
          <w:color w:val="000000"/>
        </w:rPr>
        <w:t>.</w:t>
      </w:r>
      <w:r>
        <w:rPr>
          <w:rStyle w:val="eop"/>
          <w:rFonts w:ascii="Arial" w:hAnsi="Arial" w:cs="Arial"/>
          <w:color w:val="000000"/>
        </w:rPr>
        <w:t> </w:t>
      </w:r>
    </w:p>
    <w:p w14:paraId="3812BD0A" w14:textId="77777777" w:rsidR="009E5744" w:rsidRDefault="009E5744" w:rsidP="009E574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FEC70CB" w14:textId="12B47BA5" w:rsidR="009E5744" w:rsidRPr="009E5744" w:rsidRDefault="009E5744" w:rsidP="009E5744">
      <w:pPr>
        <w:pStyle w:val="paragraph"/>
        <w:shd w:val="clear" w:color="auto" w:fill="FFFFFF"/>
        <w:spacing w:before="0" w:beforeAutospacing="0" w:after="0" w:afterAutospacing="0"/>
        <w:textAlignment w:val="baseline"/>
        <w:rPr>
          <w:rFonts w:ascii="Arial" w:hAnsi="Arial" w:cs="Arial"/>
        </w:rPr>
      </w:pPr>
      <w:r>
        <w:rPr>
          <w:rStyle w:val="normaltextrun"/>
          <w:rFonts w:ascii="Arial" w:hAnsi="Arial" w:cs="Arial"/>
        </w:rPr>
        <w:t>The recommendation was agreed.</w:t>
      </w:r>
    </w:p>
    <w:p w14:paraId="56515C0C" w14:textId="77777777" w:rsidR="009E5744" w:rsidRDefault="009E5744" w:rsidP="007A2643">
      <w:pPr>
        <w:pStyle w:val="ListParagraph"/>
        <w:rPr>
          <w:rFonts w:ascii="Arial" w:hAnsi="Arial" w:cs="Arial"/>
          <w:sz w:val="24"/>
          <w:szCs w:val="24"/>
        </w:rPr>
      </w:pPr>
    </w:p>
    <w:bookmarkEnd w:id="10"/>
    <w:p w14:paraId="65C0F8B0" w14:textId="1E012355" w:rsidR="007A2643" w:rsidRPr="0003502C" w:rsidRDefault="007A2643" w:rsidP="00BA45AC">
      <w:pPr>
        <w:pStyle w:val="Heading1"/>
        <w:ind w:left="720" w:hanging="720"/>
        <w:rPr>
          <w:u w:val="single"/>
        </w:rPr>
      </w:pPr>
      <w:r>
        <w:t>2</w:t>
      </w:r>
      <w:r w:rsidR="00BA45AC">
        <w:t>6</w:t>
      </w:r>
      <w:r>
        <w:t>.</w:t>
      </w:r>
      <w:r>
        <w:tab/>
      </w:r>
      <w:r w:rsidR="00BA45AC" w:rsidRPr="00BA45AC">
        <w:rPr>
          <w:u w:val="single"/>
        </w:rPr>
        <w:t>Renewal of Tender for Event Support Services</w:t>
      </w:r>
      <w:r w:rsidR="00F002E7">
        <w:rPr>
          <w:u w:val="single"/>
        </w:rPr>
        <w:t xml:space="preserve"> (</w:t>
      </w:r>
      <w:r w:rsidR="00F002E7" w:rsidRPr="00F002E7">
        <w:rPr>
          <w:u w:val="single"/>
        </w:rPr>
        <w:t>2023/Admin/Procurement</w:t>
      </w:r>
      <w:r w:rsidR="00F002E7">
        <w:rPr>
          <w:u w:val="single"/>
        </w:rPr>
        <w:t>)</w:t>
      </w:r>
    </w:p>
    <w:p w14:paraId="31946D46" w14:textId="77777777" w:rsidR="007A2643" w:rsidRDefault="007A2643" w:rsidP="007A2643">
      <w:pPr>
        <w:pStyle w:val="ListParagraph"/>
        <w:rPr>
          <w:rFonts w:ascii="Arial" w:hAnsi="Arial" w:cs="Arial"/>
          <w:sz w:val="24"/>
          <w:szCs w:val="24"/>
        </w:rPr>
      </w:pPr>
    </w:p>
    <w:p w14:paraId="1DA1C443" w14:textId="6721B889" w:rsidR="009E5744" w:rsidRPr="00C57BB1" w:rsidRDefault="009E5744" w:rsidP="009E5744">
      <w:pPr>
        <w:rPr>
          <w:rFonts w:cs="Arial"/>
          <w:szCs w:val="24"/>
        </w:rPr>
      </w:pPr>
      <w:r w:rsidRPr="00C57BB1">
        <w:rPr>
          <w:rFonts w:eastAsia="Times New Roman" w:cs="Arial"/>
          <w:b/>
          <w:szCs w:val="24"/>
          <w:lang w:eastAsia="en-GB"/>
        </w:rPr>
        <w:t>***IN CONFIDENCE***</w:t>
      </w:r>
    </w:p>
    <w:p w14:paraId="24C10C1D" w14:textId="77777777" w:rsidR="009E5744" w:rsidRDefault="009E5744" w:rsidP="009E5744">
      <w:pPr>
        <w:pStyle w:val="paragraph"/>
        <w:spacing w:before="0" w:beforeAutospacing="0" w:after="0" w:afterAutospacing="0"/>
        <w:textAlignment w:val="baseline"/>
        <w:rPr>
          <w:rStyle w:val="contentcontrolboundarysink"/>
          <w:rFonts w:ascii="Calibri" w:hAnsi="Calibri" w:cs="Calibri"/>
        </w:rPr>
      </w:pPr>
    </w:p>
    <w:p w14:paraId="58937000" w14:textId="2824166E" w:rsidR="009E5744" w:rsidRDefault="009E5744" w:rsidP="009E57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3. Exemption: relating to the financial or business affairs of any particular person</w:t>
      </w:r>
      <w:r w:rsidR="00EF4193">
        <w:rPr>
          <w:rStyle w:val="contentcontrolboundarysink"/>
          <w:rFonts w:ascii="Calibri" w:hAnsi="Calibri" w:cs="Calibri"/>
        </w:rPr>
        <w:t xml:space="preserve">. </w:t>
      </w:r>
      <w:r>
        <w:rPr>
          <w:rStyle w:val="eop"/>
          <w:rFonts w:ascii="Arial" w:hAnsi="Arial" w:cs="Arial"/>
        </w:rPr>
        <w:t> </w:t>
      </w:r>
    </w:p>
    <w:p w14:paraId="2B3C9E72" w14:textId="77777777" w:rsidR="009E5744" w:rsidRDefault="009E5744" w:rsidP="009E574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F974B36" w14:textId="77777777" w:rsidR="009E5744" w:rsidRDefault="009E5744" w:rsidP="009E57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was asked to approve an extension of the Event Support Services contract for a further 12-month period under the existing Tender Option.</w:t>
      </w:r>
      <w:r>
        <w:rPr>
          <w:rStyle w:val="eop"/>
          <w:rFonts w:ascii="Arial" w:hAnsi="Arial" w:cs="Arial"/>
        </w:rPr>
        <w:t> </w:t>
      </w:r>
    </w:p>
    <w:p w14:paraId="7A2D419D" w14:textId="77777777" w:rsidR="009E5744" w:rsidRDefault="009E5744" w:rsidP="009E574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0112310" w14:textId="35763877" w:rsidR="007A2643" w:rsidRDefault="009E5744" w:rsidP="009E5744">
      <w:pPr>
        <w:pStyle w:val="paragraph"/>
        <w:shd w:val="clear" w:color="auto" w:fill="FFFFFF"/>
        <w:spacing w:before="0" w:beforeAutospacing="0" w:after="0" w:afterAutospacing="0"/>
        <w:textAlignment w:val="baseline"/>
      </w:pPr>
      <w:r>
        <w:rPr>
          <w:rStyle w:val="normaltextrun"/>
          <w:rFonts w:ascii="Arial" w:hAnsi="Arial" w:cs="Arial"/>
        </w:rPr>
        <w:t>The recommendation was agreed.</w:t>
      </w:r>
    </w:p>
    <w:p w14:paraId="14F353B8" w14:textId="77777777" w:rsidR="009E5744" w:rsidRDefault="009E5744" w:rsidP="00A065F0"/>
    <w:p w14:paraId="4A19E4D4" w14:textId="2B877115" w:rsidR="00B7502F" w:rsidRPr="00B7502F" w:rsidRDefault="00B7502F" w:rsidP="00A065F0">
      <w:pPr>
        <w:pStyle w:val="Heading1"/>
        <w:rPr>
          <w:u w:val="single"/>
        </w:rPr>
      </w:pPr>
      <w:r w:rsidRPr="00B7502F">
        <w:rPr>
          <w:u w:val="single"/>
        </w:rPr>
        <w:t xml:space="preserve">Re-admittance of public/press </w:t>
      </w:r>
    </w:p>
    <w:p w14:paraId="7F45E6D5" w14:textId="77777777" w:rsidR="00B7502F" w:rsidRDefault="00B7502F" w:rsidP="00A065F0"/>
    <w:p w14:paraId="6276CA26" w14:textId="2AD4195C" w:rsidR="00B7502F" w:rsidRDefault="00B7502F" w:rsidP="00A065F0">
      <w:r>
        <w:t xml:space="preserve">AGREED, on the proposal of </w:t>
      </w:r>
      <w:r w:rsidR="00224E59">
        <w:t>Alderman McIlveen</w:t>
      </w:r>
      <w:r>
        <w:t xml:space="preserve">, seconded by </w:t>
      </w:r>
      <w:r w:rsidR="00224E59">
        <w:t>Councillor Gilmour</w:t>
      </w:r>
      <w:r>
        <w:t>, that the public/press be re-admitted to the meeting.</w:t>
      </w:r>
    </w:p>
    <w:p w14:paraId="69E4E4DF" w14:textId="77777777" w:rsidR="00B7502F" w:rsidRDefault="00B7502F" w:rsidP="00A065F0"/>
    <w:p w14:paraId="174A3E6C" w14:textId="7DE4FDF6" w:rsidR="00B7502F" w:rsidRPr="00B7502F" w:rsidRDefault="00B7502F" w:rsidP="00A065F0">
      <w:pPr>
        <w:pStyle w:val="Heading1"/>
        <w:rPr>
          <w:u w:val="single"/>
        </w:rPr>
      </w:pPr>
      <w:r w:rsidRPr="00B7502F">
        <w:rPr>
          <w:u w:val="single"/>
        </w:rPr>
        <w:lastRenderedPageBreak/>
        <w:t xml:space="preserve">Termination of meeting </w:t>
      </w:r>
    </w:p>
    <w:p w14:paraId="0B8DD8CA" w14:textId="77777777" w:rsidR="00B7502F" w:rsidRDefault="00B7502F" w:rsidP="00A065F0"/>
    <w:p w14:paraId="32BAEECA" w14:textId="7470E726" w:rsidR="00B7502F" w:rsidRDefault="00B7502F" w:rsidP="00A065F0">
      <w:r>
        <w:t xml:space="preserve">The meeting terminated at </w:t>
      </w:r>
      <w:r w:rsidR="00224E59">
        <w:t>8.58pm.</w:t>
      </w:r>
    </w:p>
    <w:sectPr w:rsidR="00B7502F" w:rsidSect="00201C9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F718" w14:textId="77777777" w:rsidR="006E5005" w:rsidRDefault="006E5005" w:rsidP="006E5005">
      <w:r>
        <w:separator/>
      </w:r>
    </w:p>
  </w:endnote>
  <w:endnote w:type="continuationSeparator" w:id="0">
    <w:p w14:paraId="4505CC00" w14:textId="77777777" w:rsidR="006E5005" w:rsidRDefault="006E5005" w:rsidP="006E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3D93" w14:textId="77777777" w:rsidR="00EF4193" w:rsidRDefault="00EF4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18EBABCF" w14:textId="10B6AB56" w:rsidR="00201C91" w:rsidRDefault="00201C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E925ED" w14:textId="77777777" w:rsidR="00201C91" w:rsidRDefault="00201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3EEC" w14:textId="77777777" w:rsidR="00EF4193" w:rsidRDefault="00EF4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E86A" w14:textId="77777777" w:rsidR="006E5005" w:rsidRDefault="006E5005" w:rsidP="006E5005">
      <w:r>
        <w:separator/>
      </w:r>
    </w:p>
  </w:footnote>
  <w:footnote w:type="continuationSeparator" w:id="0">
    <w:p w14:paraId="0A7E803C" w14:textId="77777777" w:rsidR="006E5005" w:rsidRDefault="006E5005" w:rsidP="006E5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766C" w14:textId="77777777" w:rsidR="00EF4193" w:rsidRDefault="00EF4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7D99" w14:textId="77DB432C" w:rsidR="006E5005" w:rsidRDefault="006E5005">
    <w:pPr>
      <w:pStyle w:val="Header"/>
    </w:pPr>
    <w:r>
      <w:tab/>
    </w:r>
    <w:r>
      <w:tab/>
      <w:t>CS.1</w:t>
    </w:r>
    <w:r w:rsidR="007A2643">
      <w:t>4</w:t>
    </w:r>
    <w:r>
      <w:t>.1</w:t>
    </w:r>
    <w:r w:rsidR="007A2643">
      <w:t>1</w:t>
    </w:r>
    <w:r>
      <w:t>.23</w:t>
    </w:r>
    <w:r w:rsidR="00874464">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CBEE" w14:textId="14D45EC0" w:rsidR="002879CA" w:rsidRPr="00CD0F1E" w:rsidRDefault="002879CA" w:rsidP="00CD0F1E">
    <w:pPr>
      <w:pStyle w:val="Header"/>
      <w:jc w:val="right"/>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67D"/>
    <w:multiLevelType w:val="hybridMultilevel"/>
    <w:tmpl w:val="20F4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D2170"/>
    <w:multiLevelType w:val="hybridMultilevel"/>
    <w:tmpl w:val="FB32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65A75"/>
    <w:multiLevelType w:val="hybridMultilevel"/>
    <w:tmpl w:val="F19CA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B7426"/>
    <w:multiLevelType w:val="hybridMultilevel"/>
    <w:tmpl w:val="3F5279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1455B7"/>
    <w:multiLevelType w:val="hybridMultilevel"/>
    <w:tmpl w:val="4EA6A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1B502C"/>
    <w:multiLevelType w:val="hybridMultilevel"/>
    <w:tmpl w:val="1E14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72488"/>
    <w:multiLevelType w:val="hybridMultilevel"/>
    <w:tmpl w:val="5826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D52A6"/>
    <w:multiLevelType w:val="hybridMultilevel"/>
    <w:tmpl w:val="331C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8B7854"/>
    <w:multiLevelType w:val="hybridMultilevel"/>
    <w:tmpl w:val="ED2C2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A97361"/>
    <w:multiLevelType w:val="hybridMultilevel"/>
    <w:tmpl w:val="F5AC5AC0"/>
    <w:lvl w:ilvl="0" w:tplc="0809000F">
      <w:start w:val="1"/>
      <w:numFmt w:val="decimal"/>
      <w:lvlText w:val="%1."/>
      <w:lvlJc w:val="left"/>
      <w:pPr>
        <w:ind w:left="785" w:hanging="360"/>
      </w:pPr>
      <w:rPr>
        <w:rFonts w:hint="default"/>
        <w:b/>
      </w:rPr>
    </w:lvl>
    <w:lvl w:ilvl="1" w:tplc="08090019">
      <w:start w:val="1"/>
      <w:numFmt w:val="lowerLetter"/>
      <w:lvlText w:val="%2."/>
      <w:lvlJc w:val="left"/>
      <w:pPr>
        <w:ind w:left="1231" w:hanging="360"/>
      </w:pPr>
    </w:lvl>
    <w:lvl w:ilvl="2" w:tplc="0809001B">
      <w:start w:val="1"/>
      <w:numFmt w:val="lowerRoman"/>
      <w:lvlText w:val="%3."/>
      <w:lvlJc w:val="right"/>
      <w:pPr>
        <w:ind w:left="1951" w:hanging="180"/>
      </w:pPr>
    </w:lvl>
    <w:lvl w:ilvl="3" w:tplc="0809000F" w:tentative="1">
      <w:start w:val="1"/>
      <w:numFmt w:val="decimal"/>
      <w:lvlText w:val="%4."/>
      <w:lvlJc w:val="left"/>
      <w:pPr>
        <w:ind w:left="2671" w:hanging="360"/>
      </w:pPr>
    </w:lvl>
    <w:lvl w:ilvl="4" w:tplc="08090019" w:tentative="1">
      <w:start w:val="1"/>
      <w:numFmt w:val="lowerLetter"/>
      <w:lvlText w:val="%5."/>
      <w:lvlJc w:val="left"/>
      <w:pPr>
        <w:ind w:left="3391" w:hanging="360"/>
      </w:pPr>
    </w:lvl>
    <w:lvl w:ilvl="5" w:tplc="0809001B" w:tentative="1">
      <w:start w:val="1"/>
      <w:numFmt w:val="lowerRoman"/>
      <w:lvlText w:val="%6."/>
      <w:lvlJc w:val="right"/>
      <w:pPr>
        <w:ind w:left="4111" w:hanging="180"/>
      </w:pPr>
    </w:lvl>
    <w:lvl w:ilvl="6" w:tplc="0809000F" w:tentative="1">
      <w:start w:val="1"/>
      <w:numFmt w:val="decimal"/>
      <w:lvlText w:val="%7."/>
      <w:lvlJc w:val="left"/>
      <w:pPr>
        <w:ind w:left="4831" w:hanging="360"/>
      </w:pPr>
    </w:lvl>
    <w:lvl w:ilvl="7" w:tplc="08090019" w:tentative="1">
      <w:start w:val="1"/>
      <w:numFmt w:val="lowerLetter"/>
      <w:lvlText w:val="%8."/>
      <w:lvlJc w:val="left"/>
      <w:pPr>
        <w:ind w:left="5551" w:hanging="360"/>
      </w:pPr>
    </w:lvl>
    <w:lvl w:ilvl="8" w:tplc="0809001B" w:tentative="1">
      <w:start w:val="1"/>
      <w:numFmt w:val="lowerRoman"/>
      <w:lvlText w:val="%9."/>
      <w:lvlJc w:val="right"/>
      <w:pPr>
        <w:ind w:left="6271" w:hanging="180"/>
      </w:pPr>
    </w:lvl>
  </w:abstractNum>
  <w:abstractNum w:abstractNumId="10" w15:restartNumberingAfterBreak="0">
    <w:nsid w:val="5B0055BD"/>
    <w:multiLevelType w:val="hybridMultilevel"/>
    <w:tmpl w:val="6B3A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363AF"/>
    <w:multiLevelType w:val="hybridMultilevel"/>
    <w:tmpl w:val="FD86C9FA"/>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15:restartNumberingAfterBreak="0">
    <w:nsid w:val="71214563"/>
    <w:multiLevelType w:val="hybridMultilevel"/>
    <w:tmpl w:val="5EDA63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7350134F"/>
    <w:multiLevelType w:val="hybridMultilevel"/>
    <w:tmpl w:val="040E0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3655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4489024">
    <w:abstractNumId w:val="2"/>
  </w:num>
  <w:num w:numId="3" w16cid:durableId="9517907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267918">
    <w:abstractNumId w:val="5"/>
  </w:num>
  <w:num w:numId="5" w16cid:durableId="389229673">
    <w:abstractNumId w:val="7"/>
  </w:num>
  <w:num w:numId="6" w16cid:durableId="1239753928">
    <w:abstractNumId w:val="10"/>
  </w:num>
  <w:num w:numId="7" w16cid:durableId="1159033002">
    <w:abstractNumId w:val="6"/>
  </w:num>
  <w:num w:numId="8" w16cid:durableId="1467626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1312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3084740">
    <w:abstractNumId w:val="12"/>
  </w:num>
  <w:num w:numId="11" w16cid:durableId="574245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4762902">
    <w:abstractNumId w:val="0"/>
  </w:num>
  <w:num w:numId="13" w16cid:durableId="1703942551">
    <w:abstractNumId w:val="1"/>
  </w:num>
  <w:num w:numId="14" w16cid:durableId="172093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XQWppHGJpsEe1dYXJUcH3jiEIG4YWnIUtKqfGgg3Bprs/uc0IHVBi37klseLUhNWh846qQdHX5R2bN9D7ZOFQg==" w:salt="RDxsoRruA4Fb1iV1GjGdug=="/>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114 CS 14 November 2023"/>
    <w:docVar w:name="Trove_G_1_Withdraw" w:val="-1"/>
    <w:docVar w:name="Trove_H_Title_1" w:val="231114 CS 14 November 2023"/>
    <w:docVar w:name="Trove_H_Version_1" w:val=" "/>
  </w:docVars>
  <w:rsids>
    <w:rsidRoot w:val="00A54622"/>
    <w:rsid w:val="00004884"/>
    <w:rsid w:val="00007B8B"/>
    <w:rsid w:val="000132D7"/>
    <w:rsid w:val="0001744E"/>
    <w:rsid w:val="00025469"/>
    <w:rsid w:val="00030479"/>
    <w:rsid w:val="0003502C"/>
    <w:rsid w:val="000367B8"/>
    <w:rsid w:val="0004483F"/>
    <w:rsid w:val="000539A0"/>
    <w:rsid w:val="000678D8"/>
    <w:rsid w:val="00076FD3"/>
    <w:rsid w:val="00081DE6"/>
    <w:rsid w:val="000869FE"/>
    <w:rsid w:val="000913D2"/>
    <w:rsid w:val="00095F2F"/>
    <w:rsid w:val="000B1321"/>
    <w:rsid w:val="0010715F"/>
    <w:rsid w:val="00124D89"/>
    <w:rsid w:val="00153B03"/>
    <w:rsid w:val="0015594C"/>
    <w:rsid w:val="00160EEC"/>
    <w:rsid w:val="001668CD"/>
    <w:rsid w:val="00181B6F"/>
    <w:rsid w:val="00190D6B"/>
    <w:rsid w:val="001B5D5D"/>
    <w:rsid w:val="001C2B54"/>
    <w:rsid w:val="001D34D2"/>
    <w:rsid w:val="001E1546"/>
    <w:rsid w:val="001E6ECD"/>
    <w:rsid w:val="00201C91"/>
    <w:rsid w:val="0020517F"/>
    <w:rsid w:val="00222582"/>
    <w:rsid w:val="00224E59"/>
    <w:rsid w:val="00253C07"/>
    <w:rsid w:val="00267FF3"/>
    <w:rsid w:val="002879CA"/>
    <w:rsid w:val="00287E3D"/>
    <w:rsid w:val="002904CD"/>
    <w:rsid w:val="00292BEA"/>
    <w:rsid w:val="002A399F"/>
    <w:rsid w:val="002A3EA2"/>
    <w:rsid w:val="002A6B07"/>
    <w:rsid w:val="002C4484"/>
    <w:rsid w:val="002C55C2"/>
    <w:rsid w:val="002E1B77"/>
    <w:rsid w:val="002E3119"/>
    <w:rsid w:val="00313E1F"/>
    <w:rsid w:val="00314343"/>
    <w:rsid w:val="00315AA8"/>
    <w:rsid w:val="00322D05"/>
    <w:rsid w:val="00335722"/>
    <w:rsid w:val="003458A9"/>
    <w:rsid w:val="0034622D"/>
    <w:rsid w:val="00352922"/>
    <w:rsid w:val="00380959"/>
    <w:rsid w:val="003A48E2"/>
    <w:rsid w:val="003B1361"/>
    <w:rsid w:val="003B261C"/>
    <w:rsid w:val="003C0939"/>
    <w:rsid w:val="003C6203"/>
    <w:rsid w:val="003E28F3"/>
    <w:rsid w:val="003E7FAE"/>
    <w:rsid w:val="004148A5"/>
    <w:rsid w:val="0043261C"/>
    <w:rsid w:val="00440BB6"/>
    <w:rsid w:val="00464896"/>
    <w:rsid w:val="00465D7C"/>
    <w:rsid w:val="00471DE8"/>
    <w:rsid w:val="0048371B"/>
    <w:rsid w:val="004A0553"/>
    <w:rsid w:val="004C345A"/>
    <w:rsid w:val="004C6628"/>
    <w:rsid w:val="004D7C5C"/>
    <w:rsid w:val="004E2152"/>
    <w:rsid w:val="004E2ABD"/>
    <w:rsid w:val="004E3E52"/>
    <w:rsid w:val="004E604A"/>
    <w:rsid w:val="004F251F"/>
    <w:rsid w:val="004F4397"/>
    <w:rsid w:val="00504419"/>
    <w:rsid w:val="0054575C"/>
    <w:rsid w:val="00563214"/>
    <w:rsid w:val="00563FD3"/>
    <w:rsid w:val="00571B9C"/>
    <w:rsid w:val="00591404"/>
    <w:rsid w:val="005A3C5C"/>
    <w:rsid w:val="005B1571"/>
    <w:rsid w:val="005B2E00"/>
    <w:rsid w:val="005B348F"/>
    <w:rsid w:val="005C0882"/>
    <w:rsid w:val="005C2849"/>
    <w:rsid w:val="005E46D9"/>
    <w:rsid w:val="005E510E"/>
    <w:rsid w:val="006102F7"/>
    <w:rsid w:val="00612891"/>
    <w:rsid w:val="00621495"/>
    <w:rsid w:val="00624536"/>
    <w:rsid w:val="0062771A"/>
    <w:rsid w:val="00627B9F"/>
    <w:rsid w:val="006366B5"/>
    <w:rsid w:val="00676B2A"/>
    <w:rsid w:val="006A0912"/>
    <w:rsid w:val="006A1F13"/>
    <w:rsid w:val="006B0756"/>
    <w:rsid w:val="006B42BD"/>
    <w:rsid w:val="006C02D2"/>
    <w:rsid w:val="006C0800"/>
    <w:rsid w:val="006C2198"/>
    <w:rsid w:val="006C4871"/>
    <w:rsid w:val="006C4A29"/>
    <w:rsid w:val="006D53BF"/>
    <w:rsid w:val="006E5005"/>
    <w:rsid w:val="006F7827"/>
    <w:rsid w:val="006F7B64"/>
    <w:rsid w:val="00717D5E"/>
    <w:rsid w:val="00722C8C"/>
    <w:rsid w:val="0072773A"/>
    <w:rsid w:val="00742503"/>
    <w:rsid w:val="00746047"/>
    <w:rsid w:val="007523A8"/>
    <w:rsid w:val="00762ED3"/>
    <w:rsid w:val="0077495B"/>
    <w:rsid w:val="00776B8A"/>
    <w:rsid w:val="00776D83"/>
    <w:rsid w:val="007806BA"/>
    <w:rsid w:val="00781D3F"/>
    <w:rsid w:val="007903BF"/>
    <w:rsid w:val="007926BA"/>
    <w:rsid w:val="007A2643"/>
    <w:rsid w:val="007D24A8"/>
    <w:rsid w:val="007E30EA"/>
    <w:rsid w:val="007E4FB7"/>
    <w:rsid w:val="008008DB"/>
    <w:rsid w:val="008131E5"/>
    <w:rsid w:val="00813B27"/>
    <w:rsid w:val="00814928"/>
    <w:rsid w:val="00823F17"/>
    <w:rsid w:val="00826E33"/>
    <w:rsid w:val="00834D1B"/>
    <w:rsid w:val="00843B92"/>
    <w:rsid w:val="0085016D"/>
    <w:rsid w:val="00863DE0"/>
    <w:rsid w:val="008737B8"/>
    <w:rsid w:val="00874464"/>
    <w:rsid w:val="008A0F85"/>
    <w:rsid w:val="008A0FF5"/>
    <w:rsid w:val="008A5D16"/>
    <w:rsid w:val="008D45EC"/>
    <w:rsid w:val="008D482C"/>
    <w:rsid w:val="008E166B"/>
    <w:rsid w:val="008E54B4"/>
    <w:rsid w:val="008E62B2"/>
    <w:rsid w:val="008F4429"/>
    <w:rsid w:val="008F7F5F"/>
    <w:rsid w:val="00904DB0"/>
    <w:rsid w:val="00907975"/>
    <w:rsid w:val="00925911"/>
    <w:rsid w:val="009476A6"/>
    <w:rsid w:val="00947980"/>
    <w:rsid w:val="009574D8"/>
    <w:rsid w:val="00964F34"/>
    <w:rsid w:val="009B0A75"/>
    <w:rsid w:val="009B2DBE"/>
    <w:rsid w:val="009B2F08"/>
    <w:rsid w:val="009D0CBE"/>
    <w:rsid w:val="009D6DAA"/>
    <w:rsid w:val="009E0661"/>
    <w:rsid w:val="009E5744"/>
    <w:rsid w:val="009E753A"/>
    <w:rsid w:val="009F0654"/>
    <w:rsid w:val="00A065F0"/>
    <w:rsid w:val="00A321EC"/>
    <w:rsid w:val="00A54622"/>
    <w:rsid w:val="00A63B92"/>
    <w:rsid w:val="00A7322A"/>
    <w:rsid w:val="00A8610E"/>
    <w:rsid w:val="00A87B0E"/>
    <w:rsid w:val="00AA3C6F"/>
    <w:rsid w:val="00AA5706"/>
    <w:rsid w:val="00AB0363"/>
    <w:rsid w:val="00AB06F0"/>
    <w:rsid w:val="00AB50A4"/>
    <w:rsid w:val="00AD2F11"/>
    <w:rsid w:val="00AD3755"/>
    <w:rsid w:val="00AD5956"/>
    <w:rsid w:val="00AE04D9"/>
    <w:rsid w:val="00AE0CC4"/>
    <w:rsid w:val="00B07469"/>
    <w:rsid w:val="00B24326"/>
    <w:rsid w:val="00B24B7D"/>
    <w:rsid w:val="00B256D7"/>
    <w:rsid w:val="00B3483F"/>
    <w:rsid w:val="00B368A4"/>
    <w:rsid w:val="00B45462"/>
    <w:rsid w:val="00B51E65"/>
    <w:rsid w:val="00B54DA1"/>
    <w:rsid w:val="00B60960"/>
    <w:rsid w:val="00B657E9"/>
    <w:rsid w:val="00B73799"/>
    <w:rsid w:val="00B7502F"/>
    <w:rsid w:val="00B93B04"/>
    <w:rsid w:val="00B94285"/>
    <w:rsid w:val="00B9537D"/>
    <w:rsid w:val="00BA3639"/>
    <w:rsid w:val="00BA45AC"/>
    <w:rsid w:val="00BB20D8"/>
    <w:rsid w:val="00BB3334"/>
    <w:rsid w:val="00BC17B9"/>
    <w:rsid w:val="00BD31EF"/>
    <w:rsid w:val="00BD4AA9"/>
    <w:rsid w:val="00C056FC"/>
    <w:rsid w:val="00C07D01"/>
    <w:rsid w:val="00C110A1"/>
    <w:rsid w:val="00C16B86"/>
    <w:rsid w:val="00C20195"/>
    <w:rsid w:val="00C63B71"/>
    <w:rsid w:val="00C773E5"/>
    <w:rsid w:val="00C835B1"/>
    <w:rsid w:val="00C85C3C"/>
    <w:rsid w:val="00C961C7"/>
    <w:rsid w:val="00CA230B"/>
    <w:rsid w:val="00CA33E9"/>
    <w:rsid w:val="00CB0652"/>
    <w:rsid w:val="00CB2AF0"/>
    <w:rsid w:val="00CD0F1E"/>
    <w:rsid w:val="00CE3BA1"/>
    <w:rsid w:val="00CE6D1B"/>
    <w:rsid w:val="00CF21F1"/>
    <w:rsid w:val="00CF3544"/>
    <w:rsid w:val="00D00F58"/>
    <w:rsid w:val="00D35E0E"/>
    <w:rsid w:val="00D4183F"/>
    <w:rsid w:val="00D47B03"/>
    <w:rsid w:val="00D50DE3"/>
    <w:rsid w:val="00D6472B"/>
    <w:rsid w:val="00D66462"/>
    <w:rsid w:val="00D72E62"/>
    <w:rsid w:val="00D770A9"/>
    <w:rsid w:val="00DB4BB2"/>
    <w:rsid w:val="00DC187D"/>
    <w:rsid w:val="00DC5E2C"/>
    <w:rsid w:val="00E02CED"/>
    <w:rsid w:val="00E16A61"/>
    <w:rsid w:val="00E32359"/>
    <w:rsid w:val="00E3450D"/>
    <w:rsid w:val="00E805E4"/>
    <w:rsid w:val="00E82929"/>
    <w:rsid w:val="00E82A00"/>
    <w:rsid w:val="00E93E37"/>
    <w:rsid w:val="00E960F6"/>
    <w:rsid w:val="00EE7F01"/>
    <w:rsid w:val="00EF4193"/>
    <w:rsid w:val="00F002E7"/>
    <w:rsid w:val="00F246C7"/>
    <w:rsid w:val="00F4289A"/>
    <w:rsid w:val="00F442F2"/>
    <w:rsid w:val="00F44F6F"/>
    <w:rsid w:val="00F46163"/>
    <w:rsid w:val="00F51DA9"/>
    <w:rsid w:val="00F54B01"/>
    <w:rsid w:val="00F60DC7"/>
    <w:rsid w:val="00F62F55"/>
    <w:rsid w:val="00F6424D"/>
    <w:rsid w:val="00F74ED9"/>
    <w:rsid w:val="00F946B6"/>
    <w:rsid w:val="00FA2EBF"/>
    <w:rsid w:val="00FE4DE1"/>
    <w:rsid w:val="00FE77B5"/>
    <w:rsid w:val="00FF53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82AAC9"/>
  <w15:chartTrackingRefBased/>
  <w15:docId w15:val="{F7E2DF7D-14E1-4CB1-829A-EAF412C6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622"/>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A54622"/>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BA3639"/>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622"/>
    <w:rPr>
      <w:rFonts w:ascii="Arial" w:eastAsiaTheme="majorEastAsia" w:hAnsi="Arial" w:cstheme="majorBidi"/>
      <w:b/>
      <w:caps/>
      <w:kern w:val="0"/>
      <w:sz w:val="28"/>
      <w:szCs w:val="32"/>
      <w14:ligatures w14:val="non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9B2F08"/>
    <w:pPr>
      <w:ind w:left="720"/>
    </w:pPr>
    <w:rPr>
      <w:rFonts w:ascii="Calibri" w:eastAsiaTheme="minorHAnsi" w:hAnsi="Calibri"/>
      <w:sz w:val="22"/>
    </w:rPr>
  </w:style>
  <w:style w:type="paragraph" w:customStyle="1" w:styleId="xxxmsonormal">
    <w:name w:val="x_xxmsonormal"/>
    <w:basedOn w:val="Normal"/>
    <w:uiPriority w:val="99"/>
    <w:rsid w:val="009B2F08"/>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9B2F08"/>
    <w:rPr>
      <w:rFonts w:ascii="Calibri" w:hAnsi="Calibri" w:cs="Times New Roman"/>
      <w:kern w:val="0"/>
      <w14:ligatures w14:val="none"/>
    </w:rPr>
  </w:style>
  <w:style w:type="table" w:styleId="TableGrid">
    <w:name w:val="Table Grid"/>
    <w:basedOn w:val="TableNormal"/>
    <w:uiPriority w:val="39"/>
    <w:rsid w:val="00621495"/>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621495"/>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621495"/>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621495"/>
    <w:rPr>
      <w:rFonts w:ascii="Calibri" w:eastAsiaTheme="minorHAnsi" w:hAnsi="Calibri" w:cs="Calibri"/>
      <w:sz w:val="22"/>
      <w:lang w:eastAsia="en-GB"/>
    </w:rPr>
  </w:style>
  <w:style w:type="character" w:customStyle="1" w:styleId="eop">
    <w:name w:val="eop"/>
    <w:basedOn w:val="DefaultParagraphFont"/>
    <w:rsid w:val="00A7322A"/>
  </w:style>
  <w:style w:type="paragraph" w:styleId="Header">
    <w:name w:val="header"/>
    <w:basedOn w:val="Normal"/>
    <w:link w:val="HeaderChar"/>
    <w:uiPriority w:val="99"/>
    <w:unhideWhenUsed/>
    <w:rsid w:val="006E5005"/>
    <w:pPr>
      <w:tabs>
        <w:tab w:val="center" w:pos="4513"/>
        <w:tab w:val="right" w:pos="9026"/>
      </w:tabs>
    </w:pPr>
  </w:style>
  <w:style w:type="character" w:customStyle="1" w:styleId="HeaderChar">
    <w:name w:val="Header Char"/>
    <w:basedOn w:val="DefaultParagraphFont"/>
    <w:link w:val="Header"/>
    <w:uiPriority w:val="99"/>
    <w:rsid w:val="006E5005"/>
    <w:rPr>
      <w:rFonts w:ascii="Arial" w:eastAsia="Calibri" w:hAnsi="Arial" w:cs="Times New Roman"/>
      <w:kern w:val="0"/>
      <w:sz w:val="24"/>
      <w14:ligatures w14:val="none"/>
    </w:rPr>
  </w:style>
  <w:style w:type="paragraph" w:styleId="Footer">
    <w:name w:val="footer"/>
    <w:basedOn w:val="Normal"/>
    <w:link w:val="FooterChar"/>
    <w:uiPriority w:val="99"/>
    <w:unhideWhenUsed/>
    <w:rsid w:val="006E5005"/>
    <w:pPr>
      <w:tabs>
        <w:tab w:val="center" w:pos="4513"/>
        <w:tab w:val="right" w:pos="9026"/>
      </w:tabs>
    </w:pPr>
  </w:style>
  <w:style w:type="character" w:customStyle="1" w:styleId="FooterChar">
    <w:name w:val="Footer Char"/>
    <w:basedOn w:val="DefaultParagraphFont"/>
    <w:link w:val="Footer"/>
    <w:uiPriority w:val="99"/>
    <w:rsid w:val="006E5005"/>
    <w:rPr>
      <w:rFonts w:ascii="Arial" w:eastAsia="Calibri" w:hAnsi="Arial" w:cs="Times New Roman"/>
      <w:kern w:val="0"/>
      <w:sz w:val="24"/>
      <w14:ligatures w14:val="none"/>
    </w:rPr>
  </w:style>
  <w:style w:type="paragraph" w:customStyle="1" w:styleId="xxmsonormal">
    <w:name w:val="x_xmsonormal"/>
    <w:basedOn w:val="Normal"/>
    <w:uiPriority w:val="99"/>
    <w:rsid w:val="00222582"/>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uiPriority w:val="99"/>
    <w:rsid w:val="00222582"/>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semiHidden/>
    <w:unhideWhenUsed/>
    <w:rsid w:val="00287E3D"/>
    <w:rPr>
      <w:color w:val="0000FF"/>
      <w:u w:val="single"/>
    </w:rPr>
  </w:style>
  <w:style w:type="character" w:customStyle="1" w:styleId="Heading2Char">
    <w:name w:val="Heading 2 Char"/>
    <w:basedOn w:val="DefaultParagraphFont"/>
    <w:link w:val="Heading2"/>
    <w:uiPriority w:val="9"/>
    <w:rsid w:val="00BA3639"/>
    <w:rPr>
      <w:rFonts w:ascii="Arial" w:eastAsiaTheme="majorEastAsia" w:hAnsi="Arial" w:cstheme="majorBidi"/>
      <w:b/>
      <w:kern w:val="0"/>
      <w:sz w:val="24"/>
      <w:szCs w:val="26"/>
      <w:u w:val="single"/>
      <w14:ligatures w14:val="none"/>
    </w:rPr>
  </w:style>
  <w:style w:type="paragraph" w:customStyle="1" w:styleId="xcontentpasted0">
    <w:name w:val="x_contentpasted0"/>
    <w:basedOn w:val="Normal"/>
    <w:uiPriority w:val="99"/>
    <w:rsid w:val="005E510E"/>
    <w:rPr>
      <w:rFonts w:ascii="Calibri" w:eastAsiaTheme="minorHAnsi" w:hAnsi="Calibri" w:cs="Calibri"/>
      <w:sz w:val="22"/>
      <w:lang w:eastAsia="en-GB"/>
    </w:rPr>
  </w:style>
  <w:style w:type="paragraph" w:styleId="Revision">
    <w:name w:val="Revision"/>
    <w:hidden/>
    <w:uiPriority w:val="99"/>
    <w:semiHidden/>
    <w:rsid w:val="00B3483F"/>
    <w:pPr>
      <w:spacing w:after="0" w:line="240" w:lineRule="auto"/>
    </w:pPr>
    <w:rPr>
      <w:rFonts w:ascii="Arial" w:eastAsia="Calibri" w:hAnsi="Arial" w:cs="Times New Roman"/>
      <w:kern w:val="0"/>
      <w:sz w:val="24"/>
      <w14:ligatures w14:val="none"/>
    </w:rPr>
  </w:style>
  <w:style w:type="paragraph" w:customStyle="1" w:styleId="paragraph">
    <w:name w:val="paragraph"/>
    <w:basedOn w:val="Normal"/>
    <w:rsid w:val="00571B9C"/>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571B9C"/>
  </w:style>
  <w:style w:type="character" w:customStyle="1" w:styleId="contentcontrolboundarysink">
    <w:name w:val="contentcontrolboundarysink"/>
    <w:basedOn w:val="DefaultParagraphFont"/>
    <w:rsid w:val="00571B9C"/>
  </w:style>
  <w:style w:type="character" w:styleId="FollowedHyperlink">
    <w:name w:val="FollowedHyperlink"/>
    <w:basedOn w:val="DefaultParagraphFont"/>
    <w:uiPriority w:val="99"/>
    <w:semiHidden/>
    <w:unhideWhenUsed/>
    <w:rsid w:val="00190D6B"/>
    <w:rPr>
      <w:color w:val="954F72" w:themeColor="followedHyperlink"/>
      <w:u w:val="single"/>
    </w:rPr>
  </w:style>
  <w:style w:type="paragraph" w:customStyle="1" w:styleId="msonormal0">
    <w:name w:val="msonormal"/>
    <w:basedOn w:val="Normal"/>
    <w:uiPriority w:val="99"/>
    <w:rsid w:val="00190D6B"/>
    <w:pPr>
      <w:spacing w:before="100" w:beforeAutospacing="1" w:after="100" w:afterAutospacing="1"/>
    </w:pPr>
    <w:rPr>
      <w:rFonts w:ascii="Times New Roman" w:eastAsia="Times New Roman" w:hAnsi="Times New Roman"/>
      <w:szCs w:val="24"/>
      <w:lang w:eastAsia="en-GB"/>
    </w:rPr>
  </w:style>
  <w:style w:type="table" w:customStyle="1" w:styleId="TableGrid1">
    <w:name w:val="Table Grid1"/>
    <w:basedOn w:val="TableNormal"/>
    <w:next w:val="TableGrid"/>
    <w:uiPriority w:val="39"/>
    <w:rsid w:val="00190D6B"/>
    <w:pPr>
      <w:spacing w:after="0" w:line="240" w:lineRule="auto"/>
    </w:pPr>
    <w:rPr>
      <w:rFonts w:ascii="Arial" w:eastAsia="Calibri" w:hAnsi="Arial"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190D6B"/>
    <w:pPr>
      <w:spacing w:after="0" w:line="240" w:lineRule="auto"/>
    </w:pPr>
    <w:rPr>
      <w:rFonts w:ascii="Arial" w:eastAsia="Calibri" w:hAnsi="Arial" w:cs="Times New Roman"/>
      <w:kern w:val="0"/>
      <w:sz w:val="24"/>
      <w:szCs w:val="24"/>
      <w14:ligatures w14:val="none"/>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85513">
      <w:bodyDiv w:val="1"/>
      <w:marLeft w:val="0"/>
      <w:marRight w:val="0"/>
      <w:marTop w:val="0"/>
      <w:marBottom w:val="0"/>
      <w:divBdr>
        <w:top w:val="none" w:sz="0" w:space="0" w:color="auto"/>
        <w:left w:val="none" w:sz="0" w:space="0" w:color="auto"/>
        <w:bottom w:val="none" w:sz="0" w:space="0" w:color="auto"/>
        <w:right w:val="none" w:sz="0" w:space="0" w:color="auto"/>
      </w:divBdr>
      <w:divsChild>
        <w:div w:id="1203638446">
          <w:marLeft w:val="0"/>
          <w:marRight w:val="0"/>
          <w:marTop w:val="0"/>
          <w:marBottom w:val="0"/>
          <w:divBdr>
            <w:top w:val="none" w:sz="0" w:space="0" w:color="auto"/>
            <w:left w:val="none" w:sz="0" w:space="0" w:color="auto"/>
            <w:bottom w:val="none" w:sz="0" w:space="0" w:color="auto"/>
            <w:right w:val="none" w:sz="0" w:space="0" w:color="auto"/>
          </w:divBdr>
        </w:div>
        <w:div w:id="1654987948">
          <w:marLeft w:val="0"/>
          <w:marRight w:val="0"/>
          <w:marTop w:val="0"/>
          <w:marBottom w:val="0"/>
          <w:divBdr>
            <w:top w:val="none" w:sz="0" w:space="0" w:color="auto"/>
            <w:left w:val="none" w:sz="0" w:space="0" w:color="auto"/>
            <w:bottom w:val="none" w:sz="0" w:space="0" w:color="auto"/>
            <w:right w:val="none" w:sz="0" w:space="0" w:color="auto"/>
          </w:divBdr>
        </w:div>
        <w:div w:id="46614099">
          <w:marLeft w:val="0"/>
          <w:marRight w:val="0"/>
          <w:marTop w:val="0"/>
          <w:marBottom w:val="0"/>
          <w:divBdr>
            <w:top w:val="none" w:sz="0" w:space="0" w:color="auto"/>
            <w:left w:val="none" w:sz="0" w:space="0" w:color="auto"/>
            <w:bottom w:val="none" w:sz="0" w:space="0" w:color="auto"/>
            <w:right w:val="none" w:sz="0" w:space="0" w:color="auto"/>
          </w:divBdr>
        </w:div>
        <w:div w:id="1862935898">
          <w:marLeft w:val="0"/>
          <w:marRight w:val="0"/>
          <w:marTop w:val="0"/>
          <w:marBottom w:val="0"/>
          <w:divBdr>
            <w:top w:val="none" w:sz="0" w:space="0" w:color="auto"/>
            <w:left w:val="none" w:sz="0" w:space="0" w:color="auto"/>
            <w:bottom w:val="none" w:sz="0" w:space="0" w:color="auto"/>
            <w:right w:val="none" w:sz="0" w:space="0" w:color="auto"/>
          </w:divBdr>
        </w:div>
        <w:div w:id="219444540">
          <w:marLeft w:val="0"/>
          <w:marRight w:val="0"/>
          <w:marTop w:val="0"/>
          <w:marBottom w:val="0"/>
          <w:divBdr>
            <w:top w:val="none" w:sz="0" w:space="0" w:color="auto"/>
            <w:left w:val="none" w:sz="0" w:space="0" w:color="auto"/>
            <w:bottom w:val="none" w:sz="0" w:space="0" w:color="auto"/>
            <w:right w:val="none" w:sz="0" w:space="0" w:color="auto"/>
          </w:divBdr>
        </w:div>
      </w:divsChild>
    </w:div>
    <w:div w:id="817499508">
      <w:bodyDiv w:val="1"/>
      <w:marLeft w:val="0"/>
      <w:marRight w:val="0"/>
      <w:marTop w:val="0"/>
      <w:marBottom w:val="0"/>
      <w:divBdr>
        <w:top w:val="none" w:sz="0" w:space="0" w:color="auto"/>
        <w:left w:val="none" w:sz="0" w:space="0" w:color="auto"/>
        <w:bottom w:val="none" w:sz="0" w:space="0" w:color="auto"/>
        <w:right w:val="none" w:sz="0" w:space="0" w:color="auto"/>
      </w:divBdr>
    </w:div>
    <w:div w:id="980036450">
      <w:bodyDiv w:val="1"/>
      <w:marLeft w:val="0"/>
      <w:marRight w:val="0"/>
      <w:marTop w:val="0"/>
      <w:marBottom w:val="0"/>
      <w:divBdr>
        <w:top w:val="none" w:sz="0" w:space="0" w:color="auto"/>
        <w:left w:val="none" w:sz="0" w:space="0" w:color="auto"/>
        <w:bottom w:val="none" w:sz="0" w:space="0" w:color="auto"/>
        <w:right w:val="none" w:sz="0" w:space="0" w:color="auto"/>
      </w:divBdr>
      <w:divsChild>
        <w:div w:id="931476784">
          <w:marLeft w:val="0"/>
          <w:marRight w:val="0"/>
          <w:marTop w:val="0"/>
          <w:marBottom w:val="0"/>
          <w:divBdr>
            <w:top w:val="none" w:sz="0" w:space="0" w:color="auto"/>
            <w:left w:val="none" w:sz="0" w:space="0" w:color="auto"/>
            <w:bottom w:val="none" w:sz="0" w:space="0" w:color="auto"/>
            <w:right w:val="none" w:sz="0" w:space="0" w:color="auto"/>
          </w:divBdr>
        </w:div>
        <w:div w:id="2020228777">
          <w:marLeft w:val="0"/>
          <w:marRight w:val="0"/>
          <w:marTop w:val="0"/>
          <w:marBottom w:val="0"/>
          <w:divBdr>
            <w:top w:val="none" w:sz="0" w:space="0" w:color="auto"/>
            <w:left w:val="none" w:sz="0" w:space="0" w:color="auto"/>
            <w:bottom w:val="none" w:sz="0" w:space="0" w:color="auto"/>
            <w:right w:val="none" w:sz="0" w:space="0" w:color="auto"/>
          </w:divBdr>
        </w:div>
        <w:div w:id="2039426158">
          <w:marLeft w:val="0"/>
          <w:marRight w:val="0"/>
          <w:marTop w:val="0"/>
          <w:marBottom w:val="0"/>
          <w:divBdr>
            <w:top w:val="none" w:sz="0" w:space="0" w:color="auto"/>
            <w:left w:val="none" w:sz="0" w:space="0" w:color="auto"/>
            <w:bottom w:val="none" w:sz="0" w:space="0" w:color="auto"/>
            <w:right w:val="none" w:sz="0" w:space="0" w:color="auto"/>
          </w:divBdr>
        </w:div>
        <w:div w:id="2109959515">
          <w:marLeft w:val="0"/>
          <w:marRight w:val="0"/>
          <w:marTop w:val="0"/>
          <w:marBottom w:val="0"/>
          <w:divBdr>
            <w:top w:val="none" w:sz="0" w:space="0" w:color="auto"/>
            <w:left w:val="none" w:sz="0" w:space="0" w:color="auto"/>
            <w:bottom w:val="none" w:sz="0" w:space="0" w:color="auto"/>
            <w:right w:val="none" w:sz="0" w:space="0" w:color="auto"/>
          </w:divBdr>
        </w:div>
        <w:div w:id="2006395600">
          <w:marLeft w:val="0"/>
          <w:marRight w:val="0"/>
          <w:marTop w:val="0"/>
          <w:marBottom w:val="0"/>
          <w:divBdr>
            <w:top w:val="none" w:sz="0" w:space="0" w:color="auto"/>
            <w:left w:val="none" w:sz="0" w:space="0" w:color="auto"/>
            <w:bottom w:val="none" w:sz="0" w:space="0" w:color="auto"/>
            <w:right w:val="none" w:sz="0" w:space="0" w:color="auto"/>
          </w:divBdr>
        </w:div>
        <w:div w:id="226110083">
          <w:marLeft w:val="0"/>
          <w:marRight w:val="0"/>
          <w:marTop w:val="0"/>
          <w:marBottom w:val="0"/>
          <w:divBdr>
            <w:top w:val="none" w:sz="0" w:space="0" w:color="auto"/>
            <w:left w:val="none" w:sz="0" w:space="0" w:color="auto"/>
            <w:bottom w:val="none" w:sz="0" w:space="0" w:color="auto"/>
            <w:right w:val="none" w:sz="0" w:space="0" w:color="auto"/>
          </w:divBdr>
        </w:div>
        <w:div w:id="1875266557">
          <w:marLeft w:val="0"/>
          <w:marRight w:val="0"/>
          <w:marTop w:val="0"/>
          <w:marBottom w:val="0"/>
          <w:divBdr>
            <w:top w:val="none" w:sz="0" w:space="0" w:color="auto"/>
            <w:left w:val="none" w:sz="0" w:space="0" w:color="auto"/>
            <w:bottom w:val="none" w:sz="0" w:space="0" w:color="auto"/>
            <w:right w:val="none" w:sz="0" w:space="0" w:color="auto"/>
          </w:divBdr>
        </w:div>
      </w:divsChild>
    </w:div>
    <w:div w:id="1132989060">
      <w:bodyDiv w:val="1"/>
      <w:marLeft w:val="0"/>
      <w:marRight w:val="0"/>
      <w:marTop w:val="0"/>
      <w:marBottom w:val="0"/>
      <w:divBdr>
        <w:top w:val="none" w:sz="0" w:space="0" w:color="auto"/>
        <w:left w:val="none" w:sz="0" w:space="0" w:color="auto"/>
        <w:bottom w:val="none" w:sz="0" w:space="0" w:color="auto"/>
        <w:right w:val="none" w:sz="0" w:space="0" w:color="auto"/>
      </w:divBdr>
    </w:div>
    <w:div w:id="1322467140">
      <w:bodyDiv w:val="1"/>
      <w:marLeft w:val="0"/>
      <w:marRight w:val="0"/>
      <w:marTop w:val="0"/>
      <w:marBottom w:val="0"/>
      <w:divBdr>
        <w:top w:val="none" w:sz="0" w:space="0" w:color="auto"/>
        <w:left w:val="none" w:sz="0" w:space="0" w:color="auto"/>
        <w:bottom w:val="none" w:sz="0" w:space="0" w:color="auto"/>
        <w:right w:val="none" w:sz="0" w:space="0" w:color="auto"/>
      </w:divBdr>
      <w:divsChild>
        <w:div w:id="2087141071">
          <w:marLeft w:val="0"/>
          <w:marRight w:val="0"/>
          <w:marTop w:val="0"/>
          <w:marBottom w:val="0"/>
          <w:divBdr>
            <w:top w:val="none" w:sz="0" w:space="0" w:color="auto"/>
            <w:left w:val="none" w:sz="0" w:space="0" w:color="auto"/>
            <w:bottom w:val="none" w:sz="0" w:space="0" w:color="auto"/>
            <w:right w:val="none" w:sz="0" w:space="0" w:color="auto"/>
          </w:divBdr>
        </w:div>
        <w:div w:id="841579549">
          <w:marLeft w:val="0"/>
          <w:marRight w:val="0"/>
          <w:marTop w:val="0"/>
          <w:marBottom w:val="0"/>
          <w:divBdr>
            <w:top w:val="none" w:sz="0" w:space="0" w:color="auto"/>
            <w:left w:val="none" w:sz="0" w:space="0" w:color="auto"/>
            <w:bottom w:val="none" w:sz="0" w:space="0" w:color="auto"/>
            <w:right w:val="none" w:sz="0" w:space="0" w:color="auto"/>
          </w:divBdr>
        </w:div>
        <w:div w:id="305597219">
          <w:marLeft w:val="0"/>
          <w:marRight w:val="0"/>
          <w:marTop w:val="0"/>
          <w:marBottom w:val="0"/>
          <w:divBdr>
            <w:top w:val="none" w:sz="0" w:space="0" w:color="auto"/>
            <w:left w:val="none" w:sz="0" w:space="0" w:color="auto"/>
            <w:bottom w:val="none" w:sz="0" w:space="0" w:color="auto"/>
            <w:right w:val="none" w:sz="0" w:space="0" w:color="auto"/>
          </w:divBdr>
        </w:div>
        <w:div w:id="1191337384">
          <w:marLeft w:val="0"/>
          <w:marRight w:val="0"/>
          <w:marTop w:val="0"/>
          <w:marBottom w:val="0"/>
          <w:divBdr>
            <w:top w:val="none" w:sz="0" w:space="0" w:color="auto"/>
            <w:left w:val="none" w:sz="0" w:space="0" w:color="auto"/>
            <w:bottom w:val="none" w:sz="0" w:space="0" w:color="auto"/>
            <w:right w:val="none" w:sz="0" w:space="0" w:color="auto"/>
          </w:divBdr>
        </w:div>
        <w:div w:id="404643147">
          <w:marLeft w:val="0"/>
          <w:marRight w:val="0"/>
          <w:marTop w:val="0"/>
          <w:marBottom w:val="0"/>
          <w:divBdr>
            <w:top w:val="none" w:sz="0" w:space="0" w:color="auto"/>
            <w:left w:val="none" w:sz="0" w:space="0" w:color="auto"/>
            <w:bottom w:val="none" w:sz="0" w:space="0" w:color="auto"/>
            <w:right w:val="none" w:sz="0" w:space="0" w:color="auto"/>
          </w:divBdr>
        </w:div>
        <w:div w:id="854610054">
          <w:marLeft w:val="0"/>
          <w:marRight w:val="0"/>
          <w:marTop w:val="0"/>
          <w:marBottom w:val="0"/>
          <w:divBdr>
            <w:top w:val="none" w:sz="0" w:space="0" w:color="auto"/>
            <w:left w:val="none" w:sz="0" w:space="0" w:color="auto"/>
            <w:bottom w:val="none" w:sz="0" w:space="0" w:color="auto"/>
            <w:right w:val="none" w:sz="0" w:space="0" w:color="auto"/>
          </w:divBdr>
        </w:div>
        <w:div w:id="895700529">
          <w:marLeft w:val="0"/>
          <w:marRight w:val="0"/>
          <w:marTop w:val="0"/>
          <w:marBottom w:val="0"/>
          <w:divBdr>
            <w:top w:val="none" w:sz="0" w:space="0" w:color="auto"/>
            <w:left w:val="none" w:sz="0" w:space="0" w:color="auto"/>
            <w:bottom w:val="none" w:sz="0" w:space="0" w:color="auto"/>
            <w:right w:val="none" w:sz="0" w:space="0" w:color="auto"/>
          </w:divBdr>
        </w:div>
      </w:divsChild>
    </w:div>
    <w:div w:id="1380789700">
      <w:bodyDiv w:val="1"/>
      <w:marLeft w:val="0"/>
      <w:marRight w:val="0"/>
      <w:marTop w:val="0"/>
      <w:marBottom w:val="0"/>
      <w:divBdr>
        <w:top w:val="none" w:sz="0" w:space="0" w:color="auto"/>
        <w:left w:val="none" w:sz="0" w:space="0" w:color="auto"/>
        <w:bottom w:val="none" w:sz="0" w:space="0" w:color="auto"/>
        <w:right w:val="none" w:sz="0" w:space="0" w:color="auto"/>
      </w:divBdr>
      <w:divsChild>
        <w:div w:id="2069330392">
          <w:marLeft w:val="0"/>
          <w:marRight w:val="0"/>
          <w:marTop w:val="0"/>
          <w:marBottom w:val="0"/>
          <w:divBdr>
            <w:top w:val="none" w:sz="0" w:space="0" w:color="auto"/>
            <w:left w:val="none" w:sz="0" w:space="0" w:color="auto"/>
            <w:bottom w:val="none" w:sz="0" w:space="0" w:color="auto"/>
            <w:right w:val="none" w:sz="0" w:space="0" w:color="auto"/>
          </w:divBdr>
        </w:div>
        <w:div w:id="105465491">
          <w:marLeft w:val="0"/>
          <w:marRight w:val="0"/>
          <w:marTop w:val="0"/>
          <w:marBottom w:val="0"/>
          <w:divBdr>
            <w:top w:val="none" w:sz="0" w:space="0" w:color="auto"/>
            <w:left w:val="none" w:sz="0" w:space="0" w:color="auto"/>
            <w:bottom w:val="none" w:sz="0" w:space="0" w:color="auto"/>
            <w:right w:val="none" w:sz="0" w:space="0" w:color="auto"/>
          </w:divBdr>
        </w:div>
        <w:div w:id="322710511">
          <w:marLeft w:val="0"/>
          <w:marRight w:val="0"/>
          <w:marTop w:val="0"/>
          <w:marBottom w:val="0"/>
          <w:divBdr>
            <w:top w:val="none" w:sz="0" w:space="0" w:color="auto"/>
            <w:left w:val="none" w:sz="0" w:space="0" w:color="auto"/>
            <w:bottom w:val="none" w:sz="0" w:space="0" w:color="auto"/>
            <w:right w:val="none" w:sz="0" w:space="0" w:color="auto"/>
          </w:divBdr>
        </w:div>
        <w:div w:id="83188479">
          <w:marLeft w:val="0"/>
          <w:marRight w:val="0"/>
          <w:marTop w:val="0"/>
          <w:marBottom w:val="0"/>
          <w:divBdr>
            <w:top w:val="none" w:sz="0" w:space="0" w:color="auto"/>
            <w:left w:val="none" w:sz="0" w:space="0" w:color="auto"/>
            <w:bottom w:val="none" w:sz="0" w:space="0" w:color="auto"/>
            <w:right w:val="none" w:sz="0" w:space="0" w:color="auto"/>
          </w:divBdr>
        </w:div>
        <w:div w:id="337660375">
          <w:marLeft w:val="0"/>
          <w:marRight w:val="0"/>
          <w:marTop w:val="0"/>
          <w:marBottom w:val="0"/>
          <w:divBdr>
            <w:top w:val="none" w:sz="0" w:space="0" w:color="auto"/>
            <w:left w:val="none" w:sz="0" w:space="0" w:color="auto"/>
            <w:bottom w:val="none" w:sz="0" w:space="0" w:color="auto"/>
            <w:right w:val="none" w:sz="0" w:space="0" w:color="auto"/>
          </w:divBdr>
        </w:div>
      </w:divsChild>
    </w:div>
    <w:div w:id="1698505325">
      <w:bodyDiv w:val="1"/>
      <w:marLeft w:val="0"/>
      <w:marRight w:val="0"/>
      <w:marTop w:val="0"/>
      <w:marBottom w:val="0"/>
      <w:divBdr>
        <w:top w:val="none" w:sz="0" w:space="0" w:color="auto"/>
        <w:left w:val="none" w:sz="0" w:space="0" w:color="auto"/>
        <w:bottom w:val="none" w:sz="0" w:space="0" w:color="auto"/>
        <w:right w:val="none" w:sz="0" w:space="0" w:color="auto"/>
      </w:divBdr>
    </w:div>
    <w:div w:id="1980722909">
      <w:bodyDiv w:val="1"/>
      <w:marLeft w:val="0"/>
      <w:marRight w:val="0"/>
      <w:marTop w:val="0"/>
      <w:marBottom w:val="0"/>
      <w:divBdr>
        <w:top w:val="none" w:sz="0" w:space="0" w:color="auto"/>
        <w:left w:val="none" w:sz="0" w:space="0" w:color="auto"/>
        <w:bottom w:val="none" w:sz="0" w:space="0" w:color="auto"/>
        <w:right w:val="none" w:sz="0" w:space="0" w:color="auto"/>
      </w:divBdr>
      <w:divsChild>
        <w:div w:id="2015260999">
          <w:marLeft w:val="0"/>
          <w:marRight w:val="0"/>
          <w:marTop w:val="0"/>
          <w:marBottom w:val="0"/>
          <w:divBdr>
            <w:top w:val="none" w:sz="0" w:space="0" w:color="auto"/>
            <w:left w:val="none" w:sz="0" w:space="0" w:color="auto"/>
            <w:bottom w:val="none" w:sz="0" w:space="0" w:color="auto"/>
            <w:right w:val="none" w:sz="0" w:space="0" w:color="auto"/>
          </w:divBdr>
        </w:div>
        <w:div w:id="1219243217">
          <w:marLeft w:val="0"/>
          <w:marRight w:val="0"/>
          <w:marTop w:val="0"/>
          <w:marBottom w:val="0"/>
          <w:divBdr>
            <w:top w:val="none" w:sz="0" w:space="0" w:color="auto"/>
            <w:left w:val="none" w:sz="0" w:space="0" w:color="auto"/>
            <w:bottom w:val="none" w:sz="0" w:space="0" w:color="auto"/>
            <w:right w:val="none" w:sz="0" w:space="0" w:color="auto"/>
          </w:divBdr>
        </w:div>
        <w:div w:id="1783067952">
          <w:marLeft w:val="0"/>
          <w:marRight w:val="0"/>
          <w:marTop w:val="0"/>
          <w:marBottom w:val="0"/>
          <w:divBdr>
            <w:top w:val="none" w:sz="0" w:space="0" w:color="auto"/>
            <w:left w:val="none" w:sz="0" w:space="0" w:color="auto"/>
            <w:bottom w:val="none" w:sz="0" w:space="0" w:color="auto"/>
            <w:right w:val="none" w:sz="0" w:space="0" w:color="auto"/>
          </w:divBdr>
        </w:div>
        <w:div w:id="1381394244">
          <w:marLeft w:val="0"/>
          <w:marRight w:val="0"/>
          <w:marTop w:val="0"/>
          <w:marBottom w:val="0"/>
          <w:divBdr>
            <w:top w:val="none" w:sz="0" w:space="0" w:color="auto"/>
            <w:left w:val="none" w:sz="0" w:space="0" w:color="auto"/>
            <w:bottom w:val="none" w:sz="0" w:space="0" w:color="auto"/>
            <w:right w:val="none" w:sz="0" w:space="0" w:color="auto"/>
          </w:divBdr>
        </w:div>
        <w:div w:id="1326670949">
          <w:marLeft w:val="0"/>
          <w:marRight w:val="0"/>
          <w:marTop w:val="0"/>
          <w:marBottom w:val="0"/>
          <w:divBdr>
            <w:top w:val="none" w:sz="0" w:space="0" w:color="auto"/>
            <w:left w:val="none" w:sz="0" w:space="0" w:color="auto"/>
            <w:bottom w:val="none" w:sz="0" w:space="0" w:color="auto"/>
            <w:right w:val="none" w:sz="0" w:space="0" w:color="auto"/>
          </w:divBdr>
        </w:div>
        <w:div w:id="250509963">
          <w:marLeft w:val="0"/>
          <w:marRight w:val="0"/>
          <w:marTop w:val="0"/>
          <w:marBottom w:val="0"/>
          <w:divBdr>
            <w:top w:val="none" w:sz="0" w:space="0" w:color="auto"/>
            <w:left w:val="none" w:sz="0" w:space="0" w:color="auto"/>
            <w:bottom w:val="none" w:sz="0" w:space="0" w:color="auto"/>
            <w:right w:val="none" w:sz="0" w:space="0" w:color="auto"/>
          </w:divBdr>
        </w:div>
        <w:div w:id="1619869497">
          <w:marLeft w:val="0"/>
          <w:marRight w:val="0"/>
          <w:marTop w:val="0"/>
          <w:marBottom w:val="0"/>
          <w:divBdr>
            <w:top w:val="none" w:sz="0" w:space="0" w:color="auto"/>
            <w:left w:val="none" w:sz="0" w:space="0" w:color="auto"/>
            <w:bottom w:val="none" w:sz="0" w:space="0" w:color="auto"/>
            <w:right w:val="none" w:sz="0" w:space="0" w:color="auto"/>
          </w:divBdr>
        </w:div>
        <w:div w:id="430859440">
          <w:marLeft w:val="0"/>
          <w:marRight w:val="0"/>
          <w:marTop w:val="0"/>
          <w:marBottom w:val="0"/>
          <w:divBdr>
            <w:top w:val="none" w:sz="0" w:space="0" w:color="auto"/>
            <w:left w:val="none" w:sz="0" w:space="0" w:color="auto"/>
            <w:bottom w:val="none" w:sz="0" w:space="0" w:color="auto"/>
            <w:right w:val="none" w:sz="0" w:space="0" w:color="auto"/>
          </w:divBdr>
        </w:div>
        <w:div w:id="1468203846">
          <w:marLeft w:val="0"/>
          <w:marRight w:val="0"/>
          <w:marTop w:val="0"/>
          <w:marBottom w:val="0"/>
          <w:divBdr>
            <w:top w:val="none" w:sz="0" w:space="0" w:color="auto"/>
            <w:left w:val="none" w:sz="0" w:space="0" w:color="auto"/>
            <w:bottom w:val="none" w:sz="0" w:space="0" w:color="auto"/>
            <w:right w:val="none" w:sz="0" w:space="0" w:color="auto"/>
          </w:divBdr>
        </w:div>
        <w:div w:id="412430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E82A71DBE40AFBD7D238F08EB036B"/>
        <w:category>
          <w:name w:val="General"/>
          <w:gallery w:val="placeholder"/>
        </w:category>
        <w:types>
          <w:type w:val="bbPlcHdr"/>
        </w:types>
        <w:behaviors>
          <w:behavior w:val="content"/>
        </w:behaviors>
        <w:guid w:val="{86C96693-E7E4-4042-B328-533F0FD39EC1}"/>
      </w:docPartPr>
      <w:docPartBody>
        <w:p w:rsidR="003261AC" w:rsidRDefault="003261AC" w:rsidP="003261AC">
          <w:pPr>
            <w:pStyle w:val="2B2E82A71DBE40AFBD7D238F08EB036B"/>
          </w:pPr>
          <w:r w:rsidRPr="0081464A">
            <w:rPr>
              <w:rStyle w:val="PlaceholderText"/>
            </w:rPr>
            <w:t>Choose an item.</w:t>
          </w:r>
        </w:p>
      </w:docPartBody>
    </w:docPart>
    <w:docPart>
      <w:docPartPr>
        <w:name w:val="4324544241964B3EA1A77DADB230CC3D"/>
        <w:category>
          <w:name w:val="General"/>
          <w:gallery w:val="placeholder"/>
        </w:category>
        <w:types>
          <w:type w:val="bbPlcHdr"/>
        </w:types>
        <w:behaviors>
          <w:behavior w:val="content"/>
        </w:behaviors>
        <w:guid w:val="{5E539445-C188-431E-A21C-691826B8F4F3}"/>
      </w:docPartPr>
      <w:docPartBody>
        <w:p w:rsidR="003261AC" w:rsidRDefault="003261AC" w:rsidP="003261AC">
          <w:pPr>
            <w:pStyle w:val="4324544241964B3EA1A77DADB230CC3D"/>
          </w:pPr>
          <w:r w:rsidRPr="008146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AC"/>
    <w:rsid w:val="001C2B54"/>
    <w:rsid w:val="003261AC"/>
    <w:rsid w:val="00C45E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1AC"/>
    <w:rPr>
      <w:color w:val="808080"/>
    </w:rPr>
  </w:style>
  <w:style w:type="paragraph" w:customStyle="1" w:styleId="2B2E82A71DBE40AFBD7D238F08EB036B">
    <w:name w:val="2B2E82A71DBE40AFBD7D238F08EB036B"/>
    <w:rsid w:val="003261AC"/>
  </w:style>
  <w:style w:type="paragraph" w:customStyle="1" w:styleId="4324544241964B3EA1A77DADB230CC3D">
    <w:name w:val="4324544241964B3EA1A77DADB230CC3D"/>
    <w:rsid w:val="00326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158DC-684C-4662-A86C-CDC379EAF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1105B-FE19-4703-A63E-68AB36611A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8180DA-64A9-4552-8B2A-1185F3E4E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33</Pages>
  <Words>9540</Words>
  <Characters>54380</Characters>
  <Application>Microsoft Office Word</Application>
  <DocSecurity>8</DocSecurity>
  <Lines>453</Lines>
  <Paragraphs>127</Paragraphs>
  <ScaleCrop>false</ScaleCrop>
  <HeadingPairs>
    <vt:vector size="2" baseType="variant">
      <vt:variant>
        <vt:lpstr>Title</vt:lpstr>
      </vt:variant>
      <vt:variant>
        <vt:i4>1</vt:i4>
      </vt:variant>
    </vt:vector>
  </HeadingPairs>
  <TitlesOfParts>
    <vt:vector size="1" baseType="lpstr">
      <vt:lpstr>231114 CS 14 November 2023</vt:lpstr>
    </vt:vector>
  </TitlesOfParts>
  <Company>Ards and North Down Borough Council</Company>
  <LinksUpToDate>false</LinksUpToDate>
  <CharactersWithSpaces>63793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231114 CS 14 November 2023</dc:title>
  <dc:subject/>
  <dc:creator>Glasgow, Jennifer</dc:creator>
  <cp:keywords/>
  <dc:description/>
  <cp:lastModifiedBy>Cull, Joshua</cp:lastModifiedBy>
  <cp:revision>12</cp:revision>
  <cp:lastPrinted>2023-11-17T16:04:00Z</cp:lastPrinted>
  <dcterms:created xsi:type="dcterms:W3CDTF">2023-11-22T11:54:00Z</dcterms:created>
  <dcterms:modified xsi:type="dcterms:W3CDTF">2026-01-09T10:34:00Z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