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98E" w14:textId="03A6D7F0" w:rsidR="0033058C" w:rsidRPr="00EA3D0C" w:rsidRDefault="0033058C" w:rsidP="00A01335">
      <w:pPr>
        <w:jc w:val="center"/>
        <w:rPr>
          <w:rFonts w:cs="Arial"/>
          <w:b/>
          <w:caps/>
          <w:sz w:val="28"/>
          <w:szCs w:val="28"/>
          <w:u w:val="single"/>
        </w:rPr>
      </w:pPr>
      <w:bookmarkStart w:id="0" w:name="_Hlk129687430"/>
      <w:r w:rsidRPr="00EA3D0C">
        <w:rPr>
          <w:rFonts w:cs="Arial"/>
          <w:b/>
          <w:caps/>
          <w:sz w:val="28"/>
          <w:szCs w:val="28"/>
          <w:u w:val="single"/>
        </w:rPr>
        <w:t>ARDS and North Down Borough Council</w:t>
      </w:r>
    </w:p>
    <w:p w14:paraId="19A4CDFF" w14:textId="77777777" w:rsidR="0033058C" w:rsidRPr="00EA3D0C" w:rsidRDefault="0033058C" w:rsidP="00147812">
      <w:pPr>
        <w:rPr>
          <w:rFonts w:cs="Arial"/>
          <w:b/>
          <w:caps/>
          <w:szCs w:val="24"/>
          <w:u w:val="single"/>
        </w:rPr>
      </w:pPr>
    </w:p>
    <w:p w14:paraId="6C185B9A" w14:textId="401A69F0" w:rsidR="00733DFE" w:rsidRDefault="00733DFE" w:rsidP="00733DFE">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Corporate Services Committee</w:t>
      </w:r>
      <w:r w:rsidRPr="00600EA9">
        <w:t xml:space="preserve"> was held </w:t>
      </w:r>
      <w:r>
        <w:t xml:space="preserve">at the </w:t>
      </w:r>
      <w:r w:rsidR="00645858">
        <w:t xml:space="preserve">Council Chamber, Church Street, Newtownards </w:t>
      </w:r>
      <w:r>
        <w:t>and via Zoom, o</w:t>
      </w:r>
      <w:r w:rsidRPr="00600EA9">
        <w:t xml:space="preserve">n </w:t>
      </w:r>
      <w:r>
        <w:rPr>
          <w:rFonts w:cs="Arial"/>
        </w:rPr>
        <w:t xml:space="preserve">Tuesday </w:t>
      </w:r>
      <w:r w:rsidR="00760C64">
        <w:rPr>
          <w:rFonts w:cs="Arial"/>
        </w:rPr>
        <w:t>20 June</w:t>
      </w:r>
      <w:r>
        <w:rPr>
          <w:rFonts w:cs="Arial"/>
        </w:rPr>
        <w:t xml:space="preserve"> 2023 at </w:t>
      </w:r>
      <w:r w:rsidR="00462A86">
        <w:rPr>
          <w:rFonts w:cs="Arial"/>
        </w:rPr>
        <w:t>7</w:t>
      </w:r>
      <w:r w:rsidR="005A1A69">
        <w:rPr>
          <w:rFonts w:cs="Arial"/>
        </w:rPr>
        <w:t>.00</w:t>
      </w:r>
      <w:r w:rsidRPr="000A416A">
        <w:rPr>
          <w:rFonts w:cs="Arial"/>
        </w:rPr>
        <w:t xml:space="preserve">pm. </w:t>
      </w:r>
    </w:p>
    <w:p w14:paraId="4CCD986A" w14:textId="77777777" w:rsidR="0033058C" w:rsidRPr="00EA3D0C" w:rsidRDefault="0033058C" w:rsidP="00147812">
      <w:pPr>
        <w:rPr>
          <w:rFonts w:cs="Arial"/>
          <w:b/>
          <w:szCs w:val="24"/>
        </w:rPr>
      </w:pPr>
    </w:p>
    <w:p w14:paraId="065CE836" w14:textId="77777777" w:rsidR="0033058C" w:rsidRPr="00EA3D0C" w:rsidRDefault="0033058C" w:rsidP="00147812">
      <w:pPr>
        <w:rPr>
          <w:rFonts w:cs="Arial"/>
          <w:b/>
          <w:szCs w:val="24"/>
        </w:rPr>
      </w:pPr>
      <w:r w:rsidRPr="00EA3D0C">
        <w:rPr>
          <w:rFonts w:cs="Arial"/>
          <w:b/>
          <w:szCs w:val="24"/>
        </w:rPr>
        <w:t xml:space="preserve">PRESENT: </w:t>
      </w:r>
    </w:p>
    <w:p w14:paraId="354520F5" w14:textId="77777777" w:rsidR="0033058C" w:rsidRPr="00EA3D0C" w:rsidRDefault="0033058C" w:rsidP="00147812">
      <w:pPr>
        <w:rPr>
          <w:rFonts w:cs="Arial"/>
          <w:szCs w:val="24"/>
        </w:rPr>
      </w:pPr>
    </w:p>
    <w:p w14:paraId="380E1977" w14:textId="2C9F46BF" w:rsidR="0033058C" w:rsidRPr="00EA3D0C" w:rsidRDefault="0033058C" w:rsidP="00147812">
      <w:pPr>
        <w:rPr>
          <w:rFonts w:cs="Arial"/>
          <w:bCs/>
          <w:szCs w:val="24"/>
        </w:rPr>
      </w:pPr>
      <w:r w:rsidRPr="00EA3D0C">
        <w:rPr>
          <w:rFonts w:cs="Arial"/>
          <w:b/>
          <w:szCs w:val="24"/>
        </w:rPr>
        <w:t xml:space="preserve">In the Chair: </w:t>
      </w:r>
      <w:r w:rsidR="00D56C50">
        <w:rPr>
          <w:rFonts w:cs="Arial"/>
          <w:b/>
          <w:szCs w:val="24"/>
        </w:rPr>
        <w:t xml:space="preserve"> </w:t>
      </w:r>
      <w:r w:rsidRPr="00EA3D0C">
        <w:rPr>
          <w:rFonts w:cs="Arial"/>
          <w:b/>
          <w:szCs w:val="24"/>
        </w:rPr>
        <w:tab/>
      </w:r>
      <w:r w:rsidR="00760C64">
        <w:rPr>
          <w:rFonts w:cs="Arial"/>
          <w:bCs/>
          <w:szCs w:val="24"/>
        </w:rPr>
        <w:t>Alderman Douglas</w:t>
      </w:r>
    </w:p>
    <w:p w14:paraId="0FF3C87E" w14:textId="77777777" w:rsidR="0033058C" w:rsidRPr="00EA3D0C" w:rsidRDefault="0033058C" w:rsidP="00147812">
      <w:pPr>
        <w:tabs>
          <w:tab w:val="left" w:pos="142"/>
          <w:tab w:val="left" w:pos="720"/>
        </w:tabs>
        <w:rPr>
          <w:rFonts w:cs="Arial"/>
          <w:szCs w:val="24"/>
        </w:rPr>
      </w:pPr>
    </w:p>
    <w:p w14:paraId="5227B397" w14:textId="06A4D4EB" w:rsidR="005A1A69" w:rsidRDefault="0033058C" w:rsidP="0083612D">
      <w:pPr>
        <w:tabs>
          <w:tab w:val="left" w:pos="142"/>
          <w:tab w:val="left" w:pos="720"/>
        </w:tabs>
        <w:ind w:left="2160" w:hanging="2160"/>
        <w:rPr>
          <w:rFonts w:cs="Arial"/>
          <w:bCs/>
          <w:szCs w:val="24"/>
        </w:rPr>
      </w:pPr>
      <w:r w:rsidRPr="00EA3D0C">
        <w:rPr>
          <w:rFonts w:cs="Arial"/>
          <w:b/>
          <w:szCs w:val="24"/>
        </w:rPr>
        <w:t>Aldermen:</w:t>
      </w:r>
      <w:r w:rsidR="00D56C50">
        <w:rPr>
          <w:rFonts w:cs="Arial"/>
          <w:b/>
          <w:szCs w:val="24"/>
        </w:rPr>
        <w:tab/>
      </w:r>
      <w:r w:rsidR="00C74E7F">
        <w:rPr>
          <w:rFonts w:cs="Arial"/>
          <w:bCs/>
          <w:szCs w:val="24"/>
        </w:rPr>
        <w:t>Brooks</w:t>
      </w:r>
      <w:r w:rsidR="005A1A69">
        <w:rPr>
          <w:rFonts w:cs="Arial"/>
          <w:bCs/>
          <w:szCs w:val="24"/>
        </w:rPr>
        <w:tab/>
      </w:r>
      <w:r w:rsidR="00B94FB3">
        <w:rPr>
          <w:rFonts w:cs="Arial"/>
          <w:bCs/>
          <w:szCs w:val="24"/>
        </w:rPr>
        <w:tab/>
      </w:r>
      <w:r w:rsidR="00C74E7F">
        <w:rPr>
          <w:rFonts w:cs="Arial"/>
          <w:bCs/>
          <w:szCs w:val="24"/>
        </w:rPr>
        <w:t>McIlveen</w:t>
      </w:r>
      <w:r w:rsidR="005A1A69">
        <w:rPr>
          <w:rFonts w:cs="Arial"/>
          <w:bCs/>
          <w:szCs w:val="24"/>
        </w:rPr>
        <w:tab/>
      </w:r>
      <w:r w:rsidR="005A1A69">
        <w:rPr>
          <w:rFonts w:cs="Arial"/>
          <w:bCs/>
          <w:szCs w:val="24"/>
        </w:rPr>
        <w:tab/>
      </w:r>
    </w:p>
    <w:p w14:paraId="64EAA72A" w14:textId="03C9A63D" w:rsidR="005A1A69" w:rsidRPr="005A1A69" w:rsidRDefault="005A1A69" w:rsidP="0083612D">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C74E7F">
        <w:rPr>
          <w:rFonts w:cs="Arial"/>
          <w:bCs/>
          <w:szCs w:val="24"/>
        </w:rPr>
        <w:t>Graham</w:t>
      </w:r>
      <w:r>
        <w:rPr>
          <w:rFonts w:cs="Arial"/>
          <w:bCs/>
          <w:szCs w:val="24"/>
        </w:rPr>
        <w:tab/>
      </w:r>
      <w:r w:rsidR="00B94FB3">
        <w:rPr>
          <w:rFonts w:cs="Arial"/>
          <w:bCs/>
          <w:szCs w:val="24"/>
        </w:rPr>
        <w:tab/>
      </w:r>
      <w:r w:rsidR="00C74E7F">
        <w:rPr>
          <w:rFonts w:cs="Arial"/>
          <w:bCs/>
          <w:szCs w:val="24"/>
        </w:rPr>
        <w:t>Smith</w:t>
      </w:r>
    </w:p>
    <w:p w14:paraId="129D7B38" w14:textId="086A8EAF" w:rsidR="00F6663D" w:rsidRDefault="004A0840" w:rsidP="005A1A69">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C74E7F">
        <w:rPr>
          <w:rFonts w:cs="Arial"/>
          <w:bCs/>
          <w:szCs w:val="24"/>
        </w:rPr>
        <w:t>McAlpine (Zoom)</w:t>
      </w:r>
    </w:p>
    <w:p w14:paraId="4C8A9BEA" w14:textId="5B637C1E" w:rsidR="0033058C" w:rsidRPr="0083612D" w:rsidRDefault="0033058C" w:rsidP="005A1A69">
      <w:pPr>
        <w:tabs>
          <w:tab w:val="left" w:pos="142"/>
          <w:tab w:val="left" w:pos="720"/>
        </w:tabs>
        <w:ind w:left="2160" w:hanging="2160"/>
        <w:rPr>
          <w:rFonts w:cs="Arial"/>
          <w:bCs/>
          <w:szCs w:val="24"/>
        </w:rPr>
      </w:pP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07B9A3B6" w14:textId="5B76689A" w:rsidR="0033058C" w:rsidRDefault="0033058C" w:rsidP="0083612D">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C74E7F">
        <w:rPr>
          <w:rFonts w:cs="Arial"/>
          <w:bCs/>
          <w:szCs w:val="24"/>
        </w:rPr>
        <w:t>Chambers (Zoom)</w:t>
      </w:r>
      <w:r w:rsidR="005A1A69">
        <w:rPr>
          <w:rFonts w:cs="Arial"/>
          <w:bCs/>
          <w:szCs w:val="24"/>
        </w:rPr>
        <w:tab/>
      </w:r>
      <w:r w:rsidR="005A1A69">
        <w:rPr>
          <w:rFonts w:cs="Arial"/>
          <w:bCs/>
          <w:szCs w:val="24"/>
        </w:rPr>
        <w:tab/>
      </w:r>
      <w:r w:rsidR="00C74E7F">
        <w:rPr>
          <w:rFonts w:cs="Arial"/>
          <w:bCs/>
          <w:szCs w:val="24"/>
        </w:rPr>
        <w:t>W Irvine</w:t>
      </w:r>
    </w:p>
    <w:p w14:paraId="210E3DDE" w14:textId="4D9F7F2B" w:rsidR="005A1A69" w:rsidRDefault="005A1A69" w:rsidP="0083612D">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C74E7F">
        <w:rPr>
          <w:rFonts w:cs="Arial"/>
          <w:bCs/>
          <w:szCs w:val="24"/>
        </w:rPr>
        <w:t>Cochrane</w:t>
      </w:r>
      <w:r w:rsidR="00C74E7F">
        <w:rPr>
          <w:rFonts w:cs="Arial"/>
          <w:bCs/>
          <w:szCs w:val="24"/>
        </w:rPr>
        <w:tab/>
      </w:r>
      <w:r w:rsidR="00EF3070">
        <w:rPr>
          <w:rFonts w:cs="Arial"/>
          <w:bCs/>
          <w:szCs w:val="24"/>
        </w:rPr>
        <w:tab/>
      </w:r>
      <w:r>
        <w:rPr>
          <w:rFonts w:cs="Arial"/>
          <w:bCs/>
          <w:szCs w:val="24"/>
        </w:rPr>
        <w:tab/>
      </w:r>
      <w:r w:rsidR="00C74E7F">
        <w:rPr>
          <w:rFonts w:cs="Arial"/>
          <w:bCs/>
          <w:szCs w:val="24"/>
        </w:rPr>
        <w:t>McRandal</w:t>
      </w:r>
    </w:p>
    <w:p w14:paraId="52424BA2" w14:textId="08331B95" w:rsidR="00F6663D" w:rsidRDefault="005A1A69" w:rsidP="00F6663D">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C74E7F">
        <w:rPr>
          <w:rFonts w:cs="Arial"/>
          <w:bCs/>
          <w:szCs w:val="24"/>
        </w:rPr>
        <w:t>Gilmour</w:t>
      </w:r>
      <w:r w:rsidR="00F6663D">
        <w:rPr>
          <w:rFonts w:cs="Arial"/>
          <w:bCs/>
          <w:szCs w:val="24"/>
        </w:rPr>
        <w:tab/>
      </w:r>
      <w:r w:rsidR="00F6663D">
        <w:rPr>
          <w:rFonts w:cs="Arial"/>
          <w:bCs/>
          <w:szCs w:val="24"/>
        </w:rPr>
        <w:tab/>
      </w:r>
      <w:r w:rsidR="00F6663D">
        <w:rPr>
          <w:rFonts w:cs="Arial"/>
          <w:bCs/>
          <w:szCs w:val="24"/>
        </w:rPr>
        <w:tab/>
      </w:r>
      <w:r w:rsidR="00C74E7F">
        <w:rPr>
          <w:rFonts w:cs="Arial"/>
          <w:bCs/>
          <w:szCs w:val="24"/>
        </w:rPr>
        <w:t>Moore</w:t>
      </w:r>
    </w:p>
    <w:p w14:paraId="60121714" w14:textId="3A8C002D" w:rsidR="005A1A69" w:rsidRDefault="00F6663D" w:rsidP="0083612D">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C74E7F">
        <w:rPr>
          <w:rFonts w:cs="Arial"/>
          <w:bCs/>
          <w:szCs w:val="24"/>
        </w:rPr>
        <w:t>Irwin</w:t>
      </w:r>
      <w:r w:rsidR="00C74E7F">
        <w:rPr>
          <w:rFonts w:cs="Arial"/>
          <w:bCs/>
          <w:szCs w:val="24"/>
        </w:rPr>
        <w:tab/>
      </w:r>
      <w:r w:rsidR="00C74E7F">
        <w:rPr>
          <w:rFonts w:cs="Arial"/>
          <w:bCs/>
          <w:szCs w:val="24"/>
        </w:rPr>
        <w:tab/>
      </w:r>
      <w:r w:rsidR="00EF3070">
        <w:rPr>
          <w:rFonts w:cs="Arial"/>
          <w:bCs/>
          <w:szCs w:val="24"/>
        </w:rPr>
        <w:tab/>
      </w:r>
      <w:r w:rsidR="005A1A69">
        <w:rPr>
          <w:rFonts w:cs="Arial"/>
          <w:bCs/>
          <w:szCs w:val="24"/>
        </w:rPr>
        <w:tab/>
      </w:r>
    </w:p>
    <w:p w14:paraId="77CA31B7" w14:textId="0A69CE60" w:rsidR="0033058C" w:rsidRPr="00EA3D0C" w:rsidRDefault="005A1A69" w:rsidP="00C74E7F">
      <w:pPr>
        <w:tabs>
          <w:tab w:val="left" w:pos="142"/>
          <w:tab w:val="left" w:pos="720"/>
        </w:tabs>
        <w:ind w:left="2160" w:hanging="2160"/>
        <w:rPr>
          <w:rFonts w:cs="Arial"/>
          <w:szCs w:val="24"/>
        </w:rPr>
      </w:pPr>
      <w:r>
        <w:rPr>
          <w:rFonts w:cs="Arial"/>
          <w:bCs/>
          <w:szCs w:val="24"/>
        </w:rPr>
        <w:tab/>
      </w:r>
      <w:r>
        <w:rPr>
          <w:rFonts w:cs="Arial"/>
          <w:bCs/>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t xml:space="preserve"> </w:t>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Pr>
          <w:rFonts w:cs="Arial"/>
          <w:szCs w:val="24"/>
        </w:rPr>
        <w:t xml:space="preserve"> </w:t>
      </w:r>
    </w:p>
    <w:p w14:paraId="22E226F4" w14:textId="55B3D49F" w:rsidR="0033058C" w:rsidRPr="002F75C3" w:rsidRDefault="0033058C" w:rsidP="0014781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sidR="0083612D">
        <w:rPr>
          <w:rFonts w:cs="Arial"/>
          <w:szCs w:val="24"/>
        </w:rPr>
        <w:t xml:space="preserve">Director of </w:t>
      </w:r>
      <w:r w:rsidR="007C332F">
        <w:rPr>
          <w:rFonts w:cs="Arial"/>
          <w:szCs w:val="24"/>
        </w:rPr>
        <w:t>Corporate Services</w:t>
      </w:r>
      <w:r w:rsidRPr="00EA3D0C">
        <w:rPr>
          <w:rFonts w:cs="Arial"/>
          <w:szCs w:val="24"/>
        </w:rPr>
        <w:t xml:space="preserve"> (</w:t>
      </w:r>
      <w:r w:rsidR="0083612D">
        <w:rPr>
          <w:rFonts w:cs="Arial"/>
          <w:szCs w:val="24"/>
        </w:rPr>
        <w:t>M Steele</w:t>
      </w:r>
      <w:r w:rsidRPr="00EA3D0C">
        <w:rPr>
          <w:rFonts w:cs="Arial"/>
          <w:szCs w:val="24"/>
        </w:rPr>
        <w:t xml:space="preserve">), </w:t>
      </w:r>
      <w:r w:rsidR="00B94FB3">
        <w:rPr>
          <w:rFonts w:cs="Arial"/>
          <w:szCs w:val="24"/>
        </w:rPr>
        <w:t>Head of Administration (A Curtis)</w:t>
      </w:r>
      <w:r w:rsidR="00C74E7F">
        <w:rPr>
          <w:rFonts w:cs="Arial"/>
          <w:szCs w:val="24"/>
        </w:rPr>
        <w:t>, Head of Finance (S Grieve), Head of HR (R McCullough)</w:t>
      </w:r>
      <w:r w:rsidR="0093319F">
        <w:rPr>
          <w:rFonts w:cs="Arial"/>
          <w:szCs w:val="24"/>
        </w:rPr>
        <w:t xml:space="preserve"> </w:t>
      </w:r>
      <w:r>
        <w:rPr>
          <w:rFonts w:cs="Arial"/>
          <w:szCs w:val="24"/>
        </w:rPr>
        <w:t xml:space="preserve">and </w:t>
      </w:r>
      <w:r w:rsidRPr="00EA3D0C">
        <w:rPr>
          <w:rFonts w:cs="Arial"/>
          <w:szCs w:val="24"/>
        </w:rPr>
        <w:t xml:space="preserve">Democratic Services Officer </w:t>
      </w:r>
      <w:r w:rsidR="007C332F">
        <w:rPr>
          <w:rFonts w:cs="Arial"/>
          <w:szCs w:val="24"/>
        </w:rPr>
        <w:t>(R King</w:t>
      </w:r>
      <w:r w:rsidRPr="00EA3D0C">
        <w:rPr>
          <w:rFonts w:cs="Arial"/>
          <w:szCs w:val="24"/>
        </w:rPr>
        <w:t xml:space="preserve">) </w:t>
      </w:r>
    </w:p>
    <w:p w14:paraId="58FD20A7" w14:textId="77777777" w:rsidR="0033058C" w:rsidRPr="0033767B" w:rsidRDefault="0033058C" w:rsidP="00147812"/>
    <w:p w14:paraId="01DA817C" w14:textId="77777777" w:rsidR="0033058C" w:rsidRPr="00373C0D" w:rsidRDefault="0033058C" w:rsidP="00147812">
      <w:pPr>
        <w:pStyle w:val="Heading1"/>
      </w:pPr>
      <w:r>
        <w:t>1.</w:t>
      </w:r>
      <w:r>
        <w:tab/>
      </w:r>
      <w:r w:rsidRPr="000F6E2D">
        <w:rPr>
          <w:u w:val="single"/>
        </w:rPr>
        <w:t>Apologies</w:t>
      </w:r>
    </w:p>
    <w:p w14:paraId="36A62B38" w14:textId="77777777" w:rsidR="0033058C" w:rsidRDefault="0033058C" w:rsidP="00147812">
      <w:pPr>
        <w:ind w:left="567" w:hanging="567"/>
        <w:rPr>
          <w:rFonts w:cs="Arial"/>
          <w:szCs w:val="24"/>
        </w:rPr>
      </w:pPr>
    </w:p>
    <w:p w14:paraId="1FD4CD87" w14:textId="26C71FCC" w:rsidR="0033058C" w:rsidRDefault="00D842B9" w:rsidP="00147812">
      <w:pPr>
        <w:rPr>
          <w:rFonts w:cs="Arial"/>
          <w:szCs w:val="24"/>
        </w:rPr>
      </w:pPr>
      <w:r>
        <w:rPr>
          <w:rFonts w:cs="Arial"/>
          <w:szCs w:val="24"/>
        </w:rPr>
        <w:t xml:space="preserve">Apologies were received from </w:t>
      </w:r>
      <w:r w:rsidR="00760C64">
        <w:rPr>
          <w:rFonts w:cs="Arial"/>
          <w:szCs w:val="24"/>
        </w:rPr>
        <w:t>Councillor S Irvine</w:t>
      </w:r>
      <w:r w:rsidR="00732A95">
        <w:rPr>
          <w:rFonts w:cs="Arial"/>
          <w:szCs w:val="24"/>
        </w:rPr>
        <w:t>, Councillor Kennedy and Councillor MacArthur.</w:t>
      </w:r>
    </w:p>
    <w:p w14:paraId="20EA27FB" w14:textId="520C876C" w:rsidR="000D36B2" w:rsidRDefault="000D36B2" w:rsidP="00147812">
      <w:pPr>
        <w:rPr>
          <w:rFonts w:cs="Arial"/>
          <w:szCs w:val="24"/>
        </w:rPr>
      </w:pPr>
    </w:p>
    <w:p w14:paraId="45B41FC3" w14:textId="5D3C8632" w:rsidR="000D36B2" w:rsidRPr="000D36B2" w:rsidRDefault="000D36B2" w:rsidP="00147812">
      <w:pPr>
        <w:rPr>
          <w:rFonts w:cs="Arial"/>
          <w:b/>
          <w:bCs/>
          <w:szCs w:val="24"/>
        </w:rPr>
      </w:pPr>
      <w:r>
        <w:rPr>
          <w:rFonts w:cs="Arial"/>
          <w:b/>
          <w:bCs/>
          <w:szCs w:val="24"/>
        </w:rPr>
        <w:t>NOTED.</w:t>
      </w:r>
    </w:p>
    <w:p w14:paraId="41DD77C7" w14:textId="77777777" w:rsidR="0033058C" w:rsidRPr="00373C0D" w:rsidRDefault="0033058C" w:rsidP="00147812">
      <w:pPr>
        <w:ind w:left="567" w:hanging="567"/>
        <w:rPr>
          <w:rFonts w:cs="Arial"/>
          <w:szCs w:val="24"/>
        </w:rPr>
      </w:pPr>
    </w:p>
    <w:p w14:paraId="6848EEEC" w14:textId="77777777" w:rsidR="0033058C" w:rsidRPr="000F6E2D" w:rsidRDefault="0033058C" w:rsidP="00147812">
      <w:pPr>
        <w:pStyle w:val="Heading1"/>
      </w:pPr>
      <w:r>
        <w:t>2.</w:t>
      </w:r>
      <w:r>
        <w:tab/>
      </w:r>
      <w:r w:rsidRPr="000F6E2D">
        <w:rPr>
          <w:u w:val="single"/>
        </w:rPr>
        <w:t>Declarations of Interest</w:t>
      </w:r>
    </w:p>
    <w:p w14:paraId="5102C793" w14:textId="77777777" w:rsidR="0033058C" w:rsidRDefault="0033058C" w:rsidP="00147812"/>
    <w:p w14:paraId="32B13B90" w14:textId="38604985" w:rsidR="004F3791" w:rsidRDefault="000D36B2" w:rsidP="00317A74">
      <w:pPr>
        <w:rPr>
          <w:rFonts w:cs="Arial"/>
          <w:szCs w:val="28"/>
        </w:rPr>
      </w:pPr>
      <w:r>
        <w:t xml:space="preserve">The Chairman sought any Declarations of Interest </w:t>
      </w:r>
      <w:r w:rsidR="00317A74">
        <w:t>and none were made.</w:t>
      </w:r>
    </w:p>
    <w:p w14:paraId="54CD1220" w14:textId="77777777" w:rsidR="0033058C" w:rsidRDefault="0033058C" w:rsidP="00147812"/>
    <w:p w14:paraId="5A3D3528" w14:textId="3A666E4B" w:rsidR="0033058C" w:rsidRDefault="0033058C" w:rsidP="00147812">
      <w:pPr>
        <w:rPr>
          <w:b/>
          <w:bCs/>
        </w:rPr>
      </w:pPr>
      <w:r w:rsidRPr="00771E9B">
        <w:rPr>
          <w:b/>
          <w:bCs/>
        </w:rPr>
        <w:t>NOTED.</w:t>
      </w:r>
    </w:p>
    <w:p w14:paraId="06A1F75C" w14:textId="77777777" w:rsidR="000D36B2" w:rsidRPr="00771E9B" w:rsidRDefault="000D36B2" w:rsidP="00147812">
      <w:pPr>
        <w:rPr>
          <w:b/>
          <w:bCs/>
        </w:rPr>
      </w:pPr>
    </w:p>
    <w:p w14:paraId="78B1645A" w14:textId="02D471D9" w:rsidR="008B4015" w:rsidRPr="00CA2C1B" w:rsidRDefault="008B4015" w:rsidP="008B4015">
      <w:pPr>
        <w:pStyle w:val="Heading1"/>
        <w:ind w:left="720" w:hanging="720"/>
        <w:rPr>
          <w:sz w:val="24"/>
          <w:u w:val="single"/>
        </w:rPr>
      </w:pPr>
      <w:r w:rsidRPr="008B4015">
        <w:t>3.</w:t>
      </w:r>
      <w:r w:rsidRPr="008B4015">
        <w:tab/>
      </w:r>
      <w:r w:rsidRPr="000922DD">
        <w:rPr>
          <w:u w:val="single"/>
        </w:rPr>
        <w:t>Performance Reports Q</w:t>
      </w:r>
      <w:r w:rsidR="00727770">
        <w:rPr>
          <w:u w:val="single"/>
        </w:rPr>
        <w:t>4</w:t>
      </w:r>
      <w:r w:rsidRPr="000922DD">
        <w:rPr>
          <w:u w:val="single"/>
        </w:rPr>
        <w:t xml:space="preserve"> 2022-23:</w:t>
      </w:r>
    </w:p>
    <w:p w14:paraId="4863C416" w14:textId="77777777" w:rsidR="008B4015" w:rsidRDefault="008B4015" w:rsidP="008B4015">
      <w:pPr>
        <w:pStyle w:val="Normal0"/>
        <w:rPr>
          <w:sz w:val="24"/>
          <w:lang w:eastAsia="en-US"/>
        </w:rPr>
      </w:pPr>
      <w:r>
        <w:rPr>
          <w:sz w:val="24"/>
          <w:lang w:eastAsia="en-US"/>
        </w:rPr>
        <w:tab/>
      </w:r>
    </w:p>
    <w:p w14:paraId="36664F58" w14:textId="77777777" w:rsidR="008B4015" w:rsidRDefault="008B4015" w:rsidP="008B4015">
      <w:pPr>
        <w:rPr>
          <w:rFonts w:cs="Arial"/>
          <w:b/>
          <w:bCs/>
          <w:caps/>
          <w:szCs w:val="24"/>
          <w:u w:val="single"/>
        </w:rPr>
      </w:pPr>
      <w:bookmarkStart w:id="1" w:name="_Hlk121734890"/>
      <w:r w:rsidRPr="00062D77">
        <w:rPr>
          <w:rFonts w:cs="Arial"/>
          <w:b/>
          <w:bCs/>
          <w:caps/>
          <w:szCs w:val="24"/>
        </w:rPr>
        <w:t>a)</w:t>
      </w:r>
      <w:r w:rsidRPr="00062D77">
        <w:rPr>
          <w:rFonts w:cs="Arial"/>
          <w:b/>
          <w:bCs/>
          <w:caps/>
          <w:szCs w:val="24"/>
        </w:rPr>
        <w:tab/>
      </w:r>
      <w:r w:rsidRPr="00062D77">
        <w:rPr>
          <w:rFonts w:cs="Arial"/>
          <w:b/>
          <w:bCs/>
          <w:caps/>
          <w:szCs w:val="24"/>
          <w:u w:val="single"/>
        </w:rPr>
        <w:t>Community Planning</w:t>
      </w:r>
    </w:p>
    <w:p w14:paraId="0DFEA429" w14:textId="1AD05CB4" w:rsidR="008B4015" w:rsidRPr="00D067F9" w:rsidRDefault="008B4015" w:rsidP="008B4015">
      <w:pPr>
        <w:rPr>
          <w:rFonts w:cs="Arial"/>
          <w:caps/>
          <w:szCs w:val="24"/>
        </w:rPr>
      </w:pPr>
      <w:r>
        <w:rPr>
          <w:rFonts w:cs="Arial"/>
          <w:b/>
          <w:bCs/>
          <w:caps/>
          <w:szCs w:val="24"/>
        </w:rPr>
        <w:tab/>
      </w:r>
      <w:r w:rsidRPr="00D067F9">
        <w:rPr>
          <w:rFonts w:cs="Arial"/>
          <w:szCs w:val="24"/>
        </w:rPr>
        <w:t xml:space="preserve">(Appendix </w:t>
      </w:r>
      <w:r>
        <w:rPr>
          <w:rFonts w:cs="Arial"/>
          <w:szCs w:val="24"/>
        </w:rPr>
        <w:t>I)</w:t>
      </w:r>
    </w:p>
    <w:p w14:paraId="7CEC6D6A" w14:textId="77777777" w:rsidR="008B4015" w:rsidRPr="00062D77" w:rsidRDefault="008B4015" w:rsidP="008B4015">
      <w:pPr>
        <w:rPr>
          <w:rFonts w:cs="Arial"/>
          <w:b/>
          <w:bCs/>
          <w:caps/>
          <w:szCs w:val="24"/>
        </w:rPr>
      </w:pPr>
    </w:p>
    <w:p w14:paraId="152E8860" w14:textId="77777777" w:rsidR="008B4015" w:rsidRDefault="008B4015" w:rsidP="008B4015">
      <w:pPr>
        <w:rPr>
          <w:rFonts w:cs="Arial"/>
          <w:szCs w:val="24"/>
        </w:rPr>
      </w:pPr>
      <w:bookmarkStart w:id="2" w:name="_Hlk116024276"/>
      <w:bookmarkStart w:id="3" w:name="_Hlk116024196"/>
      <w:r w:rsidRPr="004C6B87">
        <w:rPr>
          <w:rFonts w:cs="Arial"/>
          <w:caps/>
          <w:szCs w:val="24"/>
        </w:rPr>
        <w:t>Previously circulated-</w:t>
      </w:r>
      <w:r>
        <w:rPr>
          <w:rFonts w:cs="Arial"/>
          <w:szCs w:val="24"/>
        </w:rPr>
        <w:t xml:space="preserve"> Report from the Chief Executive detailing the undernoted:</w:t>
      </w:r>
    </w:p>
    <w:bookmarkEnd w:id="2"/>
    <w:p w14:paraId="353290EF" w14:textId="77777777" w:rsidR="008B4015" w:rsidRDefault="008B4015" w:rsidP="008B4015">
      <w:pPr>
        <w:rPr>
          <w:rFonts w:cs="Arial"/>
          <w:szCs w:val="24"/>
        </w:rPr>
      </w:pPr>
    </w:p>
    <w:p w14:paraId="6FEEF44B" w14:textId="77777777" w:rsidR="008B4015" w:rsidRPr="0055068C" w:rsidRDefault="008B4015" w:rsidP="008B4015">
      <w:pPr>
        <w:rPr>
          <w:rFonts w:eastAsia="Times New Roman"/>
          <w:b/>
          <w:szCs w:val="20"/>
        </w:rPr>
      </w:pPr>
      <w:r w:rsidRPr="0055068C">
        <w:rPr>
          <w:rFonts w:eastAsia="Times New Roman"/>
          <w:b/>
          <w:szCs w:val="20"/>
        </w:rPr>
        <w:t>Context</w:t>
      </w:r>
    </w:p>
    <w:p w14:paraId="3D1EC86C" w14:textId="77777777" w:rsidR="008B4015" w:rsidRPr="0055068C" w:rsidRDefault="008B4015" w:rsidP="008B4015">
      <w:pPr>
        <w:rPr>
          <w:rFonts w:eastAsia="Times New Roman"/>
          <w:szCs w:val="20"/>
        </w:rPr>
      </w:pPr>
    </w:p>
    <w:p w14:paraId="60FBB5B8" w14:textId="77777777" w:rsidR="008B4015" w:rsidRPr="0055068C" w:rsidRDefault="008B4015" w:rsidP="008B4015">
      <w:pPr>
        <w:rPr>
          <w:rFonts w:eastAsia="Times New Roman"/>
          <w:szCs w:val="20"/>
        </w:rPr>
      </w:pPr>
      <w:r w:rsidRPr="0055068C">
        <w:rPr>
          <w:rFonts w:eastAsia="Times New Roman"/>
          <w:szCs w:val="20"/>
        </w:rPr>
        <w:t xml:space="preserve">Members would be aware that Council was required, under the Local Government Act 2014, to have in place arrangements to secure continuous improvement in the exercise of its functions.  To fulfil that requirement Council approved the </w:t>
      </w:r>
      <w:r w:rsidRPr="0055068C">
        <w:rPr>
          <w:rFonts w:eastAsia="Times New Roman"/>
          <w:szCs w:val="20"/>
        </w:rPr>
        <w:lastRenderedPageBreak/>
        <w:t>Performance Management Policy and Handbook in October 2015.  The Performance Management Handbook outlined the approach to Performance Planning and Management process as:</w:t>
      </w:r>
    </w:p>
    <w:p w14:paraId="33772F8F" w14:textId="77777777" w:rsidR="008B4015" w:rsidRPr="0055068C" w:rsidRDefault="008B4015" w:rsidP="008B4015">
      <w:pPr>
        <w:rPr>
          <w:rFonts w:eastAsia="Times New Roman"/>
          <w:szCs w:val="20"/>
        </w:rPr>
      </w:pPr>
    </w:p>
    <w:p w14:paraId="7E684102" w14:textId="77777777" w:rsidR="008B4015" w:rsidRPr="0055068C" w:rsidRDefault="008B4015" w:rsidP="00CF34D3">
      <w:pPr>
        <w:numPr>
          <w:ilvl w:val="0"/>
          <w:numId w:val="5"/>
        </w:numPr>
        <w:contextualSpacing/>
        <w:rPr>
          <w:rFonts w:cs="Arial"/>
        </w:rPr>
      </w:pPr>
      <w:r w:rsidRPr="0055068C">
        <w:rPr>
          <w:rFonts w:cs="Arial"/>
        </w:rPr>
        <w:t xml:space="preserve">Community Plan – published every 10-15 years </w:t>
      </w:r>
    </w:p>
    <w:p w14:paraId="0092F58C" w14:textId="77777777" w:rsidR="008B4015" w:rsidRPr="0055068C" w:rsidRDefault="008B4015" w:rsidP="00CF34D3">
      <w:pPr>
        <w:numPr>
          <w:ilvl w:val="0"/>
          <w:numId w:val="5"/>
        </w:numPr>
        <w:contextualSpacing/>
        <w:rPr>
          <w:rFonts w:cs="Arial"/>
        </w:rPr>
      </w:pPr>
      <w:r w:rsidRPr="0055068C">
        <w:rPr>
          <w:rFonts w:cs="Arial"/>
        </w:rPr>
        <w:t>Corporate Plan – published every 4 years (Corporate Plan Towards 2024 in operation)</w:t>
      </w:r>
    </w:p>
    <w:p w14:paraId="20E2AD3D" w14:textId="77777777" w:rsidR="008B4015" w:rsidRPr="0055068C" w:rsidRDefault="008B4015" w:rsidP="00CF34D3">
      <w:pPr>
        <w:numPr>
          <w:ilvl w:val="0"/>
          <w:numId w:val="5"/>
        </w:numPr>
        <w:contextualSpacing/>
        <w:rPr>
          <w:rFonts w:cs="Arial"/>
        </w:rPr>
      </w:pPr>
      <w:r w:rsidRPr="0055068C">
        <w:rPr>
          <w:rFonts w:cs="Arial"/>
        </w:rPr>
        <w:t>Performance Improvement Plan (PIP) – published annually (for publication 30 September 2022)</w:t>
      </w:r>
    </w:p>
    <w:p w14:paraId="331CCB8A" w14:textId="77777777" w:rsidR="008B4015" w:rsidRPr="0055068C" w:rsidRDefault="008B4015" w:rsidP="00CF34D3">
      <w:pPr>
        <w:numPr>
          <w:ilvl w:val="0"/>
          <w:numId w:val="5"/>
        </w:numPr>
        <w:contextualSpacing/>
        <w:rPr>
          <w:rFonts w:cs="Arial"/>
        </w:rPr>
      </w:pPr>
      <w:r w:rsidRPr="0055068C">
        <w:rPr>
          <w:rFonts w:cs="Arial"/>
        </w:rPr>
        <w:t>Service Plan – developed annually (approved April/May 2022)</w:t>
      </w:r>
    </w:p>
    <w:p w14:paraId="72B92BF5" w14:textId="77777777" w:rsidR="008B4015" w:rsidRPr="0055068C" w:rsidRDefault="008B4015" w:rsidP="008B4015">
      <w:pPr>
        <w:rPr>
          <w:rFonts w:eastAsia="Times New Roman"/>
          <w:szCs w:val="20"/>
        </w:rPr>
      </w:pPr>
    </w:p>
    <w:p w14:paraId="44D84EC0" w14:textId="77777777" w:rsidR="008B4015" w:rsidRPr="0055068C" w:rsidRDefault="008B4015" w:rsidP="008B4015">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3951FDD5" w14:textId="77777777" w:rsidR="008B4015" w:rsidRPr="0055068C" w:rsidRDefault="008B4015" w:rsidP="008B4015">
      <w:pPr>
        <w:rPr>
          <w:rFonts w:eastAsia="Times New Roman"/>
          <w:b/>
          <w:szCs w:val="20"/>
        </w:rPr>
      </w:pPr>
    </w:p>
    <w:p w14:paraId="1983A54E" w14:textId="77777777" w:rsidR="008B4015" w:rsidRPr="0055068C" w:rsidRDefault="008B4015" w:rsidP="008B4015">
      <w:pPr>
        <w:rPr>
          <w:rFonts w:eastAsia="Times New Roman"/>
          <w:b/>
          <w:szCs w:val="20"/>
        </w:rPr>
      </w:pPr>
      <w:r w:rsidRPr="0055068C">
        <w:rPr>
          <w:rFonts w:eastAsia="Times New Roman"/>
          <w:b/>
          <w:szCs w:val="20"/>
        </w:rPr>
        <w:t>Reporting approach</w:t>
      </w:r>
    </w:p>
    <w:p w14:paraId="6A695B67" w14:textId="77777777" w:rsidR="008B4015" w:rsidRPr="0055068C" w:rsidRDefault="008B4015" w:rsidP="008B4015">
      <w:pPr>
        <w:rPr>
          <w:rFonts w:eastAsia="Times New Roman"/>
          <w:szCs w:val="20"/>
        </w:rPr>
      </w:pPr>
    </w:p>
    <w:p w14:paraId="66E475DA" w14:textId="77777777" w:rsidR="008B4015" w:rsidRPr="0055068C" w:rsidRDefault="008B4015" w:rsidP="008B4015">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658A1A90" w14:textId="77777777" w:rsidR="008B4015" w:rsidRPr="0055068C" w:rsidRDefault="008B4015" w:rsidP="008B4015">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443A3E05" w14:textId="77777777" w:rsidTr="00E54D0A">
        <w:tc>
          <w:tcPr>
            <w:tcW w:w="2122" w:type="dxa"/>
            <w:shd w:val="clear" w:color="auto" w:fill="BDD6EE"/>
          </w:tcPr>
          <w:p w14:paraId="7E29F581" w14:textId="77777777" w:rsidR="008B4015" w:rsidRPr="0055068C" w:rsidRDefault="008B4015" w:rsidP="00E54D0A">
            <w:pPr>
              <w:rPr>
                <w:rFonts w:eastAsia="Times New Roman"/>
                <w:b/>
                <w:szCs w:val="20"/>
              </w:rPr>
            </w:pPr>
            <w:r w:rsidRPr="0055068C">
              <w:rPr>
                <w:rFonts w:eastAsia="Times New Roman"/>
                <w:b/>
                <w:szCs w:val="20"/>
              </w:rPr>
              <w:t>Reference</w:t>
            </w:r>
          </w:p>
        </w:tc>
        <w:tc>
          <w:tcPr>
            <w:tcW w:w="3118" w:type="dxa"/>
            <w:shd w:val="clear" w:color="auto" w:fill="BDD6EE"/>
          </w:tcPr>
          <w:p w14:paraId="2ABC44FC" w14:textId="77777777" w:rsidR="008B4015" w:rsidRPr="0055068C" w:rsidRDefault="008B4015" w:rsidP="00E54D0A">
            <w:pPr>
              <w:rPr>
                <w:rFonts w:eastAsia="Times New Roman"/>
                <w:b/>
                <w:szCs w:val="20"/>
              </w:rPr>
            </w:pPr>
            <w:r w:rsidRPr="0055068C">
              <w:rPr>
                <w:rFonts w:eastAsia="Times New Roman"/>
                <w:b/>
                <w:szCs w:val="20"/>
              </w:rPr>
              <w:t>Period</w:t>
            </w:r>
          </w:p>
        </w:tc>
        <w:tc>
          <w:tcPr>
            <w:tcW w:w="3776" w:type="dxa"/>
            <w:shd w:val="clear" w:color="auto" w:fill="BDD6EE"/>
          </w:tcPr>
          <w:p w14:paraId="13AF3969" w14:textId="77777777" w:rsidR="008B4015" w:rsidRPr="0055068C" w:rsidRDefault="008B4015" w:rsidP="00E54D0A">
            <w:pPr>
              <w:rPr>
                <w:rFonts w:eastAsia="Times New Roman"/>
                <w:b/>
                <w:szCs w:val="20"/>
              </w:rPr>
            </w:pPr>
            <w:r w:rsidRPr="0055068C">
              <w:rPr>
                <w:rFonts w:eastAsia="Times New Roman"/>
                <w:b/>
                <w:szCs w:val="20"/>
              </w:rPr>
              <w:t>Reporting Month</w:t>
            </w:r>
          </w:p>
        </w:tc>
      </w:tr>
      <w:tr w:rsidR="008B4015" w:rsidRPr="0055068C" w14:paraId="4AE55F98" w14:textId="77777777" w:rsidTr="00E54D0A">
        <w:tc>
          <w:tcPr>
            <w:tcW w:w="2122" w:type="dxa"/>
          </w:tcPr>
          <w:p w14:paraId="096A2D99" w14:textId="77777777" w:rsidR="008B4015" w:rsidRPr="0055068C" w:rsidRDefault="008B4015" w:rsidP="00E54D0A">
            <w:pPr>
              <w:rPr>
                <w:rFonts w:eastAsia="Times New Roman"/>
                <w:szCs w:val="20"/>
              </w:rPr>
            </w:pPr>
            <w:r w:rsidRPr="0055068C">
              <w:rPr>
                <w:rFonts w:eastAsia="Times New Roman"/>
                <w:szCs w:val="20"/>
              </w:rPr>
              <w:t>Quarter 1 (Q1)</w:t>
            </w:r>
          </w:p>
        </w:tc>
        <w:tc>
          <w:tcPr>
            <w:tcW w:w="3118" w:type="dxa"/>
          </w:tcPr>
          <w:p w14:paraId="4963E9A6" w14:textId="77777777" w:rsidR="008B4015" w:rsidRPr="0055068C" w:rsidRDefault="008B4015" w:rsidP="00E54D0A">
            <w:pPr>
              <w:rPr>
                <w:rFonts w:eastAsia="Times New Roman"/>
                <w:szCs w:val="20"/>
              </w:rPr>
            </w:pPr>
            <w:r w:rsidRPr="0055068C">
              <w:rPr>
                <w:rFonts w:eastAsia="Times New Roman"/>
                <w:szCs w:val="20"/>
              </w:rPr>
              <w:t>April – June</w:t>
            </w:r>
          </w:p>
        </w:tc>
        <w:tc>
          <w:tcPr>
            <w:tcW w:w="3776" w:type="dxa"/>
          </w:tcPr>
          <w:p w14:paraId="19075F72" w14:textId="77777777" w:rsidR="008B4015" w:rsidRPr="0055068C" w:rsidRDefault="008B4015" w:rsidP="00E54D0A">
            <w:pPr>
              <w:rPr>
                <w:rFonts w:eastAsia="Times New Roman"/>
                <w:szCs w:val="20"/>
              </w:rPr>
            </w:pPr>
            <w:r w:rsidRPr="0055068C">
              <w:rPr>
                <w:rFonts w:eastAsia="Times New Roman"/>
                <w:szCs w:val="20"/>
              </w:rPr>
              <w:t>September</w:t>
            </w:r>
          </w:p>
        </w:tc>
      </w:tr>
      <w:tr w:rsidR="008B4015" w:rsidRPr="0055068C" w14:paraId="24CD41E3" w14:textId="77777777" w:rsidTr="00E54D0A">
        <w:tc>
          <w:tcPr>
            <w:tcW w:w="2122" w:type="dxa"/>
          </w:tcPr>
          <w:p w14:paraId="5C91397C" w14:textId="77777777" w:rsidR="008B4015" w:rsidRPr="0055068C" w:rsidRDefault="008B4015" w:rsidP="00E54D0A">
            <w:pPr>
              <w:rPr>
                <w:rFonts w:eastAsia="Times New Roman"/>
                <w:szCs w:val="20"/>
              </w:rPr>
            </w:pPr>
            <w:r w:rsidRPr="0055068C">
              <w:rPr>
                <w:rFonts w:eastAsia="Times New Roman"/>
                <w:szCs w:val="20"/>
              </w:rPr>
              <w:t>Q2</w:t>
            </w:r>
          </w:p>
        </w:tc>
        <w:tc>
          <w:tcPr>
            <w:tcW w:w="3118" w:type="dxa"/>
          </w:tcPr>
          <w:p w14:paraId="4A574022" w14:textId="77777777" w:rsidR="008B4015" w:rsidRPr="0055068C" w:rsidRDefault="008B4015" w:rsidP="00E54D0A">
            <w:pPr>
              <w:rPr>
                <w:rFonts w:eastAsia="Times New Roman"/>
                <w:szCs w:val="20"/>
              </w:rPr>
            </w:pPr>
            <w:r w:rsidRPr="0055068C">
              <w:rPr>
                <w:rFonts w:eastAsia="Times New Roman"/>
                <w:szCs w:val="20"/>
              </w:rPr>
              <w:t>July – September</w:t>
            </w:r>
          </w:p>
        </w:tc>
        <w:tc>
          <w:tcPr>
            <w:tcW w:w="3776" w:type="dxa"/>
          </w:tcPr>
          <w:p w14:paraId="10443C62" w14:textId="77777777" w:rsidR="008B4015" w:rsidRPr="0055068C" w:rsidRDefault="008B4015" w:rsidP="00E54D0A">
            <w:pPr>
              <w:rPr>
                <w:rFonts w:eastAsia="Times New Roman"/>
                <w:szCs w:val="20"/>
              </w:rPr>
            </w:pPr>
            <w:r w:rsidRPr="0055068C">
              <w:rPr>
                <w:rFonts w:eastAsia="Times New Roman"/>
                <w:szCs w:val="20"/>
              </w:rPr>
              <w:t>December</w:t>
            </w:r>
          </w:p>
        </w:tc>
      </w:tr>
      <w:tr w:rsidR="008B4015" w:rsidRPr="0055068C" w14:paraId="05FBF3A6" w14:textId="77777777" w:rsidTr="00E54D0A">
        <w:tc>
          <w:tcPr>
            <w:tcW w:w="2122" w:type="dxa"/>
          </w:tcPr>
          <w:p w14:paraId="71656379" w14:textId="77777777" w:rsidR="008B4015" w:rsidRPr="0055068C" w:rsidRDefault="008B4015" w:rsidP="00E54D0A">
            <w:pPr>
              <w:rPr>
                <w:rFonts w:eastAsia="Times New Roman"/>
                <w:szCs w:val="20"/>
              </w:rPr>
            </w:pPr>
            <w:r w:rsidRPr="0055068C">
              <w:rPr>
                <w:rFonts w:eastAsia="Times New Roman"/>
                <w:szCs w:val="20"/>
              </w:rPr>
              <w:t>Q3</w:t>
            </w:r>
          </w:p>
        </w:tc>
        <w:tc>
          <w:tcPr>
            <w:tcW w:w="3118" w:type="dxa"/>
          </w:tcPr>
          <w:p w14:paraId="59A61A22" w14:textId="77777777" w:rsidR="008B4015" w:rsidRPr="0055068C" w:rsidRDefault="008B4015" w:rsidP="00E54D0A">
            <w:pPr>
              <w:rPr>
                <w:rFonts w:eastAsia="Times New Roman"/>
                <w:szCs w:val="20"/>
              </w:rPr>
            </w:pPr>
            <w:r w:rsidRPr="0055068C">
              <w:rPr>
                <w:rFonts w:eastAsia="Times New Roman"/>
                <w:szCs w:val="20"/>
              </w:rPr>
              <w:t>October – December</w:t>
            </w:r>
          </w:p>
        </w:tc>
        <w:tc>
          <w:tcPr>
            <w:tcW w:w="3776" w:type="dxa"/>
          </w:tcPr>
          <w:p w14:paraId="544569E2" w14:textId="77777777" w:rsidR="008B4015" w:rsidRPr="0055068C" w:rsidRDefault="008B4015" w:rsidP="00E54D0A">
            <w:pPr>
              <w:rPr>
                <w:rFonts w:eastAsia="Times New Roman"/>
                <w:szCs w:val="20"/>
              </w:rPr>
            </w:pPr>
            <w:r w:rsidRPr="0055068C">
              <w:rPr>
                <w:rFonts w:eastAsia="Times New Roman"/>
                <w:szCs w:val="20"/>
              </w:rPr>
              <w:t>March</w:t>
            </w:r>
          </w:p>
        </w:tc>
      </w:tr>
      <w:tr w:rsidR="008B4015" w:rsidRPr="0055068C" w14:paraId="5FD78F41" w14:textId="77777777" w:rsidTr="00E54D0A">
        <w:tc>
          <w:tcPr>
            <w:tcW w:w="2122" w:type="dxa"/>
          </w:tcPr>
          <w:p w14:paraId="2DBED40A" w14:textId="77777777" w:rsidR="008B4015" w:rsidRPr="0055068C" w:rsidRDefault="008B4015" w:rsidP="00E54D0A">
            <w:pPr>
              <w:rPr>
                <w:rFonts w:eastAsia="Times New Roman"/>
                <w:szCs w:val="20"/>
              </w:rPr>
            </w:pPr>
            <w:r w:rsidRPr="0055068C">
              <w:rPr>
                <w:rFonts w:eastAsia="Times New Roman"/>
                <w:szCs w:val="20"/>
              </w:rPr>
              <w:t>Q4</w:t>
            </w:r>
          </w:p>
        </w:tc>
        <w:tc>
          <w:tcPr>
            <w:tcW w:w="3118" w:type="dxa"/>
          </w:tcPr>
          <w:p w14:paraId="0CD947F9" w14:textId="1B507FB7" w:rsidR="008B4015" w:rsidRPr="0055068C" w:rsidRDefault="008B4015" w:rsidP="00E54D0A">
            <w:pPr>
              <w:rPr>
                <w:rFonts w:eastAsia="Times New Roman"/>
                <w:szCs w:val="20"/>
              </w:rPr>
            </w:pPr>
            <w:r w:rsidRPr="0055068C">
              <w:rPr>
                <w:rFonts w:eastAsia="Times New Roman"/>
                <w:szCs w:val="20"/>
              </w:rPr>
              <w:t xml:space="preserve">January </w:t>
            </w:r>
            <w:r w:rsidR="00947021">
              <w:rPr>
                <w:rFonts w:eastAsia="Times New Roman"/>
                <w:szCs w:val="20"/>
              </w:rPr>
              <w:t>–</w:t>
            </w:r>
            <w:r w:rsidRPr="0055068C">
              <w:rPr>
                <w:rFonts w:eastAsia="Times New Roman"/>
                <w:szCs w:val="20"/>
              </w:rPr>
              <w:t xml:space="preserve"> March</w:t>
            </w:r>
          </w:p>
        </w:tc>
        <w:tc>
          <w:tcPr>
            <w:tcW w:w="3776" w:type="dxa"/>
          </w:tcPr>
          <w:p w14:paraId="06AAC1C0" w14:textId="77777777" w:rsidR="008B4015" w:rsidRPr="0055068C" w:rsidRDefault="008B4015" w:rsidP="00E54D0A">
            <w:pPr>
              <w:rPr>
                <w:rFonts w:eastAsia="Times New Roman"/>
                <w:szCs w:val="20"/>
              </w:rPr>
            </w:pPr>
            <w:r w:rsidRPr="0055068C">
              <w:rPr>
                <w:rFonts w:eastAsia="Times New Roman"/>
                <w:szCs w:val="20"/>
              </w:rPr>
              <w:t>June</w:t>
            </w:r>
          </w:p>
        </w:tc>
      </w:tr>
    </w:tbl>
    <w:p w14:paraId="6B9FACC4" w14:textId="77777777" w:rsidR="008B4015" w:rsidRPr="0055068C" w:rsidRDefault="008B4015" w:rsidP="008B4015">
      <w:pPr>
        <w:rPr>
          <w:rFonts w:eastAsia="Times New Roman"/>
          <w:szCs w:val="20"/>
        </w:rPr>
      </w:pPr>
    </w:p>
    <w:p w14:paraId="67B3DA94" w14:textId="19C39044" w:rsidR="008B4015" w:rsidRDefault="008B4015" w:rsidP="008B4015">
      <w:pPr>
        <w:rPr>
          <w:rFonts w:eastAsia="Times New Roman" w:cs="Arial"/>
          <w:szCs w:val="24"/>
        </w:rPr>
      </w:pPr>
      <w:r w:rsidRPr="0055068C">
        <w:rPr>
          <w:rFonts w:eastAsia="Times New Roman" w:cs="Arial"/>
          <w:szCs w:val="24"/>
        </w:rPr>
        <w:t xml:space="preserve">The report for Quarter </w:t>
      </w:r>
      <w:r w:rsidR="00760C64">
        <w:rPr>
          <w:rFonts w:eastAsia="Times New Roman" w:cs="Arial"/>
          <w:szCs w:val="24"/>
        </w:rPr>
        <w:t>4</w:t>
      </w:r>
      <w:r w:rsidRPr="0055068C">
        <w:rPr>
          <w:rFonts w:eastAsia="Times New Roman" w:cs="Arial"/>
          <w:szCs w:val="24"/>
        </w:rPr>
        <w:t xml:space="preserve"> 2022-23 was attached.</w:t>
      </w:r>
    </w:p>
    <w:p w14:paraId="79D557DF" w14:textId="77777777" w:rsidR="008B4015" w:rsidRDefault="008B4015" w:rsidP="008B4015">
      <w:pPr>
        <w:rPr>
          <w:rFonts w:eastAsia="Times New Roman" w:cs="Arial"/>
          <w:szCs w:val="24"/>
        </w:rPr>
      </w:pPr>
    </w:p>
    <w:bookmarkEnd w:id="1"/>
    <w:bookmarkEnd w:id="3"/>
    <w:p w14:paraId="53841EE2" w14:textId="77777777" w:rsidR="00933431" w:rsidRPr="00933431" w:rsidRDefault="00933431" w:rsidP="00933431">
      <w:pPr>
        <w:rPr>
          <w:rFonts w:eastAsia="Times New Roman" w:cs="Arial"/>
          <w:b/>
          <w:iCs/>
          <w:szCs w:val="20"/>
        </w:rPr>
      </w:pPr>
      <w:r w:rsidRPr="00933431">
        <w:rPr>
          <w:rFonts w:eastAsia="Times New Roman" w:cs="Arial"/>
          <w:b/>
          <w:iCs/>
          <w:szCs w:val="20"/>
        </w:rPr>
        <w:t>Key points to note:</w:t>
      </w:r>
    </w:p>
    <w:p w14:paraId="0EA1B852" w14:textId="77777777" w:rsidR="00933431" w:rsidRPr="00933431" w:rsidRDefault="00933431" w:rsidP="00933431">
      <w:pPr>
        <w:rPr>
          <w:rFonts w:eastAsia="Times New Roman" w:cs="Arial"/>
          <w:szCs w:val="20"/>
        </w:rPr>
      </w:pPr>
    </w:p>
    <w:p w14:paraId="6D28CAB3" w14:textId="77777777" w:rsidR="00933431" w:rsidRPr="00933431" w:rsidRDefault="00933431" w:rsidP="00933431">
      <w:pPr>
        <w:numPr>
          <w:ilvl w:val="0"/>
          <w:numId w:val="21"/>
        </w:numPr>
        <w:contextualSpacing/>
        <w:rPr>
          <w:rFonts w:cs="Arial"/>
        </w:rPr>
      </w:pPr>
      <w:r w:rsidRPr="00933431">
        <w:rPr>
          <w:rFonts w:cs="Arial"/>
        </w:rPr>
        <w:t>Ards and North Down’s Strategic Community Planning Partnership met on 14 March 2023.</w:t>
      </w:r>
    </w:p>
    <w:p w14:paraId="50F5159C" w14:textId="77777777" w:rsidR="00933431" w:rsidRPr="00933431" w:rsidRDefault="00933431" w:rsidP="00933431">
      <w:pPr>
        <w:ind w:left="360"/>
        <w:rPr>
          <w:rFonts w:eastAsia="Times New Roman" w:cs="Arial"/>
          <w:szCs w:val="20"/>
        </w:rPr>
      </w:pPr>
    </w:p>
    <w:p w14:paraId="654AE0C1" w14:textId="77777777" w:rsidR="00933431" w:rsidRPr="00933431" w:rsidRDefault="00933431" w:rsidP="00933431">
      <w:pPr>
        <w:rPr>
          <w:rFonts w:eastAsia="Times New Roman" w:cs="Arial"/>
          <w:b/>
          <w:szCs w:val="20"/>
        </w:rPr>
      </w:pPr>
      <w:r w:rsidRPr="00933431">
        <w:rPr>
          <w:rFonts w:eastAsia="Times New Roman" w:cs="Arial"/>
          <w:b/>
          <w:szCs w:val="20"/>
        </w:rPr>
        <w:t>Key achievements:</w:t>
      </w:r>
    </w:p>
    <w:p w14:paraId="049D3936" w14:textId="77777777" w:rsidR="00933431" w:rsidRPr="00933431" w:rsidRDefault="00933431" w:rsidP="00933431">
      <w:pPr>
        <w:rPr>
          <w:rFonts w:eastAsia="Times New Roman" w:cs="Arial"/>
          <w:szCs w:val="20"/>
        </w:rPr>
      </w:pPr>
    </w:p>
    <w:p w14:paraId="1EA89214" w14:textId="77777777" w:rsidR="00933431" w:rsidRPr="00933431" w:rsidRDefault="00933431" w:rsidP="00933431">
      <w:pPr>
        <w:numPr>
          <w:ilvl w:val="0"/>
          <w:numId w:val="21"/>
        </w:numPr>
        <w:contextualSpacing/>
        <w:rPr>
          <w:rFonts w:cs="Arial"/>
        </w:rPr>
      </w:pPr>
      <w:r w:rsidRPr="00933431">
        <w:rPr>
          <w:rFonts w:cs="Arial"/>
        </w:rPr>
        <w:t xml:space="preserve">Considerable work had been undertaken in Quarter 4 to promote and roll out usage of the Here2Help. Initial figures provided by the app developer indicated a notable increase in the number of downloads. </w:t>
      </w:r>
    </w:p>
    <w:p w14:paraId="43F8CB5A" w14:textId="77777777" w:rsidR="00933431" w:rsidRPr="00933431" w:rsidRDefault="00933431" w:rsidP="00933431">
      <w:pPr>
        <w:numPr>
          <w:ilvl w:val="0"/>
          <w:numId w:val="21"/>
        </w:numPr>
        <w:contextualSpacing/>
        <w:rPr>
          <w:rFonts w:cs="Arial"/>
        </w:rPr>
      </w:pPr>
      <w:r w:rsidRPr="00933431">
        <w:rPr>
          <w:rFonts w:cs="Arial"/>
        </w:rPr>
        <w:t xml:space="preserve">Dementia Friendly was raised as a notice of motion and had been discussed within the Age Friendly Alliance. A South Eastern area regional group had been established to develop a regional action plan that would then have a localised implementation action plan. This local action plan would have actions specific to Council. The Big Game (a consultation tool developed by Ards and North Down Borough Council’s Community Planning Service) was being adapted by Community Planning to enable us to gather feedback from people who lived with dementia, and their carers, that would help influence both action plans. </w:t>
      </w:r>
    </w:p>
    <w:p w14:paraId="3A9E1D7A" w14:textId="77777777" w:rsidR="00933431" w:rsidRPr="00933431" w:rsidRDefault="00933431" w:rsidP="00933431">
      <w:pPr>
        <w:numPr>
          <w:ilvl w:val="0"/>
          <w:numId w:val="21"/>
        </w:numPr>
        <w:contextualSpacing/>
        <w:rPr>
          <w:rFonts w:cs="Arial"/>
        </w:rPr>
      </w:pPr>
      <w:r w:rsidRPr="00933431">
        <w:rPr>
          <w:rFonts w:cs="Arial"/>
        </w:rPr>
        <w:t xml:space="preserve">Ards and North Down Borough Council, and the Strategic Community Planning Partnership, had initiated work on the Whole Systems Approach to </w:t>
      </w:r>
      <w:r w:rsidRPr="00933431">
        <w:rPr>
          <w:rFonts w:cs="Arial"/>
        </w:rPr>
        <w:lastRenderedPageBreak/>
        <w:t xml:space="preserve">Obesity. This was being undertaken as part of the Community Plan with the Community Planning Manager leading this work within Council. Training on a Whole Systems Approach had been undertaken and a project plan put in place. Workshops had taken place with key stakeholders. </w:t>
      </w:r>
    </w:p>
    <w:p w14:paraId="5EDDACBB" w14:textId="77777777" w:rsidR="00933431" w:rsidRPr="00933431" w:rsidRDefault="00933431" w:rsidP="00933431">
      <w:pPr>
        <w:numPr>
          <w:ilvl w:val="0"/>
          <w:numId w:val="21"/>
        </w:numPr>
        <w:contextualSpacing/>
        <w:rPr>
          <w:rFonts w:cs="Arial"/>
        </w:rPr>
      </w:pPr>
      <w:r w:rsidRPr="00933431">
        <w:rPr>
          <w:rFonts w:cs="Arial"/>
        </w:rPr>
        <w:t xml:space="preserve">Analysis of Census info was ongoing as new data was released. Reports had been produced for each data release. </w:t>
      </w:r>
    </w:p>
    <w:p w14:paraId="793872D9" w14:textId="77777777" w:rsidR="00933431" w:rsidRPr="00933431" w:rsidRDefault="00933431" w:rsidP="00933431">
      <w:pPr>
        <w:numPr>
          <w:ilvl w:val="0"/>
          <w:numId w:val="21"/>
        </w:numPr>
        <w:contextualSpacing/>
        <w:rPr>
          <w:rFonts w:cs="Arial"/>
        </w:rPr>
      </w:pPr>
      <w:r w:rsidRPr="00933431">
        <w:rPr>
          <w:rFonts w:cs="Arial"/>
        </w:rPr>
        <w:t xml:space="preserve">The Community Planning Service updated its analysis of the local labour market which was used to develop the second LMP action plan. </w:t>
      </w:r>
    </w:p>
    <w:p w14:paraId="22472FD0" w14:textId="77777777" w:rsidR="00933431" w:rsidRPr="00933431" w:rsidRDefault="00933431" w:rsidP="00933431">
      <w:pPr>
        <w:rPr>
          <w:rFonts w:eastAsia="Times New Roman" w:cs="Arial"/>
          <w:szCs w:val="20"/>
        </w:rPr>
      </w:pPr>
    </w:p>
    <w:p w14:paraId="2001F4AA" w14:textId="77777777" w:rsidR="00933431" w:rsidRPr="00933431" w:rsidRDefault="00933431" w:rsidP="00933431">
      <w:pPr>
        <w:rPr>
          <w:rFonts w:eastAsia="Times New Roman" w:cs="Arial"/>
          <w:b/>
          <w:szCs w:val="20"/>
        </w:rPr>
      </w:pPr>
      <w:r w:rsidRPr="00933431">
        <w:rPr>
          <w:rFonts w:eastAsia="Times New Roman" w:cs="Arial"/>
          <w:b/>
          <w:szCs w:val="20"/>
        </w:rPr>
        <w:t>Emerging issues:</w:t>
      </w:r>
    </w:p>
    <w:p w14:paraId="0613D6C8" w14:textId="77777777" w:rsidR="00933431" w:rsidRPr="00933431" w:rsidRDefault="00933431" w:rsidP="00933431">
      <w:pPr>
        <w:rPr>
          <w:rFonts w:eastAsia="Times New Roman" w:cs="Arial"/>
          <w:szCs w:val="20"/>
        </w:rPr>
      </w:pPr>
    </w:p>
    <w:p w14:paraId="422372E6" w14:textId="77777777" w:rsidR="00933431" w:rsidRPr="00933431" w:rsidRDefault="00933431" w:rsidP="00933431">
      <w:pPr>
        <w:numPr>
          <w:ilvl w:val="0"/>
          <w:numId w:val="21"/>
        </w:numPr>
        <w:contextualSpacing/>
        <w:rPr>
          <w:rFonts w:cs="Arial"/>
          <w:sz w:val="22"/>
        </w:rPr>
      </w:pPr>
      <w:r w:rsidRPr="00933431">
        <w:rPr>
          <w:rFonts w:cs="Arial"/>
        </w:rPr>
        <w:t xml:space="preserve">A priority for 2023/24 would be to move forward the WSA to Obesity workstream. Other Big Plan priorities may have had to take a back seat depending on the resources needed to implement this project. </w:t>
      </w:r>
    </w:p>
    <w:p w14:paraId="64FBBCE4" w14:textId="77777777" w:rsidR="00933431" w:rsidRPr="00933431" w:rsidRDefault="00933431" w:rsidP="00933431">
      <w:pPr>
        <w:numPr>
          <w:ilvl w:val="0"/>
          <w:numId w:val="21"/>
        </w:numPr>
        <w:contextualSpacing/>
        <w:rPr>
          <w:rFonts w:cs="Arial"/>
          <w:sz w:val="22"/>
        </w:rPr>
      </w:pPr>
      <w:r w:rsidRPr="00933431">
        <w:rPr>
          <w:rFonts w:cs="Arial"/>
        </w:rPr>
        <w:t xml:space="preserve">Considerable time was being spent on new Integrated Care System. The Community Planning Manager was a member of both a Regional Working Group and a Design and Implementation Group. This was an important area of work as this new system would influence the wellbeing of people living in Ards and North Down. The Assessment of Wellbeing that the Community Planning Services had undertaken, and our Big Plan outcomes, may influence some of the priorities of any newly formed Area Integrated Partnership Board. </w:t>
      </w:r>
    </w:p>
    <w:p w14:paraId="288A60C7" w14:textId="77777777" w:rsidR="00933431" w:rsidRPr="00933431" w:rsidRDefault="00933431" w:rsidP="00933431">
      <w:pPr>
        <w:numPr>
          <w:ilvl w:val="0"/>
          <w:numId w:val="21"/>
        </w:numPr>
        <w:contextualSpacing/>
        <w:rPr>
          <w:rFonts w:cs="Arial"/>
          <w:sz w:val="22"/>
        </w:rPr>
      </w:pPr>
      <w:r w:rsidRPr="00933431">
        <w:rPr>
          <w:rFonts w:cs="Arial"/>
        </w:rPr>
        <w:t xml:space="preserve">Cost of Living and Poverty continue to be an issue. In quarter 4 we signed a data sharing agreement between Council and Trussell Trust. This meant that Trussell Trust could share the data they collected via the two local food banks. This, alongside other data we collected from the Well-Fed Social Supermarket, would improve our understanding of poverty in Ards and North Down. This information would feed into work we were undertaking with Ards and North Down’s Poverty Forum to develop an anti-poverty action plan. </w:t>
      </w:r>
    </w:p>
    <w:p w14:paraId="5FAF85FC" w14:textId="77777777" w:rsidR="00933431" w:rsidRPr="00933431" w:rsidRDefault="00933431" w:rsidP="00933431">
      <w:pPr>
        <w:numPr>
          <w:ilvl w:val="0"/>
          <w:numId w:val="21"/>
        </w:numPr>
        <w:contextualSpacing/>
        <w:rPr>
          <w:rFonts w:cs="Arial"/>
          <w:sz w:val="22"/>
        </w:rPr>
      </w:pPr>
      <w:r w:rsidRPr="00933431">
        <w:rPr>
          <w:rFonts w:cs="Arial"/>
        </w:rPr>
        <w:t xml:space="preserve">Other priorities and commitments had meant that we had been unable to publish our Community Planning Newsletter ‘Engage’. This had been removed from our 2023/24 service plan. </w:t>
      </w:r>
    </w:p>
    <w:p w14:paraId="6BB410A0" w14:textId="77777777" w:rsidR="00933431" w:rsidRPr="00933431" w:rsidRDefault="00933431" w:rsidP="00933431">
      <w:pPr>
        <w:numPr>
          <w:ilvl w:val="0"/>
          <w:numId w:val="21"/>
        </w:numPr>
        <w:contextualSpacing/>
        <w:rPr>
          <w:rFonts w:cs="Arial"/>
          <w:sz w:val="22"/>
        </w:rPr>
      </w:pPr>
      <w:r w:rsidRPr="00933431">
        <w:rPr>
          <w:rFonts w:cs="Arial"/>
        </w:rPr>
        <w:t xml:space="preserve">The grouping of Census data was changing which may have impacted on how Ards and North Down area data had previously been grouped. </w:t>
      </w:r>
    </w:p>
    <w:p w14:paraId="75EEC288" w14:textId="77777777" w:rsidR="00933431" w:rsidRPr="00933431" w:rsidRDefault="00933431" w:rsidP="00933431">
      <w:pPr>
        <w:numPr>
          <w:ilvl w:val="0"/>
          <w:numId w:val="21"/>
        </w:numPr>
        <w:contextualSpacing/>
        <w:rPr>
          <w:rFonts w:cs="Arial"/>
          <w:sz w:val="22"/>
        </w:rPr>
      </w:pPr>
      <w:r w:rsidRPr="00933431">
        <w:rPr>
          <w:rFonts w:cs="Arial"/>
        </w:rPr>
        <w:t xml:space="preserve">LMP funding had been suspended but we would continue to monitor the local labour market. </w:t>
      </w:r>
    </w:p>
    <w:p w14:paraId="63A9D7B6" w14:textId="77777777" w:rsidR="00933431" w:rsidRPr="00933431" w:rsidRDefault="00933431" w:rsidP="00933431">
      <w:pPr>
        <w:rPr>
          <w:rFonts w:eastAsia="Times New Roman" w:cs="Arial"/>
          <w:szCs w:val="20"/>
        </w:rPr>
      </w:pPr>
    </w:p>
    <w:p w14:paraId="05C54826" w14:textId="77777777" w:rsidR="00933431" w:rsidRPr="00933431" w:rsidRDefault="00933431" w:rsidP="00933431">
      <w:pPr>
        <w:rPr>
          <w:rFonts w:eastAsia="Times New Roman" w:cs="Arial"/>
          <w:b/>
          <w:szCs w:val="20"/>
        </w:rPr>
      </w:pPr>
      <w:r w:rsidRPr="00933431">
        <w:rPr>
          <w:rFonts w:eastAsia="Times New Roman" w:cs="Arial"/>
          <w:b/>
          <w:szCs w:val="20"/>
        </w:rPr>
        <w:t>Action to be taken:</w:t>
      </w:r>
    </w:p>
    <w:p w14:paraId="7C6D83E9" w14:textId="77777777" w:rsidR="00933431" w:rsidRPr="00933431" w:rsidRDefault="00933431" w:rsidP="00933431">
      <w:pPr>
        <w:rPr>
          <w:rFonts w:eastAsia="Times New Roman" w:cs="Arial"/>
          <w:szCs w:val="20"/>
        </w:rPr>
      </w:pPr>
    </w:p>
    <w:p w14:paraId="106A84FF" w14:textId="77777777" w:rsidR="00933431" w:rsidRPr="00933431" w:rsidRDefault="00933431" w:rsidP="00933431">
      <w:pPr>
        <w:numPr>
          <w:ilvl w:val="0"/>
          <w:numId w:val="21"/>
        </w:numPr>
        <w:contextualSpacing/>
        <w:rPr>
          <w:rFonts w:cs="Arial"/>
          <w:sz w:val="22"/>
        </w:rPr>
      </w:pPr>
      <w:r w:rsidRPr="00933431">
        <w:rPr>
          <w:rFonts w:cs="Arial"/>
        </w:rPr>
        <w:t>As we stopped producing our engage newsletter, we planned on reviewing our method of communicating community planning activities with stakeholders including the public.</w:t>
      </w:r>
    </w:p>
    <w:p w14:paraId="617CEE25" w14:textId="77777777" w:rsidR="00933431" w:rsidRPr="00933431" w:rsidRDefault="00933431" w:rsidP="00933431">
      <w:pPr>
        <w:numPr>
          <w:ilvl w:val="0"/>
          <w:numId w:val="21"/>
        </w:numPr>
        <w:contextualSpacing/>
        <w:rPr>
          <w:rFonts w:cs="Arial"/>
          <w:sz w:val="22"/>
        </w:rPr>
      </w:pPr>
      <w:r w:rsidRPr="00933431">
        <w:rPr>
          <w:rFonts w:cs="Arial"/>
        </w:rPr>
        <w:t xml:space="preserve">We had started to revise the Age Friendly Strategy and Action Plan in collaboration with our Over 50s Council and the Age Friendly Alliance. </w:t>
      </w:r>
    </w:p>
    <w:p w14:paraId="10C8F489" w14:textId="77777777" w:rsidR="00933431" w:rsidRPr="00933431" w:rsidRDefault="00933431" w:rsidP="00933431">
      <w:pPr>
        <w:numPr>
          <w:ilvl w:val="0"/>
          <w:numId w:val="21"/>
        </w:numPr>
        <w:contextualSpacing/>
        <w:rPr>
          <w:rFonts w:cs="Arial"/>
          <w:szCs w:val="24"/>
        </w:rPr>
      </w:pPr>
      <w:r w:rsidRPr="00933431">
        <w:rPr>
          <w:rFonts w:cs="Arial"/>
          <w:szCs w:val="24"/>
        </w:rPr>
        <w:t>We would be rolling out our consultation exercise with people living with dementia and their carers.</w:t>
      </w:r>
    </w:p>
    <w:p w14:paraId="66838301" w14:textId="0793D7BA" w:rsidR="008B4015" w:rsidRPr="00933431" w:rsidRDefault="00933431" w:rsidP="002B7283">
      <w:pPr>
        <w:numPr>
          <w:ilvl w:val="0"/>
          <w:numId w:val="21"/>
        </w:numPr>
        <w:contextualSpacing/>
        <w:rPr>
          <w:rFonts w:eastAsia="Times New Roman" w:cs="Arial"/>
          <w:b/>
          <w:iCs/>
          <w:szCs w:val="20"/>
        </w:rPr>
      </w:pPr>
      <w:r w:rsidRPr="00933431">
        <w:rPr>
          <w:rFonts w:cs="Arial"/>
          <w:szCs w:val="24"/>
        </w:rPr>
        <w:t xml:space="preserve">We would be continuing our project researching poverty in Ards and North Down. </w:t>
      </w:r>
    </w:p>
    <w:p w14:paraId="30B4E152" w14:textId="77777777" w:rsidR="008B4015" w:rsidRDefault="008B4015" w:rsidP="008B4015">
      <w:pPr>
        <w:rPr>
          <w:rFonts w:cs="Arial"/>
          <w:b/>
          <w:bCs/>
          <w:szCs w:val="24"/>
        </w:rPr>
      </w:pPr>
    </w:p>
    <w:p w14:paraId="0EEB742B" w14:textId="77777777" w:rsidR="00261CA5" w:rsidRDefault="00261CA5" w:rsidP="008B4015">
      <w:pPr>
        <w:rPr>
          <w:rFonts w:cs="Arial"/>
          <w:b/>
          <w:bCs/>
          <w:szCs w:val="24"/>
        </w:rPr>
      </w:pPr>
    </w:p>
    <w:p w14:paraId="61C86173" w14:textId="77777777" w:rsidR="00261CA5" w:rsidRDefault="00261CA5" w:rsidP="008B4015">
      <w:pPr>
        <w:rPr>
          <w:rFonts w:cs="Arial"/>
          <w:b/>
          <w:bCs/>
          <w:szCs w:val="24"/>
        </w:rPr>
      </w:pPr>
    </w:p>
    <w:p w14:paraId="4823CBD4" w14:textId="77777777" w:rsidR="008B4015" w:rsidRDefault="008B4015" w:rsidP="008B4015">
      <w:pPr>
        <w:rPr>
          <w:rFonts w:cs="Arial"/>
          <w:b/>
          <w:bCs/>
          <w:caps/>
          <w:szCs w:val="24"/>
          <w:u w:val="single"/>
        </w:rPr>
      </w:pPr>
      <w:r>
        <w:rPr>
          <w:rFonts w:cs="Arial"/>
          <w:b/>
          <w:bCs/>
          <w:caps/>
          <w:szCs w:val="24"/>
        </w:rPr>
        <w:lastRenderedPageBreak/>
        <w:t>B</w:t>
      </w:r>
      <w:r w:rsidRPr="00062D77">
        <w:rPr>
          <w:rFonts w:cs="Arial"/>
          <w:b/>
          <w:bCs/>
          <w:caps/>
          <w:szCs w:val="24"/>
        </w:rPr>
        <w:t>)</w:t>
      </w:r>
      <w:r w:rsidRPr="00062D77">
        <w:rPr>
          <w:rFonts w:cs="Arial"/>
          <w:b/>
          <w:bCs/>
          <w:caps/>
          <w:szCs w:val="24"/>
        </w:rPr>
        <w:tab/>
      </w:r>
      <w:r>
        <w:rPr>
          <w:rFonts w:cs="Arial"/>
          <w:b/>
          <w:bCs/>
          <w:caps/>
          <w:szCs w:val="24"/>
          <w:u w:val="single"/>
        </w:rPr>
        <w:t>CORPROATE COMMUNICATIONS (</w:t>
      </w:r>
      <w:r w:rsidRPr="00D202B9">
        <w:rPr>
          <w:rFonts w:cs="Arial"/>
          <w:b/>
          <w:bCs/>
          <w:caps/>
          <w:szCs w:val="24"/>
          <w:u w:val="single"/>
        </w:rPr>
        <w:t>CMR_Q22223</w:t>
      </w:r>
      <w:r>
        <w:rPr>
          <w:rFonts w:cs="Arial"/>
          <w:b/>
          <w:bCs/>
          <w:caps/>
          <w:szCs w:val="24"/>
          <w:u w:val="single"/>
        </w:rPr>
        <w:t>)</w:t>
      </w:r>
    </w:p>
    <w:p w14:paraId="204F68B9" w14:textId="46982802" w:rsidR="008B4015" w:rsidRPr="00D067F9" w:rsidRDefault="008B4015" w:rsidP="008B4015">
      <w:pPr>
        <w:rPr>
          <w:rFonts w:cs="Arial"/>
          <w:caps/>
          <w:szCs w:val="24"/>
        </w:rPr>
      </w:pPr>
      <w:r>
        <w:rPr>
          <w:rFonts w:cs="Arial"/>
          <w:b/>
          <w:bCs/>
          <w:caps/>
          <w:szCs w:val="24"/>
        </w:rPr>
        <w:tab/>
      </w:r>
      <w:r w:rsidRPr="00D067F9">
        <w:rPr>
          <w:rFonts w:cs="Arial"/>
          <w:szCs w:val="24"/>
        </w:rPr>
        <w:t xml:space="preserve">(Appendix </w:t>
      </w:r>
      <w:r>
        <w:rPr>
          <w:rFonts w:cs="Arial"/>
          <w:szCs w:val="24"/>
        </w:rPr>
        <w:t>II)</w:t>
      </w:r>
    </w:p>
    <w:p w14:paraId="2171397B" w14:textId="77777777" w:rsidR="008B4015" w:rsidRPr="00062D77" w:rsidRDefault="008B4015" w:rsidP="008B4015">
      <w:pPr>
        <w:rPr>
          <w:rFonts w:cs="Arial"/>
          <w:b/>
          <w:bCs/>
          <w:caps/>
          <w:szCs w:val="24"/>
        </w:rPr>
      </w:pPr>
    </w:p>
    <w:p w14:paraId="0FB6E6F9" w14:textId="77777777" w:rsidR="008B4015" w:rsidRDefault="008B4015" w:rsidP="008B4015">
      <w:pPr>
        <w:rPr>
          <w:rFonts w:cs="Arial"/>
          <w:szCs w:val="24"/>
        </w:rPr>
      </w:pPr>
      <w:r w:rsidRPr="004C6B87">
        <w:rPr>
          <w:rFonts w:cs="Arial"/>
          <w:caps/>
          <w:szCs w:val="24"/>
        </w:rPr>
        <w:t>Previously circulated-</w:t>
      </w:r>
      <w:r>
        <w:rPr>
          <w:rFonts w:cs="Arial"/>
          <w:szCs w:val="24"/>
        </w:rPr>
        <w:t xml:space="preserve"> Report from the Chief Executive detailing the undernoted:</w:t>
      </w:r>
    </w:p>
    <w:p w14:paraId="76C79647" w14:textId="77777777" w:rsidR="008B4015" w:rsidRDefault="008B4015" w:rsidP="008B4015">
      <w:pPr>
        <w:rPr>
          <w:rFonts w:cs="Arial"/>
          <w:szCs w:val="24"/>
        </w:rPr>
      </w:pPr>
    </w:p>
    <w:p w14:paraId="61DD07FE" w14:textId="77777777" w:rsidR="008B4015" w:rsidRPr="0055068C" w:rsidRDefault="008B4015" w:rsidP="008B4015">
      <w:pPr>
        <w:rPr>
          <w:rFonts w:eastAsia="Times New Roman"/>
          <w:b/>
          <w:szCs w:val="20"/>
        </w:rPr>
      </w:pPr>
      <w:r w:rsidRPr="0055068C">
        <w:rPr>
          <w:rFonts w:eastAsia="Times New Roman"/>
          <w:b/>
          <w:szCs w:val="20"/>
        </w:rPr>
        <w:t>Context</w:t>
      </w:r>
    </w:p>
    <w:p w14:paraId="7788922E" w14:textId="77777777" w:rsidR="008B4015" w:rsidRPr="0055068C" w:rsidRDefault="008B4015" w:rsidP="008B4015">
      <w:pPr>
        <w:rPr>
          <w:rFonts w:eastAsia="Times New Roman"/>
          <w:szCs w:val="20"/>
        </w:rPr>
      </w:pPr>
    </w:p>
    <w:p w14:paraId="4D5CF907" w14:textId="77777777" w:rsidR="008B4015" w:rsidRPr="0055068C" w:rsidRDefault="008B4015" w:rsidP="008B4015">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02CA6760" w14:textId="77777777" w:rsidR="008B4015" w:rsidRPr="0055068C" w:rsidRDefault="008B4015" w:rsidP="008B4015">
      <w:pPr>
        <w:rPr>
          <w:rFonts w:eastAsia="Times New Roman"/>
          <w:szCs w:val="20"/>
        </w:rPr>
      </w:pPr>
    </w:p>
    <w:p w14:paraId="29EC7B95" w14:textId="77777777" w:rsidR="008B4015" w:rsidRPr="0055068C" w:rsidRDefault="008B4015" w:rsidP="00CF34D3">
      <w:pPr>
        <w:numPr>
          <w:ilvl w:val="0"/>
          <w:numId w:val="5"/>
        </w:numPr>
        <w:contextualSpacing/>
        <w:rPr>
          <w:rFonts w:cs="Arial"/>
        </w:rPr>
      </w:pPr>
      <w:r w:rsidRPr="0055068C">
        <w:rPr>
          <w:rFonts w:cs="Arial"/>
        </w:rPr>
        <w:t xml:space="preserve">Community Plan – published every 10-15 years </w:t>
      </w:r>
    </w:p>
    <w:p w14:paraId="704DD553" w14:textId="77777777" w:rsidR="008B4015" w:rsidRPr="0055068C" w:rsidRDefault="008B4015" w:rsidP="00CF34D3">
      <w:pPr>
        <w:numPr>
          <w:ilvl w:val="0"/>
          <w:numId w:val="5"/>
        </w:numPr>
        <w:contextualSpacing/>
        <w:rPr>
          <w:rFonts w:cs="Arial"/>
        </w:rPr>
      </w:pPr>
      <w:r w:rsidRPr="0055068C">
        <w:rPr>
          <w:rFonts w:cs="Arial"/>
        </w:rPr>
        <w:t>Corporate Plan – published every 4 years (Corporate Plan Towards 2024 in operation)</w:t>
      </w:r>
    </w:p>
    <w:p w14:paraId="74FDCBF5" w14:textId="77777777" w:rsidR="008B4015" w:rsidRPr="0055068C" w:rsidRDefault="008B4015" w:rsidP="00CF34D3">
      <w:pPr>
        <w:numPr>
          <w:ilvl w:val="0"/>
          <w:numId w:val="5"/>
        </w:numPr>
        <w:contextualSpacing/>
        <w:rPr>
          <w:rFonts w:cs="Arial"/>
        </w:rPr>
      </w:pPr>
      <w:r w:rsidRPr="0055068C">
        <w:rPr>
          <w:rFonts w:cs="Arial"/>
        </w:rPr>
        <w:t>Performance Improvement Plan (PIP) – published annually (for publication 30 September 2022)</w:t>
      </w:r>
    </w:p>
    <w:p w14:paraId="47866B1E" w14:textId="77777777" w:rsidR="008B4015" w:rsidRPr="0055068C" w:rsidRDefault="008B4015" w:rsidP="00CF34D3">
      <w:pPr>
        <w:numPr>
          <w:ilvl w:val="0"/>
          <w:numId w:val="5"/>
        </w:numPr>
        <w:contextualSpacing/>
        <w:rPr>
          <w:rFonts w:cs="Arial"/>
        </w:rPr>
      </w:pPr>
      <w:r w:rsidRPr="0055068C">
        <w:rPr>
          <w:rFonts w:cs="Arial"/>
        </w:rPr>
        <w:t>Service Plan – developed annually (approved April/May 2022)</w:t>
      </w:r>
    </w:p>
    <w:p w14:paraId="0AC83425" w14:textId="77777777" w:rsidR="008B4015" w:rsidRPr="0055068C" w:rsidRDefault="008B4015" w:rsidP="008B4015">
      <w:pPr>
        <w:rPr>
          <w:rFonts w:eastAsia="Times New Roman"/>
          <w:szCs w:val="20"/>
        </w:rPr>
      </w:pPr>
    </w:p>
    <w:p w14:paraId="3D85258A" w14:textId="77777777" w:rsidR="008B4015" w:rsidRPr="0055068C" w:rsidRDefault="008B4015" w:rsidP="008B4015">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37FDFE84" w14:textId="77777777" w:rsidR="008B4015" w:rsidRPr="0055068C" w:rsidRDefault="008B4015" w:rsidP="008B4015">
      <w:pPr>
        <w:rPr>
          <w:rFonts w:eastAsia="Times New Roman"/>
          <w:b/>
          <w:szCs w:val="20"/>
        </w:rPr>
      </w:pPr>
    </w:p>
    <w:p w14:paraId="2619F090" w14:textId="77777777" w:rsidR="008B4015" w:rsidRPr="0055068C" w:rsidRDefault="008B4015" w:rsidP="008B4015">
      <w:pPr>
        <w:rPr>
          <w:rFonts w:eastAsia="Times New Roman"/>
          <w:b/>
          <w:szCs w:val="20"/>
        </w:rPr>
      </w:pPr>
      <w:r w:rsidRPr="0055068C">
        <w:rPr>
          <w:rFonts w:eastAsia="Times New Roman"/>
          <w:b/>
          <w:szCs w:val="20"/>
        </w:rPr>
        <w:t>Reporting approach</w:t>
      </w:r>
    </w:p>
    <w:p w14:paraId="4C2E7949" w14:textId="77777777" w:rsidR="008B4015" w:rsidRPr="0055068C" w:rsidRDefault="008B4015" w:rsidP="008B4015">
      <w:pPr>
        <w:rPr>
          <w:rFonts w:eastAsia="Times New Roman"/>
          <w:szCs w:val="20"/>
        </w:rPr>
      </w:pPr>
    </w:p>
    <w:p w14:paraId="2DEFCF78" w14:textId="77777777" w:rsidR="008B4015" w:rsidRPr="0055068C" w:rsidRDefault="008B4015" w:rsidP="008B4015">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63F70249" w14:textId="77777777" w:rsidR="008B4015" w:rsidRPr="0055068C" w:rsidRDefault="008B4015" w:rsidP="008B4015">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2F41DE10" w14:textId="77777777" w:rsidTr="00E54D0A">
        <w:tc>
          <w:tcPr>
            <w:tcW w:w="2122" w:type="dxa"/>
            <w:shd w:val="clear" w:color="auto" w:fill="BDD6EE"/>
          </w:tcPr>
          <w:p w14:paraId="161FA69B" w14:textId="77777777" w:rsidR="008B4015" w:rsidRPr="0055068C" w:rsidRDefault="008B4015" w:rsidP="00E54D0A">
            <w:pPr>
              <w:rPr>
                <w:rFonts w:eastAsia="Times New Roman"/>
                <w:b/>
                <w:szCs w:val="20"/>
              </w:rPr>
            </w:pPr>
            <w:r w:rsidRPr="0055068C">
              <w:rPr>
                <w:rFonts w:eastAsia="Times New Roman"/>
                <w:b/>
                <w:szCs w:val="20"/>
              </w:rPr>
              <w:t>Reference</w:t>
            </w:r>
          </w:p>
        </w:tc>
        <w:tc>
          <w:tcPr>
            <w:tcW w:w="3118" w:type="dxa"/>
            <w:shd w:val="clear" w:color="auto" w:fill="BDD6EE"/>
          </w:tcPr>
          <w:p w14:paraId="574733FE" w14:textId="77777777" w:rsidR="008B4015" w:rsidRPr="0055068C" w:rsidRDefault="008B4015" w:rsidP="00E54D0A">
            <w:pPr>
              <w:rPr>
                <w:rFonts w:eastAsia="Times New Roman"/>
                <w:b/>
                <w:szCs w:val="20"/>
              </w:rPr>
            </w:pPr>
            <w:r w:rsidRPr="0055068C">
              <w:rPr>
                <w:rFonts w:eastAsia="Times New Roman"/>
                <w:b/>
                <w:szCs w:val="20"/>
              </w:rPr>
              <w:t>Period</w:t>
            </w:r>
          </w:p>
        </w:tc>
        <w:tc>
          <w:tcPr>
            <w:tcW w:w="3776" w:type="dxa"/>
            <w:shd w:val="clear" w:color="auto" w:fill="BDD6EE"/>
          </w:tcPr>
          <w:p w14:paraId="61A26D24" w14:textId="77777777" w:rsidR="008B4015" w:rsidRPr="0055068C" w:rsidRDefault="008B4015" w:rsidP="00E54D0A">
            <w:pPr>
              <w:rPr>
                <w:rFonts w:eastAsia="Times New Roman"/>
                <w:b/>
                <w:szCs w:val="20"/>
              </w:rPr>
            </w:pPr>
            <w:r w:rsidRPr="0055068C">
              <w:rPr>
                <w:rFonts w:eastAsia="Times New Roman"/>
                <w:b/>
                <w:szCs w:val="20"/>
              </w:rPr>
              <w:t>Reporting Month</w:t>
            </w:r>
          </w:p>
        </w:tc>
      </w:tr>
      <w:tr w:rsidR="008B4015" w:rsidRPr="0055068C" w14:paraId="4D5A1ECF" w14:textId="77777777" w:rsidTr="00E54D0A">
        <w:tc>
          <w:tcPr>
            <w:tcW w:w="2122" w:type="dxa"/>
          </w:tcPr>
          <w:p w14:paraId="0CF0D971" w14:textId="77777777" w:rsidR="008B4015" w:rsidRPr="0055068C" w:rsidRDefault="008B4015" w:rsidP="00E54D0A">
            <w:pPr>
              <w:rPr>
                <w:rFonts w:eastAsia="Times New Roman"/>
                <w:szCs w:val="20"/>
              </w:rPr>
            </w:pPr>
            <w:r w:rsidRPr="0055068C">
              <w:rPr>
                <w:rFonts w:eastAsia="Times New Roman"/>
                <w:szCs w:val="20"/>
              </w:rPr>
              <w:t>Quarter 1 (Q1)</w:t>
            </w:r>
          </w:p>
        </w:tc>
        <w:tc>
          <w:tcPr>
            <w:tcW w:w="3118" w:type="dxa"/>
          </w:tcPr>
          <w:p w14:paraId="0ED27E6C" w14:textId="77777777" w:rsidR="008B4015" w:rsidRPr="0055068C" w:rsidRDefault="008B4015" w:rsidP="00E54D0A">
            <w:pPr>
              <w:rPr>
                <w:rFonts w:eastAsia="Times New Roman"/>
                <w:szCs w:val="20"/>
              </w:rPr>
            </w:pPr>
            <w:r w:rsidRPr="0055068C">
              <w:rPr>
                <w:rFonts w:eastAsia="Times New Roman"/>
                <w:szCs w:val="20"/>
              </w:rPr>
              <w:t>April – June</w:t>
            </w:r>
          </w:p>
        </w:tc>
        <w:tc>
          <w:tcPr>
            <w:tcW w:w="3776" w:type="dxa"/>
          </w:tcPr>
          <w:p w14:paraId="3C48BBD1" w14:textId="77777777" w:rsidR="008B4015" w:rsidRPr="0055068C" w:rsidRDefault="008B4015" w:rsidP="00E54D0A">
            <w:pPr>
              <w:rPr>
                <w:rFonts w:eastAsia="Times New Roman"/>
                <w:szCs w:val="20"/>
              </w:rPr>
            </w:pPr>
            <w:r w:rsidRPr="0055068C">
              <w:rPr>
                <w:rFonts w:eastAsia="Times New Roman"/>
                <w:szCs w:val="20"/>
              </w:rPr>
              <w:t>September</w:t>
            </w:r>
          </w:p>
        </w:tc>
      </w:tr>
      <w:tr w:rsidR="008B4015" w:rsidRPr="0055068C" w14:paraId="081672A5" w14:textId="77777777" w:rsidTr="00E54D0A">
        <w:tc>
          <w:tcPr>
            <w:tcW w:w="2122" w:type="dxa"/>
          </w:tcPr>
          <w:p w14:paraId="155CDBE5" w14:textId="77777777" w:rsidR="008B4015" w:rsidRPr="0055068C" w:rsidRDefault="008B4015" w:rsidP="00E54D0A">
            <w:pPr>
              <w:rPr>
                <w:rFonts w:eastAsia="Times New Roman"/>
                <w:szCs w:val="20"/>
              </w:rPr>
            </w:pPr>
            <w:r w:rsidRPr="0055068C">
              <w:rPr>
                <w:rFonts w:eastAsia="Times New Roman"/>
                <w:szCs w:val="20"/>
              </w:rPr>
              <w:t>Q2</w:t>
            </w:r>
          </w:p>
        </w:tc>
        <w:tc>
          <w:tcPr>
            <w:tcW w:w="3118" w:type="dxa"/>
          </w:tcPr>
          <w:p w14:paraId="266C9ADD" w14:textId="77777777" w:rsidR="008B4015" w:rsidRPr="0055068C" w:rsidRDefault="008B4015" w:rsidP="00E54D0A">
            <w:pPr>
              <w:rPr>
                <w:rFonts w:eastAsia="Times New Roman"/>
                <w:szCs w:val="20"/>
              </w:rPr>
            </w:pPr>
            <w:r w:rsidRPr="0055068C">
              <w:rPr>
                <w:rFonts w:eastAsia="Times New Roman"/>
                <w:szCs w:val="20"/>
              </w:rPr>
              <w:t>July – September</w:t>
            </w:r>
          </w:p>
        </w:tc>
        <w:tc>
          <w:tcPr>
            <w:tcW w:w="3776" w:type="dxa"/>
          </w:tcPr>
          <w:p w14:paraId="2F7DCC61" w14:textId="77777777" w:rsidR="008B4015" w:rsidRPr="0055068C" w:rsidRDefault="008B4015" w:rsidP="00E54D0A">
            <w:pPr>
              <w:rPr>
                <w:rFonts w:eastAsia="Times New Roman"/>
                <w:szCs w:val="20"/>
              </w:rPr>
            </w:pPr>
            <w:r w:rsidRPr="0055068C">
              <w:rPr>
                <w:rFonts w:eastAsia="Times New Roman"/>
                <w:szCs w:val="20"/>
              </w:rPr>
              <w:t>December</w:t>
            </w:r>
          </w:p>
        </w:tc>
      </w:tr>
      <w:tr w:rsidR="008B4015" w:rsidRPr="0055068C" w14:paraId="480772EC" w14:textId="77777777" w:rsidTr="00E54D0A">
        <w:tc>
          <w:tcPr>
            <w:tcW w:w="2122" w:type="dxa"/>
          </w:tcPr>
          <w:p w14:paraId="6038C967" w14:textId="77777777" w:rsidR="008B4015" w:rsidRPr="0055068C" w:rsidRDefault="008B4015" w:rsidP="00E54D0A">
            <w:pPr>
              <w:rPr>
                <w:rFonts w:eastAsia="Times New Roman"/>
                <w:szCs w:val="20"/>
              </w:rPr>
            </w:pPr>
            <w:r w:rsidRPr="0055068C">
              <w:rPr>
                <w:rFonts w:eastAsia="Times New Roman"/>
                <w:szCs w:val="20"/>
              </w:rPr>
              <w:t>Q3</w:t>
            </w:r>
          </w:p>
        </w:tc>
        <w:tc>
          <w:tcPr>
            <w:tcW w:w="3118" w:type="dxa"/>
          </w:tcPr>
          <w:p w14:paraId="7D936DB9" w14:textId="77777777" w:rsidR="008B4015" w:rsidRPr="0055068C" w:rsidRDefault="008B4015" w:rsidP="00E54D0A">
            <w:pPr>
              <w:rPr>
                <w:rFonts w:eastAsia="Times New Roman"/>
                <w:szCs w:val="20"/>
              </w:rPr>
            </w:pPr>
            <w:r w:rsidRPr="0055068C">
              <w:rPr>
                <w:rFonts w:eastAsia="Times New Roman"/>
                <w:szCs w:val="20"/>
              </w:rPr>
              <w:t>October – December</w:t>
            </w:r>
          </w:p>
        </w:tc>
        <w:tc>
          <w:tcPr>
            <w:tcW w:w="3776" w:type="dxa"/>
          </w:tcPr>
          <w:p w14:paraId="1BE55556" w14:textId="77777777" w:rsidR="008B4015" w:rsidRPr="0055068C" w:rsidRDefault="008B4015" w:rsidP="00E54D0A">
            <w:pPr>
              <w:rPr>
                <w:rFonts w:eastAsia="Times New Roman"/>
                <w:szCs w:val="20"/>
              </w:rPr>
            </w:pPr>
            <w:r w:rsidRPr="0055068C">
              <w:rPr>
                <w:rFonts w:eastAsia="Times New Roman"/>
                <w:szCs w:val="20"/>
              </w:rPr>
              <w:t>March</w:t>
            </w:r>
          </w:p>
        </w:tc>
      </w:tr>
      <w:tr w:rsidR="008B4015" w:rsidRPr="0055068C" w14:paraId="5A623C4D" w14:textId="77777777" w:rsidTr="00E54D0A">
        <w:tc>
          <w:tcPr>
            <w:tcW w:w="2122" w:type="dxa"/>
          </w:tcPr>
          <w:p w14:paraId="60D0A7CA" w14:textId="77777777" w:rsidR="008B4015" w:rsidRPr="0055068C" w:rsidRDefault="008B4015" w:rsidP="00E54D0A">
            <w:pPr>
              <w:rPr>
                <w:rFonts w:eastAsia="Times New Roman"/>
                <w:szCs w:val="20"/>
              </w:rPr>
            </w:pPr>
            <w:r w:rsidRPr="0055068C">
              <w:rPr>
                <w:rFonts w:eastAsia="Times New Roman"/>
                <w:szCs w:val="20"/>
              </w:rPr>
              <w:t>Q4</w:t>
            </w:r>
          </w:p>
        </w:tc>
        <w:tc>
          <w:tcPr>
            <w:tcW w:w="3118" w:type="dxa"/>
          </w:tcPr>
          <w:p w14:paraId="3FC1EB57" w14:textId="77777777" w:rsidR="008B4015" w:rsidRPr="0055068C" w:rsidRDefault="008B4015" w:rsidP="00E54D0A">
            <w:pPr>
              <w:rPr>
                <w:rFonts w:eastAsia="Times New Roman"/>
                <w:szCs w:val="20"/>
              </w:rPr>
            </w:pPr>
            <w:r w:rsidRPr="0055068C">
              <w:rPr>
                <w:rFonts w:eastAsia="Times New Roman"/>
                <w:szCs w:val="20"/>
              </w:rPr>
              <w:t>January - March</w:t>
            </w:r>
          </w:p>
        </w:tc>
        <w:tc>
          <w:tcPr>
            <w:tcW w:w="3776" w:type="dxa"/>
          </w:tcPr>
          <w:p w14:paraId="0D6E4538" w14:textId="77777777" w:rsidR="008B4015" w:rsidRPr="0055068C" w:rsidRDefault="008B4015" w:rsidP="00E54D0A">
            <w:pPr>
              <w:rPr>
                <w:rFonts w:eastAsia="Times New Roman"/>
                <w:szCs w:val="20"/>
              </w:rPr>
            </w:pPr>
            <w:r w:rsidRPr="0055068C">
              <w:rPr>
                <w:rFonts w:eastAsia="Times New Roman"/>
                <w:szCs w:val="20"/>
              </w:rPr>
              <w:t>June</w:t>
            </w:r>
          </w:p>
        </w:tc>
      </w:tr>
    </w:tbl>
    <w:p w14:paraId="05B03057" w14:textId="77777777" w:rsidR="008B4015" w:rsidRPr="0055068C" w:rsidRDefault="008B4015" w:rsidP="008B4015">
      <w:pPr>
        <w:rPr>
          <w:rFonts w:eastAsia="Times New Roman"/>
          <w:szCs w:val="20"/>
        </w:rPr>
      </w:pPr>
    </w:p>
    <w:p w14:paraId="533B2F54" w14:textId="659CA8EC" w:rsidR="008B4015" w:rsidRDefault="008B4015" w:rsidP="008B4015">
      <w:pPr>
        <w:rPr>
          <w:rFonts w:eastAsia="Times New Roman" w:cs="Arial"/>
          <w:szCs w:val="24"/>
        </w:rPr>
      </w:pPr>
      <w:r w:rsidRPr="0055068C">
        <w:rPr>
          <w:rFonts w:eastAsia="Times New Roman" w:cs="Arial"/>
          <w:szCs w:val="24"/>
        </w:rPr>
        <w:t xml:space="preserve">The report for Quarter </w:t>
      </w:r>
      <w:r w:rsidR="00760C64">
        <w:rPr>
          <w:rFonts w:eastAsia="Times New Roman" w:cs="Arial"/>
          <w:szCs w:val="24"/>
        </w:rPr>
        <w:t>4</w:t>
      </w:r>
      <w:r w:rsidRPr="0055068C">
        <w:rPr>
          <w:rFonts w:eastAsia="Times New Roman" w:cs="Arial"/>
          <w:szCs w:val="24"/>
        </w:rPr>
        <w:t xml:space="preserve"> 2022-23 was attached.</w:t>
      </w:r>
    </w:p>
    <w:p w14:paraId="53FCFF66" w14:textId="77777777" w:rsidR="00933431" w:rsidRDefault="00933431" w:rsidP="008B4015">
      <w:pPr>
        <w:rPr>
          <w:rFonts w:eastAsia="Times New Roman" w:cs="Arial"/>
          <w:szCs w:val="24"/>
        </w:rPr>
      </w:pPr>
    </w:p>
    <w:p w14:paraId="032EEA64" w14:textId="77777777" w:rsidR="00933431" w:rsidRPr="00933431" w:rsidRDefault="00933431" w:rsidP="00933431">
      <w:pPr>
        <w:rPr>
          <w:rFonts w:eastAsia="Times New Roman" w:cs="Arial"/>
          <w:b/>
          <w:iCs/>
          <w:szCs w:val="20"/>
        </w:rPr>
      </w:pPr>
      <w:r w:rsidRPr="00933431">
        <w:rPr>
          <w:rFonts w:eastAsia="Times New Roman" w:cs="Arial"/>
          <w:b/>
          <w:iCs/>
          <w:szCs w:val="20"/>
        </w:rPr>
        <w:t>Key points to note:</w:t>
      </w:r>
    </w:p>
    <w:p w14:paraId="39E2C104" w14:textId="77777777" w:rsidR="00933431" w:rsidRPr="00933431" w:rsidRDefault="00933431" w:rsidP="00933431">
      <w:pPr>
        <w:rPr>
          <w:rFonts w:eastAsia="Times New Roman" w:cs="Arial"/>
          <w:szCs w:val="20"/>
        </w:rPr>
      </w:pPr>
    </w:p>
    <w:p w14:paraId="4B138342" w14:textId="77777777" w:rsidR="00933431" w:rsidRPr="00933431" w:rsidRDefault="00933431" w:rsidP="00933431">
      <w:pPr>
        <w:numPr>
          <w:ilvl w:val="0"/>
          <w:numId w:val="21"/>
        </w:numPr>
        <w:contextualSpacing/>
        <w:rPr>
          <w:rFonts w:cs="Arial"/>
          <w:szCs w:val="24"/>
        </w:rPr>
      </w:pPr>
      <w:r w:rsidRPr="00933431">
        <w:rPr>
          <w:rFonts w:cs="Arial"/>
          <w:szCs w:val="24"/>
        </w:rPr>
        <w:t xml:space="preserve">We continued to be unable to recruit to the post of Multi-Media Technician – a key role in the delivery of the service’s technical support duties.  Alternative options e.g., recruitment of a student/apprentice were being considered.     </w:t>
      </w:r>
    </w:p>
    <w:p w14:paraId="469F4C6C" w14:textId="77777777" w:rsidR="00933431" w:rsidRPr="00933431" w:rsidRDefault="00933431" w:rsidP="00933431">
      <w:pPr>
        <w:numPr>
          <w:ilvl w:val="0"/>
          <w:numId w:val="21"/>
        </w:numPr>
        <w:contextualSpacing/>
        <w:rPr>
          <w:rFonts w:ascii="Calibri" w:hAnsi="Calibri" w:cs="Arial"/>
        </w:rPr>
      </w:pPr>
      <w:r w:rsidRPr="00933431">
        <w:rPr>
          <w:rFonts w:cs="Arial"/>
          <w:szCs w:val="24"/>
        </w:rPr>
        <w:t xml:space="preserve">The development of a new .gov.uk website remained a priority, but progress had been slowed due to staff shortages in a number of service areas that were key to delivery.  This KPI had been rolled into the 2023-24 financial year for delivery in Q2.    </w:t>
      </w:r>
    </w:p>
    <w:p w14:paraId="6843B614" w14:textId="77777777" w:rsidR="00933431" w:rsidRPr="00933431" w:rsidRDefault="00933431" w:rsidP="00933431">
      <w:pPr>
        <w:ind w:left="360"/>
        <w:contextualSpacing/>
        <w:rPr>
          <w:rFonts w:ascii="Calibri" w:hAnsi="Calibri" w:cs="Arial"/>
        </w:rPr>
      </w:pPr>
    </w:p>
    <w:p w14:paraId="08AD1E39" w14:textId="77777777" w:rsidR="00933431" w:rsidRPr="00933431" w:rsidRDefault="00933431" w:rsidP="00933431">
      <w:pPr>
        <w:rPr>
          <w:rFonts w:eastAsia="Times New Roman" w:cs="Arial"/>
          <w:b/>
          <w:szCs w:val="20"/>
        </w:rPr>
      </w:pPr>
      <w:r w:rsidRPr="00933431">
        <w:rPr>
          <w:rFonts w:eastAsia="Times New Roman" w:cs="Arial"/>
          <w:b/>
          <w:szCs w:val="20"/>
        </w:rPr>
        <w:lastRenderedPageBreak/>
        <w:t>Key achievements:</w:t>
      </w:r>
    </w:p>
    <w:p w14:paraId="746D14F8" w14:textId="77777777" w:rsidR="00933431" w:rsidRPr="00933431" w:rsidRDefault="00933431" w:rsidP="00933431">
      <w:pPr>
        <w:rPr>
          <w:rFonts w:eastAsia="Times New Roman" w:cs="Arial"/>
          <w:szCs w:val="20"/>
        </w:rPr>
      </w:pPr>
    </w:p>
    <w:p w14:paraId="17CA6B01" w14:textId="77777777" w:rsidR="00933431" w:rsidRPr="00933431" w:rsidRDefault="00933431" w:rsidP="00933431">
      <w:pPr>
        <w:numPr>
          <w:ilvl w:val="0"/>
          <w:numId w:val="21"/>
        </w:numPr>
        <w:contextualSpacing/>
        <w:rPr>
          <w:rFonts w:cs="Arial"/>
          <w:szCs w:val="24"/>
        </w:rPr>
      </w:pPr>
      <w:r w:rsidRPr="00933431">
        <w:rPr>
          <w:rFonts w:cs="Arial"/>
          <w:szCs w:val="24"/>
        </w:rPr>
        <w:t xml:space="preserve">Delivery of six Chief-Executive-led Roadshows on a range of dates and in different formats to facilitate as many employees as possible to attend.  These were held to explore themes from the Council’s recent IIP report and to give employees across the organisation an opportunity to feed back to management on several key issues including agile working, recognition, and line manager communication.  The Council’s People Plan (staff engagement and development) will be produced to help address the points raised.  In feedback received, 95% of those who attended found the sessions useful and informative.        </w:t>
      </w:r>
    </w:p>
    <w:p w14:paraId="4B77B10C" w14:textId="77777777" w:rsidR="00933431" w:rsidRPr="00933431" w:rsidRDefault="00933431" w:rsidP="00933431">
      <w:pPr>
        <w:numPr>
          <w:ilvl w:val="0"/>
          <w:numId w:val="21"/>
        </w:numPr>
        <w:contextualSpacing/>
        <w:rPr>
          <w:rFonts w:cs="Arial"/>
          <w:szCs w:val="24"/>
        </w:rPr>
      </w:pPr>
      <w:r w:rsidRPr="00933431">
        <w:rPr>
          <w:rFonts w:cs="Arial"/>
          <w:szCs w:val="24"/>
        </w:rPr>
        <w:t xml:space="preserve">Production of the Borough Magazine (distributed to all households and businesses) in March.  This provided residents with updates on several key initiatives including the TASTE AND Food Awards, the new NI Planning Portal, progress on our recycling targets and the positive impacts of the Rural Development Programme across the Borough.  </w:t>
      </w:r>
    </w:p>
    <w:p w14:paraId="49CFEF3A" w14:textId="77777777" w:rsidR="00933431" w:rsidRPr="00933431" w:rsidRDefault="00933431" w:rsidP="00933431">
      <w:pPr>
        <w:numPr>
          <w:ilvl w:val="0"/>
          <w:numId w:val="21"/>
        </w:numPr>
        <w:spacing w:after="160" w:line="259" w:lineRule="auto"/>
        <w:contextualSpacing/>
        <w:rPr>
          <w:rFonts w:cs="Arial"/>
          <w:szCs w:val="24"/>
        </w:rPr>
      </w:pPr>
      <w:r w:rsidRPr="00933431">
        <w:rPr>
          <w:rFonts w:cs="Arial"/>
          <w:szCs w:val="24"/>
        </w:rPr>
        <w:t xml:space="preserve">Ongoing programme of communications (PR/ graphic design/ technical event support/ social media content) work to promote a range of Council initiatives including the Ards International Guitar Festival, Sports Awards, Levelling Up Funding Announcements, Community Orchards, In Bloom Campaign, Prevent the Cough (air pollution) campaign and consultation opportunities.  </w:t>
      </w:r>
    </w:p>
    <w:p w14:paraId="4919640E" w14:textId="77777777" w:rsidR="00933431" w:rsidRPr="00933431" w:rsidRDefault="00933431" w:rsidP="00933431">
      <w:pPr>
        <w:numPr>
          <w:ilvl w:val="0"/>
          <w:numId w:val="21"/>
        </w:numPr>
        <w:spacing w:after="160" w:line="259" w:lineRule="auto"/>
        <w:contextualSpacing/>
        <w:rPr>
          <w:rFonts w:cs="Arial"/>
          <w:szCs w:val="24"/>
        </w:rPr>
      </w:pPr>
      <w:r w:rsidRPr="00933431">
        <w:rPr>
          <w:rFonts w:cs="Arial"/>
          <w:szCs w:val="24"/>
        </w:rPr>
        <w:t xml:space="preserve">A ‘Let’s Support Local’ Campaign ran throughout March 2023 across digital and traditional media channels.  Given the challenges associated with the cost-of-living crisis, the campaign messaging focussed on value for money and actively promoted 74 offers from businesses in a range of industries and across the Borough with very strong engagement from businesses and chambers of commerce during the campaign. </w:t>
      </w:r>
    </w:p>
    <w:p w14:paraId="6E203AB6" w14:textId="77777777" w:rsidR="00933431" w:rsidRPr="00933431" w:rsidRDefault="00933431" w:rsidP="00933431">
      <w:pPr>
        <w:numPr>
          <w:ilvl w:val="0"/>
          <w:numId w:val="21"/>
        </w:numPr>
        <w:spacing w:after="160" w:line="259" w:lineRule="auto"/>
        <w:contextualSpacing/>
        <w:rPr>
          <w:rFonts w:cs="Arial"/>
          <w:szCs w:val="24"/>
        </w:rPr>
      </w:pPr>
      <w:r w:rsidRPr="00933431">
        <w:rPr>
          <w:rFonts w:cs="Arial"/>
          <w:szCs w:val="24"/>
        </w:rPr>
        <w:t>Production of Ards and North Down content for the Belfast Region brochure (Renewed Ambition Programme).  Development of sector-specific business case studies for publication in Q1 23-24.</w:t>
      </w:r>
    </w:p>
    <w:p w14:paraId="657938D9" w14:textId="77777777" w:rsidR="00933431" w:rsidRPr="00933431" w:rsidRDefault="00933431" w:rsidP="00933431">
      <w:pPr>
        <w:numPr>
          <w:ilvl w:val="0"/>
          <w:numId w:val="21"/>
        </w:numPr>
        <w:spacing w:after="160" w:line="259" w:lineRule="auto"/>
        <w:contextualSpacing/>
        <w:rPr>
          <w:rFonts w:cs="Arial"/>
          <w:szCs w:val="24"/>
        </w:rPr>
      </w:pPr>
      <w:r w:rsidRPr="00933431">
        <w:rPr>
          <w:rFonts w:cs="Arial"/>
          <w:szCs w:val="24"/>
        </w:rPr>
        <w:t xml:space="preserve">Announcement of the Contract for Funding for Bangor Waterfront and launch of a new e-zine for stakeholders interested in the redevelopment scheme.  </w:t>
      </w:r>
    </w:p>
    <w:p w14:paraId="7686C9DA" w14:textId="77777777" w:rsidR="00933431" w:rsidRPr="00933431" w:rsidRDefault="00933431" w:rsidP="00933431">
      <w:pPr>
        <w:rPr>
          <w:rFonts w:eastAsia="Times New Roman" w:cs="Arial"/>
          <w:b/>
          <w:szCs w:val="20"/>
        </w:rPr>
      </w:pPr>
    </w:p>
    <w:p w14:paraId="2BFA950D" w14:textId="77777777" w:rsidR="00933431" w:rsidRPr="00933431" w:rsidRDefault="00933431" w:rsidP="00933431">
      <w:pPr>
        <w:rPr>
          <w:rFonts w:eastAsia="Times New Roman" w:cs="Arial"/>
          <w:b/>
          <w:szCs w:val="20"/>
        </w:rPr>
      </w:pPr>
      <w:r w:rsidRPr="00933431">
        <w:rPr>
          <w:rFonts w:eastAsia="Times New Roman" w:cs="Arial"/>
          <w:b/>
          <w:szCs w:val="20"/>
        </w:rPr>
        <w:t>Emerging issues:</w:t>
      </w:r>
    </w:p>
    <w:p w14:paraId="4734DA15" w14:textId="77777777" w:rsidR="00933431" w:rsidRPr="00933431" w:rsidRDefault="00933431" w:rsidP="00933431">
      <w:pPr>
        <w:rPr>
          <w:rFonts w:eastAsia="Times New Roman" w:cs="Arial"/>
          <w:szCs w:val="20"/>
        </w:rPr>
      </w:pPr>
    </w:p>
    <w:p w14:paraId="519F209C" w14:textId="77777777" w:rsidR="00933431" w:rsidRPr="00933431" w:rsidRDefault="00933431" w:rsidP="00933431">
      <w:pPr>
        <w:numPr>
          <w:ilvl w:val="0"/>
          <w:numId w:val="21"/>
        </w:numPr>
        <w:contextualSpacing/>
        <w:rPr>
          <w:rFonts w:cs="Arial"/>
          <w:szCs w:val="24"/>
        </w:rPr>
      </w:pPr>
      <w:r w:rsidRPr="00933431">
        <w:rPr>
          <w:rFonts w:cs="Arial"/>
          <w:szCs w:val="24"/>
        </w:rPr>
        <w:t>Based on feedback from the Investors in People report, staff satisfaction with the Council as a ‘great place to work’ and in terms of engagement was slightly below KPI targets.  This had been discussed with the IIP Assessor and was typical of responses across the sector following on from the disruption caused by the Covid-19 pandemic and challenges to the way in which we had been working.  The recent Chief Executive-led Roadshows had provided an opportunity to discuss this in more detail and the development and implementation of a new ‘Agile Working Policy’ (Q2 – 23/24) would go some way to address this.</w:t>
      </w:r>
    </w:p>
    <w:p w14:paraId="60B2D75D" w14:textId="77777777" w:rsidR="00933431" w:rsidRPr="00933431" w:rsidRDefault="00933431" w:rsidP="00933431">
      <w:pPr>
        <w:numPr>
          <w:ilvl w:val="0"/>
          <w:numId w:val="21"/>
        </w:numPr>
        <w:contextualSpacing/>
        <w:rPr>
          <w:rFonts w:cs="Arial"/>
          <w:szCs w:val="24"/>
        </w:rPr>
      </w:pPr>
      <w:r w:rsidRPr="00933431">
        <w:rPr>
          <w:rFonts w:cs="Arial"/>
          <w:szCs w:val="24"/>
        </w:rPr>
        <w:t xml:space="preserve">Work was ongoing on the development of proposals for new and more innovative way to engage and consult, including the procurement of a digital consultation platform.  </w:t>
      </w:r>
    </w:p>
    <w:p w14:paraId="47FCEAB1" w14:textId="77777777" w:rsidR="00933431" w:rsidRPr="00933431" w:rsidRDefault="00933431" w:rsidP="00933431">
      <w:pPr>
        <w:ind w:left="360"/>
        <w:contextualSpacing/>
        <w:rPr>
          <w:rFonts w:cs="Arial"/>
          <w:szCs w:val="24"/>
        </w:rPr>
      </w:pPr>
    </w:p>
    <w:p w14:paraId="4CC47552" w14:textId="77777777" w:rsidR="00933431" w:rsidRPr="00933431" w:rsidRDefault="00933431" w:rsidP="00933431">
      <w:pPr>
        <w:rPr>
          <w:rFonts w:eastAsia="Times New Roman" w:cs="Arial"/>
          <w:szCs w:val="20"/>
        </w:rPr>
      </w:pPr>
    </w:p>
    <w:p w14:paraId="27D5AFA5" w14:textId="77777777" w:rsidR="00933431" w:rsidRPr="00933431" w:rsidRDefault="00933431" w:rsidP="00933431">
      <w:pPr>
        <w:rPr>
          <w:rFonts w:eastAsia="Times New Roman" w:cs="Arial"/>
          <w:b/>
          <w:szCs w:val="20"/>
        </w:rPr>
      </w:pPr>
      <w:r w:rsidRPr="00933431">
        <w:rPr>
          <w:rFonts w:eastAsia="Times New Roman" w:cs="Arial"/>
          <w:b/>
          <w:szCs w:val="20"/>
        </w:rPr>
        <w:t>Action to be taken:</w:t>
      </w:r>
    </w:p>
    <w:p w14:paraId="4BC01326" w14:textId="77777777" w:rsidR="00933431" w:rsidRPr="00933431" w:rsidRDefault="00933431" w:rsidP="00933431">
      <w:pPr>
        <w:rPr>
          <w:rFonts w:eastAsia="Times New Roman" w:cs="Arial"/>
          <w:szCs w:val="20"/>
        </w:rPr>
      </w:pPr>
    </w:p>
    <w:p w14:paraId="22AB7A37" w14:textId="77777777" w:rsidR="00933431" w:rsidRPr="00933431" w:rsidRDefault="00933431" w:rsidP="00933431">
      <w:pPr>
        <w:numPr>
          <w:ilvl w:val="0"/>
          <w:numId w:val="21"/>
        </w:numPr>
        <w:contextualSpacing/>
        <w:rPr>
          <w:rFonts w:ascii="Calibri" w:hAnsi="Calibri" w:cs="Arial"/>
          <w:sz w:val="22"/>
        </w:rPr>
      </w:pPr>
      <w:r w:rsidRPr="00933431">
        <w:rPr>
          <w:rFonts w:cs="Arial"/>
          <w:szCs w:val="24"/>
        </w:rPr>
        <w:t xml:space="preserve">Communication plans had been agreed for the Council’s Coronation programme and would be implemented throughout April and May.  </w:t>
      </w:r>
    </w:p>
    <w:p w14:paraId="277C488E" w14:textId="77777777" w:rsidR="00933431" w:rsidRPr="00933431" w:rsidRDefault="00933431" w:rsidP="00933431">
      <w:pPr>
        <w:numPr>
          <w:ilvl w:val="0"/>
          <w:numId w:val="21"/>
        </w:numPr>
        <w:contextualSpacing/>
        <w:rPr>
          <w:rFonts w:ascii="Calibri" w:hAnsi="Calibri" w:cs="Arial"/>
          <w:sz w:val="22"/>
        </w:rPr>
      </w:pPr>
      <w:r w:rsidRPr="00933431">
        <w:rPr>
          <w:rFonts w:cs="Arial"/>
          <w:szCs w:val="24"/>
        </w:rPr>
        <w:t xml:space="preserve">Work around media and communications support for the local government election count was being progressed. </w:t>
      </w:r>
    </w:p>
    <w:p w14:paraId="7C32054D" w14:textId="1A29FD37" w:rsidR="00933431" w:rsidRPr="00933431" w:rsidRDefault="00933431" w:rsidP="00F62374">
      <w:pPr>
        <w:numPr>
          <w:ilvl w:val="0"/>
          <w:numId w:val="21"/>
        </w:numPr>
        <w:contextualSpacing/>
        <w:rPr>
          <w:rFonts w:eastAsia="Times New Roman" w:cs="Arial"/>
          <w:szCs w:val="20"/>
        </w:rPr>
      </w:pPr>
      <w:r w:rsidRPr="00933431">
        <w:rPr>
          <w:rFonts w:cs="Arial"/>
          <w:szCs w:val="24"/>
        </w:rPr>
        <w:t xml:space="preserve">Plans were in place for the launch of the Tourism Experiences Programme and ongoing proactive promotion to ensure strong visitor engagement and ticket sales.   </w:t>
      </w:r>
    </w:p>
    <w:p w14:paraId="260242AD" w14:textId="77777777" w:rsidR="00933431" w:rsidRPr="00933431" w:rsidRDefault="00933431" w:rsidP="00933431">
      <w:pPr>
        <w:rPr>
          <w:rFonts w:eastAsia="Times New Roman" w:cs="Arial"/>
          <w:szCs w:val="20"/>
        </w:rPr>
      </w:pPr>
    </w:p>
    <w:p w14:paraId="3FC4A94F" w14:textId="77777777" w:rsidR="00933431" w:rsidRPr="00933431" w:rsidRDefault="00933431" w:rsidP="00933431">
      <w:pPr>
        <w:rPr>
          <w:rFonts w:eastAsia="Times New Roman" w:cs="Arial"/>
          <w:i/>
          <w:iCs/>
          <w:szCs w:val="20"/>
        </w:rPr>
      </w:pPr>
      <w:r w:rsidRPr="00933431">
        <w:rPr>
          <w:rFonts w:eastAsia="Times New Roman" w:cs="Arial"/>
          <w:i/>
          <w:iCs/>
          <w:szCs w:val="20"/>
        </w:rPr>
        <w:t xml:space="preserve">Please note at the time of preparing the report budget data in relation to Q4 was not available.  </w:t>
      </w:r>
    </w:p>
    <w:p w14:paraId="3798F9D8" w14:textId="77777777" w:rsidR="008B4015" w:rsidRPr="00D202B9" w:rsidRDefault="008B4015" w:rsidP="008B4015">
      <w:pPr>
        <w:rPr>
          <w:rFonts w:eastAsia="Times New Roman" w:cs="Arial"/>
          <w:szCs w:val="20"/>
        </w:rPr>
      </w:pPr>
    </w:p>
    <w:p w14:paraId="4CEF7D41" w14:textId="77777777" w:rsidR="008B4015" w:rsidRDefault="008B4015" w:rsidP="008B4015">
      <w:pPr>
        <w:rPr>
          <w:rFonts w:cs="Arial"/>
          <w:b/>
          <w:bCs/>
          <w:caps/>
          <w:szCs w:val="24"/>
          <w:u w:val="single"/>
        </w:rPr>
      </w:pPr>
      <w:r>
        <w:rPr>
          <w:rFonts w:cs="Arial"/>
          <w:b/>
          <w:bCs/>
          <w:caps/>
          <w:szCs w:val="24"/>
        </w:rPr>
        <w:t>C</w:t>
      </w:r>
      <w:r w:rsidRPr="00062D77">
        <w:rPr>
          <w:rFonts w:cs="Arial"/>
          <w:b/>
          <w:bCs/>
          <w:caps/>
          <w:szCs w:val="24"/>
        </w:rPr>
        <w:t>)</w:t>
      </w:r>
      <w:r w:rsidRPr="00062D77">
        <w:rPr>
          <w:rFonts w:cs="Arial"/>
          <w:b/>
          <w:bCs/>
          <w:caps/>
          <w:szCs w:val="24"/>
        </w:rPr>
        <w:tab/>
      </w:r>
      <w:r>
        <w:rPr>
          <w:rFonts w:cs="Arial"/>
          <w:b/>
          <w:bCs/>
          <w:caps/>
          <w:szCs w:val="24"/>
          <w:u w:val="single"/>
        </w:rPr>
        <w:t>FINANCE (FIN76)</w:t>
      </w:r>
    </w:p>
    <w:p w14:paraId="1AA50C98" w14:textId="37A20B79" w:rsidR="008B4015" w:rsidRPr="00D067F9" w:rsidRDefault="008B4015" w:rsidP="008B4015">
      <w:pPr>
        <w:rPr>
          <w:rFonts w:cs="Arial"/>
          <w:caps/>
          <w:szCs w:val="24"/>
        </w:rPr>
      </w:pPr>
      <w:r>
        <w:rPr>
          <w:rFonts w:cs="Arial"/>
          <w:b/>
          <w:bCs/>
          <w:caps/>
          <w:szCs w:val="24"/>
        </w:rPr>
        <w:tab/>
      </w:r>
      <w:r w:rsidRPr="00D067F9">
        <w:rPr>
          <w:rFonts w:cs="Arial"/>
          <w:szCs w:val="24"/>
        </w:rPr>
        <w:t xml:space="preserve">(Appendix </w:t>
      </w:r>
      <w:r>
        <w:rPr>
          <w:rFonts w:cs="Arial"/>
          <w:szCs w:val="24"/>
        </w:rPr>
        <w:t>I</w:t>
      </w:r>
      <w:r w:rsidR="0093319F">
        <w:rPr>
          <w:rFonts w:cs="Arial"/>
          <w:szCs w:val="24"/>
        </w:rPr>
        <w:t>II</w:t>
      </w:r>
      <w:r>
        <w:rPr>
          <w:rFonts w:cs="Arial"/>
          <w:szCs w:val="24"/>
        </w:rPr>
        <w:t>)</w:t>
      </w:r>
    </w:p>
    <w:p w14:paraId="48E0DEDD" w14:textId="77777777" w:rsidR="008B4015" w:rsidRPr="00062D77" w:rsidRDefault="008B4015" w:rsidP="008B4015">
      <w:pPr>
        <w:rPr>
          <w:rFonts w:cs="Arial"/>
          <w:b/>
          <w:bCs/>
          <w:caps/>
          <w:szCs w:val="24"/>
        </w:rPr>
      </w:pPr>
    </w:p>
    <w:p w14:paraId="284F9D39" w14:textId="77777777" w:rsidR="00F95E24" w:rsidRDefault="00F95E24" w:rsidP="00F95E24">
      <w:pPr>
        <w:rPr>
          <w:rFonts w:cs="Arial"/>
          <w:szCs w:val="24"/>
        </w:rPr>
      </w:pPr>
      <w:r w:rsidRPr="004C6B87">
        <w:rPr>
          <w:rFonts w:cs="Arial"/>
          <w:caps/>
          <w:szCs w:val="24"/>
        </w:rPr>
        <w:t>Previously circulated-</w:t>
      </w:r>
      <w:r>
        <w:rPr>
          <w:rFonts w:cs="Arial"/>
          <w:szCs w:val="24"/>
        </w:rPr>
        <w:t xml:space="preserve"> Report from the Director of Corporate Services detailing the undernoted:</w:t>
      </w:r>
    </w:p>
    <w:p w14:paraId="29A79EB7" w14:textId="77777777" w:rsidR="008B4015" w:rsidRDefault="008B4015" w:rsidP="008B4015">
      <w:pPr>
        <w:rPr>
          <w:rFonts w:cs="Arial"/>
          <w:szCs w:val="24"/>
        </w:rPr>
      </w:pPr>
    </w:p>
    <w:p w14:paraId="1E80A355" w14:textId="77777777" w:rsidR="008B4015" w:rsidRPr="0055068C" w:rsidRDefault="008B4015" w:rsidP="008B4015">
      <w:pPr>
        <w:rPr>
          <w:rFonts w:eastAsia="Times New Roman"/>
          <w:b/>
          <w:szCs w:val="20"/>
        </w:rPr>
      </w:pPr>
      <w:r w:rsidRPr="0055068C">
        <w:rPr>
          <w:rFonts w:eastAsia="Times New Roman"/>
          <w:b/>
          <w:szCs w:val="20"/>
        </w:rPr>
        <w:t>Context</w:t>
      </w:r>
    </w:p>
    <w:p w14:paraId="4806A6FB" w14:textId="77777777" w:rsidR="008B4015" w:rsidRPr="0055068C" w:rsidRDefault="008B4015" w:rsidP="008B4015">
      <w:pPr>
        <w:rPr>
          <w:rFonts w:eastAsia="Times New Roman"/>
          <w:szCs w:val="20"/>
        </w:rPr>
      </w:pPr>
    </w:p>
    <w:p w14:paraId="4240C061" w14:textId="77777777" w:rsidR="008B4015" w:rsidRPr="0055068C" w:rsidRDefault="008B4015" w:rsidP="008B4015">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492110DF" w14:textId="77777777" w:rsidR="008B4015" w:rsidRPr="0055068C" w:rsidRDefault="008B4015" w:rsidP="008B4015">
      <w:pPr>
        <w:rPr>
          <w:rFonts w:eastAsia="Times New Roman"/>
          <w:szCs w:val="20"/>
        </w:rPr>
      </w:pPr>
    </w:p>
    <w:p w14:paraId="1491075E" w14:textId="77777777" w:rsidR="008B4015" w:rsidRPr="0055068C" w:rsidRDefault="008B4015" w:rsidP="00CF34D3">
      <w:pPr>
        <w:numPr>
          <w:ilvl w:val="0"/>
          <w:numId w:val="5"/>
        </w:numPr>
        <w:contextualSpacing/>
        <w:rPr>
          <w:rFonts w:cs="Arial"/>
        </w:rPr>
      </w:pPr>
      <w:r w:rsidRPr="0055068C">
        <w:rPr>
          <w:rFonts w:cs="Arial"/>
        </w:rPr>
        <w:t xml:space="preserve">Community Plan – published every 10-15 years </w:t>
      </w:r>
    </w:p>
    <w:p w14:paraId="1AD45826" w14:textId="77777777" w:rsidR="008B4015" w:rsidRPr="0055068C" w:rsidRDefault="008B4015" w:rsidP="00CF34D3">
      <w:pPr>
        <w:numPr>
          <w:ilvl w:val="0"/>
          <w:numId w:val="5"/>
        </w:numPr>
        <w:contextualSpacing/>
        <w:rPr>
          <w:rFonts w:cs="Arial"/>
        </w:rPr>
      </w:pPr>
      <w:r w:rsidRPr="0055068C">
        <w:rPr>
          <w:rFonts w:cs="Arial"/>
        </w:rPr>
        <w:t>Corporate Plan – published every 4 years (Corporate Plan Towards 2024 in operation)</w:t>
      </w:r>
    </w:p>
    <w:p w14:paraId="5F4669B8" w14:textId="77777777" w:rsidR="008B4015" w:rsidRPr="0055068C" w:rsidRDefault="008B4015" w:rsidP="00CF34D3">
      <w:pPr>
        <w:numPr>
          <w:ilvl w:val="0"/>
          <w:numId w:val="5"/>
        </w:numPr>
        <w:contextualSpacing/>
        <w:rPr>
          <w:rFonts w:cs="Arial"/>
        </w:rPr>
      </w:pPr>
      <w:r w:rsidRPr="0055068C">
        <w:rPr>
          <w:rFonts w:cs="Arial"/>
        </w:rPr>
        <w:t>Performance Improvement Plan (PIP) – published annually (for publication 30 September 2022)</w:t>
      </w:r>
    </w:p>
    <w:p w14:paraId="2B528F5D" w14:textId="77777777" w:rsidR="008B4015" w:rsidRPr="0055068C" w:rsidRDefault="008B4015" w:rsidP="00CF34D3">
      <w:pPr>
        <w:numPr>
          <w:ilvl w:val="0"/>
          <w:numId w:val="5"/>
        </w:numPr>
        <w:contextualSpacing/>
        <w:rPr>
          <w:rFonts w:cs="Arial"/>
        </w:rPr>
      </w:pPr>
      <w:r w:rsidRPr="0055068C">
        <w:rPr>
          <w:rFonts w:cs="Arial"/>
        </w:rPr>
        <w:t>Service Plan – developed annually (approved April/May 2022)</w:t>
      </w:r>
    </w:p>
    <w:p w14:paraId="19529C42" w14:textId="77777777" w:rsidR="008B4015" w:rsidRPr="0055068C" w:rsidRDefault="008B4015" w:rsidP="008B4015">
      <w:pPr>
        <w:rPr>
          <w:rFonts w:eastAsia="Times New Roman"/>
          <w:szCs w:val="20"/>
        </w:rPr>
      </w:pPr>
    </w:p>
    <w:p w14:paraId="11414FAB" w14:textId="77777777" w:rsidR="008B4015" w:rsidRPr="0055068C" w:rsidRDefault="008B4015" w:rsidP="008B4015">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119A15BC" w14:textId="77777777" w:rsidR="008B4015" w:rsidRPr="0055068C" w:rsidRDefault="008B4015" w:rsidP="008B4015">
      <w:pPr>
        <w:rPr>
          <w:rFonts w:eastAsia="Times New Roman"/>
          <w:b/>
          <w:szCs w:val="20"/>
        </w:rPr>
      </w:pPr>
    </w:p>
    <w:p w14:paraId="5F409321" w14:textId="77777777" w:rsidR="008B4015" w:rsidRPr="0055068C" w:rsidRDefault="008B4015" w:rsidP="008B4015">
      <w:pPr>
        <w:rPr>
          <w:rFonts w:eastAsia="Times New Roman"/>
          <w:b/>
          <w:szCs w:val="20"/>
        </w:rPr>
      </w:pPr>
      <w:r w:rsidRPr="0055068C">
        <w:rPr>
          <w:rFonts w:eastAsia="Times New Roman"/>
          <w:b/>
          <w:szCs w:val="20"/>
        </w:rPr>
        <w:t>Reporting approach</w:t>
      </w:r>
    </w:p>
    <w:p w14:paraId="4B593DEB" w14:textId="77777777" w:rsidR="008B4015" w:rsidRPr="0055068C" w:rsidRDefault="008B4015" w:rsidP="008B4015">
      <w:pPr>
        <w:rPr>
          <w:rFonts w:eastAsia="Times New Roman"/>
          <w:szCs w:val="20"/>
        </w:rPr>
      </w:pPr>
    </w:p>
    <w:p w14:paraId="39A92D8C" w14:textId="77777777" w:rsidR="008B4015" w:rsidRPr="0055068C" w:rsidRDefault="008B4015" w:rsidP="008B4015">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2A453126" w14:textId="77777777" w:rsidR="008B4015" w:rsidRPr="0055068C" w:rsidRDefault="008B4015" w:rsidP="008B4015">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00F855D0" w14:textId="77777777" w:rsidTr="00E54D0A">
        <w:tc>
          <w:tcPr>
            <w:tcW w:w="2122" w:type="dxa"/>
            <w:shd w:val="clear" w:color="auto" w:fill="BDD6EE"/>
          </w:tcPr>
          <w:p w14:paraId="3B7B37C0" w14:textId="77777777" w:rsidR="008B4015" w:rsidRPr="0055068C" w:rsidRDefault="008B4015" w:rsidP="00E54D0A">
            <w:pPr>
              <w:rPr>
                <w:rFonts w:eastAsia="Times New Roman"/>
                <w:b/>
                <w:szCs w:val="20"/>
              </w:rPr>
            </w:pPr>
            <w:r w:rsidRPr="0055068C">
              <w:rPr>
                <w:rFonts w:eastAsia="Times New Roman"/>
                <w:b/>
                <w:szCs w:val="20"/>
              </w:rPr>
              <w:t>Reference</w:t>
            </w:r>
          </w:p>
        </w:tc>
        <w:tc>
          <w:tcPr>
            <w:tcW w:w="3118" w:type="dxa"/>
            <w:shd w:val="clear" w:color="auto" w:fill="BDD6EE"/>
          </w:tcPr>
          <w:p w14:paraId="01169C64" w14:textId="77777777" w:rsidR="008B4015" w:rsidRPr="0055068C" w:rsidRDefault="008B4015" w:rsidP="00E54D0A">
            <w:pPr>
              <w:rPr>
                <w:rFonts w:eastAsia="Times New Roman"/>
                <w:b/>
                <w:szCs w:val="20"/>
              </w:rPr>
            </w:pPr>
            <w:r w:rsidRPr="0055068C">
              <w:rPr>
                <w:rFonts w:eastAsia="Times New Roman"/>
                <w:b/>
                <w:szCs w:val="20"/>
              </w:rPr>
              <w:t>Period</w:t>
            </w:r>
          </w:p>
        </w:tc>
        <w:tc>
          <w:tcPr>
            <w:tcW w:w="3776" w:type="dxa"/>
            <w:shd w:val="clear" w:color="auto" w:fill="BDD6EE"/>
          </w:tcPr>
          <w:p w14:paraId="5B7A616C" w14:textId="77777777" w:rsidR="008B4015" w:rsidRPr="0055068C" w:rsidRDefault="008B4015" w:rsidP="00E54D0A">
            <w:pPr>
              <w:rPr>
                <w:rFonts w:eastAsia="Times New Roman"/>
                <w:b/>
                <w:szCs w:val="20"/>
              </w:rPr>
            </w:pPr>
            <w:r w:rsidRPr="0055068C">
              <w:rPr>
                <w:rFonts w:eastAsia="Times New Roman"/>
                <w:b/>
                <w:szCs w:val="20"/>
              </w:rPr>
              <w:t>Reporting Month</w:t>
            </w:r>
          </w:p>
        </w:tc>
      </w:tr>
      <w:tr w:rsidR="008B4015" w:rsidRPr="0055068C" w14:paraId="4D5B8FF0" w14:textId="77777777" w:rsidTr="00E54D0A">
        <w:tc>
          <w:tcPr>
            <w:tcW w:w="2122" w:type="dxa"/>
          </w:tcPr>
          <w:p w14:paraId="5200C8E1" w14:textId="77777777" w:rsidR="008B4015" w:rsidRPr="0055068C" w:rsidRDefault="008B4015" w:rsidP="00E54D0A">
            <w:pPr>
              <w:rPr>
                <w:rFonts w:eastAsia="Times New Roman"/>
                <w:szCs w:val="20"/>
              </w:rPr>
            </w:pPr>
            <w:r w:rsidRPr="0055068C">
              <w:rPr>
                <w:rFonts w:eastAsia="Times New Roman"/>
                <w:szCs w:val="20"/>
              </w:rPr>
              <w:t>Quarter 1 (Q1)</w:t>
            </w:r>
          </w:p>
        </w:tc>
        <w:tc>
          <w:tcPr>
            <w:tcW w:w="3118" w:type="dxa"/>
          </w:tcPr>
          <w:p w14:paraId="0327420D" w14:textId="77777777" w:rsidR="008B4015" w:rsidRPr="0055068C" w:rsidRDefault="008B4015" w:rsidP="00E54D0A">
            <w:pPr>
              <w:rPr>
                <w:rFonts w:eastAsia="Times New Roman"/>
                <w:szCs w:val="20"/>
              </w:rPr>
            </w:pPr>
            <w:r w:rsidRPr="0055068C">
              <w:rPr>
                <w:rFonts w:eastAsia="Times New Roman"/>
                <w:szCs w:val="20"/>
              </w:rPr>
              <w:t>April – June</w:t>
            </w:r>
          </w:p>
        </w:tc>
        <w:tc>
          <w:tcPr>
            <w:tcW w:w="3776" w:type="dxa"/>
          </w:tcPr>
          <w:p w14:paraId="141D914A" w14:textId="77777777" w:rsidR="008B4015" w:rsidRPr="0055068C" w:rsidRDefault="008B4015" w:rsidP="00E54D0A">
            <w:pPr>
              <w:rPr>
                <w:rFonts w:eastAsia="Times New Roman"/>
                <w:szCs w:val="20"/>
              </w:rPr>
            </w:pPr>
            <w:r w:rsidRPr="0055068C">
              <w:rPr>
                <w:rFonts w:eastAsia="Times New Roman"/>
                <w:szCs w:val="20"/>
              </w:rPr>
              <w:t>September</w:t>
            </w:r>
          </w:p>
        </w:tc>
      </w:tr>
      <w:tr w:rsidR="008B4015" w:rsidRPr="0055068C" w14:paraId="411EE416" w14:textId="77777777" w:rsidTr="00E54D0A">
        <w:tc>
          <w:tcPr>
            <w:tcW w:w="2122" w:type="dxa"/>
          </w:tcPr>
          <w:p w14:paraId="4CADC2AD" w14:textId="77777777" w:rsidR="008B4015" w:rsidRPr="0055068C" w:rsidRDefault="008B4015" w:rsidP="00E54D0A">
            <w:pPr>
              <w:rPr>
                <w:rFonts w:eastAsia="Times New Roman"/>
                <w:szCs w:val="20"/>
              </w:rPr>
            </w:pPr>
            <w:r w:rsidRPr="0055068C">
              <w:rPr>
                <w:rFonts w:eastAsia="Times New Roman"/>
                <w:szCs w:val="20"/>
              </w:rPr>
              <w:t>Q2</w:t>
            </w:r>
          </w:p>
        </w:tc>
        <w:tc>
          <w:tcPr>
            <w:tcW w:w="3118" w:type="dxa"/>
          </w:tcPr>
          <w:p w14:paraId="4112548B" w14:textId="77777777" w:rsidR="008B4015" w:rsidRPr="0055068C" w:rsidRDefault="008B4015" w:rsidP="00E54D0A">
            <w:pPr>
              <w:rPr>
                <w:rFonts w:eastAsia="Times New Roman"/>
                <w:szCs w:val="20"/>
              </w:rPr>
            </w:pPr>
            <w:r w:rsidRPr="0055068C">
              <w:rPr>
                <w:rFonts w:eastAsia="Times New Roman"/>
                <w:szCs w:val="20"/>
              </w:rPr>
              <w:t>July – September</w:t>
            </w:r>
          </w:p>
        </w:tc>
        <w:tc>
          <w:tcPr>
            <w:tcW w:w="3776" w:type="dxa"/>
          </w:tcPr>
          <w:p w14:paraId="77422F56" w14:textId="77777777" w:rsidR="008B4015" w:rsidRPr="0055068C" w:rsidRDefault="008B4015" w:rsidP="00E54D0A">
            <w:pPr>
              <w:rPr>
                <w:rFonts w:eastAsia="Times New Roman"/>
                <w:szCs w:val="20"/>
              </w:rPr>
            </w:pPr>
            <w:r w:rsidRPr="0055068C">
              <w:rPr>
                <w:rFonts w:eastAsia="Times New Roman"/>
                <w:szCs w:val="20"/>
              </w:rPr>
              <w:t>December</w:t>
            </w:r>
          </w:p>
        </w:tc>
      </w:tr>
      <w:tr w:rsidR="008B4015" w:rsidRPr="0055068C" w14:paraId="25ADE2C6" w14:textId="77777777" w:rsidTr="00E54D0A">
        <w:tc>
          <w:tcPr>
            <w:tcW w:w="2122" w:type="dxa"/>
          </w:tcPr>
          <w:p w14:paraId="592104EB" w14:textId="77777777" w:rsidR="008B4015" w:rsidRPr="0055068C" w:rsidRDefault="008B4015" w:rsidP="00E54D0A">
            <w:pPr>
              <w:rPr>
                <w:rFonts w:eastAsia="Times New Roman"/>
                <w:szCs w:val="20"/>
              </w:rPr>
            </w:pPr>
            <w:r w:rsidRPr="0055068C">
              <w:rPr>
                <w:rFonts w:eastAsia="Times New Roman"/>
                <w:szCs w:val="20"/>
              </w:rPr>
              <w:t>Q3</w:t>
            </w:r>
          </w:p>
        </w:tc>
        <w:tc>
          <w:tcPr>
            <w:tcW w:w="3118" w:type="dxa"/>
          </w:tcPr>
          <w:p w14:paraId="62C69EE9" w14:textId="77777777" w:rsidR="008B4015" w:rsidRPr="0055068C" w:rsidRDefault="008B4015" w:rsidP="00E54D0A">
            <w:pPr>
              <w:rPr>
                <w:rFonts w:eastAsia="Times New Roman"/>
                <w:szCs w:val="20"/>
              </w:rPr>
            </w:pPr>
            <w:r w:rsidRPr="0055068C">
              <w:rPr>
                <w:rFonts w:eastAsia="Times New Roman"/>
                <w:szCs w:val="20"/>
              </w:rPr>
              <w:t>October – December</w:t>
            </w:r>
          </w:p>
        </w:tc>
        <w:tc>
          <w:tcPr>
            <w:tcW w:w="3776" w:type="dxa"/>
          </w:tcPr>
          <w:p w14:paraId="78CB2DED" w14:textId="77777777" w:rsidR="008B4015" w:rsidRPr="0055068C" w:rsidRDefault="008B4015" w:rsidP="00E54D0A">
            <w:pPr>
              <w:rPr>
                <w:rFonts w:eastAsia="Times New Roman"/>
                <w:szCs w:val="20"/>
              </w:rPr>
            </w:pPr>
            <w:r w:rsidRPr="0055068C">
              <w:rPr>
                <w:rFonts w:eastAsia="Times New Roman"/>
                <w:szCs w:val="20"/>
              </w:rPr>
              <w:t>March</w:t>
            </w:r>
          </w:p>
        </w:tc>
      </w:tr>
      <w:tr w:rsidR="008B4015" w:rsidRPr="0055068C" w14:paraId="434D5F7F" w14:textId="77777777" w:rsidTr="00E54D0A">
        <w:tc>
          <w:tcPr>
            <w:tcW w:w="2122" w:type="dxa"/>
          </w:tcPr>
          <w:p w14:paraId="1AE17B35" w14:textId="77777777" w:rsidR="008B4015" w:rsidRPr="0055068C" w:rsidRDefault="008B4015" w:rsidP="00E54D0A">
            <w:pPr>
              <w:rPr>
                <w:rFonts w:eastAsia="Times New Roman"/>
                <w:szCs w:val="20"/>
              </w:rPr>
            </w:pPr>
            <w:r w:rsidRPr="0055068C">
              <w:rPr>
                <w:rFonts w:eastAsia="Times New Roman"/>
                <w:szCs w:val="20"/>
              </w:rPr>
              <w:t>Q4</w:t>
            </w:r>
          </w:p>
        </w:tc>
        <w:tc>
          <w:tcPr>
            <w:tcW w:w="3118" w:type="dxa"/>
          </w:tcPr>
          <w:p w14:paraId="57405959" w14:textId="77777777" w:rsidR="008B4015" w:rsidRPr="0055068C" w:rsidRDefault="008B4015" w:rsidP="00E54D0A">
            <w:pPr>
              <w:rPr>
                <w:rFonts w:eastAsia="Times New Roman"/>
                <w:szCs w:val="20"/>
              </w:rPr>
            </w:pPr>
            <w:r w:rsidRPr="0055068C">
              <w:rPr>
                <w:rFonts w:eastAsia="Times New Roman"/>
                <w:szCs w:val="20"/>
              </w:rPr>
              <w:t>January - March</w:t>
            </w:r>
          </w:p>
        </w:tc>
        <w:tc>
          <w:tcPr>
            <w:tcW w:w="3776" w:type="dxa"/>
          </w:tcPr>
          <w:p w14:paraId="5AB094E8" w14:textId="77777777" w:rsidR="008B4015" w:rsidRPr="0055068C" w:rsidRDefault="008B4015" w:rsidP="00E54D0A">
            <w:pPr>
              <w:rPr>
                <w:rFonts w:eastAsia="Times New Roman"/>
                <w:szCs w:val="20"/>
              </w:rPr>
            </w:pPr>
            <w:r w:rsidRPr="0055068C">
              <w:rPr>
                <w:rFonts w:eastAsia="Times New Roman"/>
                <w:szCs w:val="20"/>
              </w:rPr>
              <w:t>June</w:t>
            </w:r>
          </w:p>
        </w:tc>
      </w:tr>
    </w:tbl>
    <w:p w14:paraId="0A557577" w14:textId="77777777" w:rsidR="008B4015" w:rsidRPr="0055068C" w:rsidRDefault="008B4015" w:rsidP="008B4015">
      <w:pPr>
        <w:rPr>
          <w:rFonts w:eastAsia="Times New Roman"/>
          <w:szCs w:val="20"/>
        </w:rPr>
      </w:pPr>
    </w:p>
    <w:p w14:paraId="4B6D2D1F" w14:textId="6EA75BBD" w:rsidR="00F44DA6" w:rsidRPr="00F44DA6" w:rsidRDefault="00F44DA6" w:rsidP="00F44DA6">
      <w:pPr>
        <w:rPr>
          <w:rFonts w:eastAsia="Times New Roman" w:cs="Arial"/>
          <w:szCs w:val="20"/>
        </w:rPr>
      </w:pPr>
      <w:r w:rsidRPr="00F44DA6">
        <w:rPr>
          <w:rFonts w:eastAsia="Times New Roman" w:cs="Arial"/>
          <w:szCs w:val="20"/>
        </w:rPr>
        <w:t xml:space="preserve">The report for Quarter </w:t>
      </w:r>
      <w:r w:rsidR="00760C64">
        <w:rPr>
          <w:rFonts w:eastAsia="Times New Roman" w:cs="Arial"/>
          <w:szCs w:val="20"/>
        </w:rPr>
        <w:t>4</w:t>
      </w:r>
      <w:r w:rsidRPr="00F44DA6">
        <w:rPr>
          <w:rFonts w:eastAsia="Times New Roman" w:cs="Arial"/>
          <w:szCs w:val="20"/>
        </w:rPr>
        <w:t xml:space="preserve"> 2022-23 </w:t>
      </w:r>
      <w:r>
        <w:rPr>
          <w:rFonts w:eastAsia="Times New Roman" w:cs="Arial"/>
          <w:szCs w:val="20"/>
        </w:rPr>
        <w:t>was</w:t>
      </w:r>
      <w:r w:rsidRPr="00F44DA6">
        <w:rPr>
          <w:rFonts w:eastAsia="Times New Roman" w:cs="Arial"/>
          <w:szCs w:val="20"/>
        </w:rPr>
        <w:t xml:space="preserve"> attached.</w:t>
      </w:r>
    </w:p>
    <w:p w14:paraId="48C3CA96" w14:textId="77777777" w:rsidR="00933431" w:rsidRPr="00933431" w:rsidRDefault="00933431" w:rsidP="00933431">
      <w:pPr>
        <w:rPr>
          <w:rFonts w:eastAsia="Times New Roman" w:cs="Arial"/>
          <w:b/>
          <w:iCs/>
          <w:szCs w:val="20"/>
        </w:rPr>
      </w:pPr>
      <w:r w:rsidRPr="00933431">
        <w:rPr>
          <w:rFonts w:eastAsia="Times New Roman" w:cs="Arial"/>
          <w:b/>
          <w:iCs/>
          <w:szCs w:val="20"/>
        </w:rPr>
        <w:t>Key points to note:</w:t>
      </w:r>
    </w:p>
    <w:p w14:paraId="1A3FC612" w14:textId="77777777" w:rsidR="00933431" w:rsidRPr="00933431" w:rsidRDefault="00933431" w:rsidP="00933431">
      <w:pPr>
        <w:rPr>
          <w:rFonts w:eastAsia="Times New Roman" w:cs="Arial"/>
          <w:szCs w:val="20"/>
        </w:rPr>
      </w:pPr>
    </w:p>
    <w:p w14:paraId="1B9E5165" w14:textId="77777777" w:rsidR="00933431" w:rsidRPr="00933431" w:rsidRDefault="00933431" w:rsidP="00933431">
      <w:pPr>
        <w:numPr>
          <w:ilvl w:val="0"/>
          <w:numId w:val="21"/>
        </w:numPr>
        <w:contextualSpacing/>
        <w:rPr>
          <w:rFonts w:cs="Arial"/>
        </w:rPr>
      </w:pPr>
      <w:r w:rsidRPr="00933431">
        <w:rPr>
          <w:rFonts w:cs="Arial"/>
        </w:rPr>
        <w:t>Attendance for the first half of the year was poor and that had had an adverse effect on performance in most other areas, particularly around statutory deadlines and completion of improvement initiatives.</w:t>
      </w:r>
    </w:p>
    <w:p w14:paraId="23A553A7" w14:textId="77777777" w:rsidR="00933431" w:rsidRPr="00933431" w:rsidRDefault="00933431" w:rsidP="00933431">
      <w:pPr>
        <w:numPr>
          <w:ilvl w:val="0"/>
          <w:numId w:val="21"/>
        </w:numPr>
        <w:contextualSpacing/>
        <w:rPr>
          <w:rFonts w:cs="Arial"/>
        </w:rPr>
      </w:pPr>
      <w:r w:rsidRPr="00933431">
        <w:rPr>
          <w:rFonts w:cs="Arial"/>
        </w:rPr>
        <w:t>Reactive workload pressures continued to dominate staff time constraining the time available to value added activities.</w:t>
      </w:r>
    </w:p>
    <w:p w14:paraId="1886FDD8" w14:textId="77777777" w:rsidR="00933431" w:rsidRPr="00933431" w:rsidRDefault="00933431" w:rsidP="00933431">
      <w:pPr>
        <w:numPr>
          <w:ilvl w:val="0"/>
          <w:numId w:val="21"/>
        </w:numPr>
        <w:contextualSpacing/>
        <w:rPr>
          <w:rFonts w:cs="Arial"/>
        </w:rPr>
      </w:pPr>
      <w:r w:rsidRPr="00933431">
        <w:rPr>
          <w:rFonts w:cs="Arial"/>
        </w:rPr>
        <w:t xml:space="preserve">Due to resourcing issues, it was not possible to set up processes to measure four KPIs (all marked with a </w:t>
      </w:r>
      <w:r w:rsidRPr="00933431">
        <w:rPr>
          <w:rFonts w:ascii="Lucida Sans Unicode" w:eastAsia="Lucida Sans Unicode" w:hAnsi="Lucida Sans Unicode" w:cs="Lucida Sans Unicode"/>
          <w:noProof/>
          <w:color w:val="1D2828"/>
          <w:sz w:val="18"/>
          <w:lang w:eastAsia="en-GB"/>
        </w:rPr>
        <w:drawing>
          <wp:inline distT="0" distB="0" distL="0" distR="0" wp14:anchorId="4EFCB585" wp14:editId="4FCC97EA">
            <wp:extent cx="200025" cy="2000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933431">
        <w:rPr>
          <w:rFonts w:cs="Arial"/>
        </w:rPr>
        <w:t xml:space="preserve"> in the table below).</w:t>
      </w:r>
    </w:p>
    <w:p w14:paraId="0DC50896" w14:textId="77777777" w:rsidR="00933431" w:rsidRPr="00933431" w:rsidRDefault="00933431" w:rsidP="00933431">
      <w:pPr>
        <w:numPr>
          <w:ilvl w:val="0"/>
          <w:numId w:val="21"/>
        </w:numPr>
        <w:contextualSpacing/>
        <w:rPr>
          <w:rFonts w:cs="Arial"/>
        </w:rPr>
      </w:pPr>
      <w:r w:rsidRPr="00933431">
        <w:rPr>
          <w:rFonts w:cs="Arial"/>
        </w:rPr>
        <w:t>Significant work had been carried out on Finance Policies in the second half of the year and the early part of the new financial year and this should hopefully show positive results in future reports.</w:t>
      </w:r>
    </w:p>
    <w:p w14:paraId="5AE7100C" w14:textId="77777777" w:rsidR="00933431" w:rsidRPr="00933431" w:rsidRDefault="00933431" w:rsidP="00933431">
      <w:pPr>
        <w:numPr>
          <w:ilvl w:val="0"/>
          <w:numId w:val="21"/>
        </w:numPr>
        <w:contextualSpacing/>
        <w:rPr>
          <w:rFonts w:cs="Arial"/>
        </w:rPr>
      </w:pPr>
      <w:r w:rsidRPr="00933431">
        <w:rPr>
          <w:rFonts w:cs="Arial"/>
        </w:rPr>
        <w:t>Budgetary performance was significantly better than expected due to additional investment income arising from increased interest rates.</w:t>
      </w:r>
    </w:p>
    <w:p w14:paraId="6D5F86FB" w14:textId="77777777" w:rsidR="00933431" w:rsidRPr="00933431" w:rsidRDefault="00933431" w:rsidP="00933431">
      <w:pPr>
        <w:numPr>
          <w:ilvl w:val="0"/>
          <w:numId w:val="21"/>
        </w:numPr>
        <w:contextualSpacing/>
        <w:rPr>
          <w:rFonts w:cs="Arial"/>
        </w:rPr>
      </w:pPr>
      <w:r w:rsidRPr="00933431">
        <w:rPr>
          <w:rFonts w:cs="Arial"/>
        </w:rPr>
        <w:t>The Pride in Performance process was suspended during the year, due to the development of a new scheme.</w:t>
      </w:r>
    </w:p>
    <w:p w14:paraId="5CB5A993" w14:textId="2220101C" w:rsidR="00933431" w:rsidRPr="00933431" w:rsidRDefault="00933431" w:rsidP="003B0675">
      <w:pPr>
        <w:numPr>
          <w:ilvl w:val="0"/>
          <w:numId w:val="21"/>
        </w:numPr>
        <w:contextualSpacing/>
        <w:rPr>
          <w:rFonts w:cs="Arial"/>
        </w:rPr>
      </w:pPr>
      <w:r w:rsidRPr="00933431">
        <w:rPr>
          <w:rFonts w:cs="Arial"/>
        </w:rPr>
        <w:t>A new month-end close down process had been put in place and this should result in better performance with regard to control account reconciliations and issuing of budget reports.</w:t>
      </w:r>
    </w:p>
    <w:p w14:paraId="40374FC2" w14:textId="77777777" w:rsidR="00933431" w:rsidRPr="00933431" w:rsidRDefault="00933431" w:rsidP="00933431">
      <w:pPr>
        <w:ind w:left="360"/>
        <w:rPr>
          <w:rFonts w:eastAsia="Times New Roman" w:cs="Arial"/>
          <w:szCs w:val="20"/>
        </w:rPr>
      </w:pPr>
    </w:p>
    <w:p w14:paraId="24FB99C6" w14:textId="77777777" w:rsidR="00933431" w:rsidRPr="00933431" w:rsidRDefault="00933431" w:rsidP="00933431">
      <w:pPr>
        <w:rPr>
          <w:rFonts w:eastAsia="Times New Roman" w:cs="Arial"/>
          <w:b/>
          <w:szCs w:val="20"/>
        </w:rPr>
      </w:pPr>
      <w:r w:rsidRPr="00933431">
        <w:rPr>
          <w:rFonts w:eastAsia="Times New Roman" w:cs="Arial"/>
          <w:b/>
          <w:szCs w:val="20"/>
        </w:rPr>
        <w:t>Key achievements:</w:t>
      </w:r>
    </w:p>
    <w:p w14:paraId="634701AA" w14:textId="77777777" w:rsidR="00933431" w:rsidRPr="00933431" w:rsidRDefault="00933431" w:rsidP="00933431">
      <w:pPr>
        <w:rPr>
          <w:rFonts w:eastAsia="Times New Roman" w:cs="Arial"/>
          <w:szCs w:val="20"/>
        </w:rPr>
      </w:pPr>
    </w:p>
    <w:p w14:paraId="3617D490" w14:textId="77777777" w:rsidR="00933431" w:rsidRPr="00933431" w:rsidRDefault="00933431" w:rsidP="00933431">
      <w:pPr>
        <w:numPr>
          <w:ilvl w:val="0"/>
          <w:numId w:val="21"/>
        </w:numPr>
        <w:contextualSpacing/>
        <w:rPr>
          <w:rFonts w:cs="Arial"/>
        </w:rPr>
      </w:pPr>
      <w:r w:rsidRPr="00933431">
        <w:rPr>
          <w:rFonts w:cs="Arial"/>
        </w:rPr>
        <w:t>Core transactional targets continued to be met.</w:t>
      </w:r>
    </w:p>
    <w:p w14:paraId="7B76671B" w14:textId="1077A098" w:rsidR="008B4015" w:rsidRPr="00933431" w:rsidRDefault="00933431" w:rsidP="008B4015">
      <w:pPr>
        <w:numPr>
          <w:ilvl w:val="0"/>
          <w:numId w:val="21"/>
        </w:numPr>
        <w:contextualSpacing/>
        <w:rPr>
          <w:rFonts w:cs="Arial"/>
        </w:rPr>
      </w:pPr>
      <w:r w:rsidRPr="00933431">
        <w:rPr>
          <w:rFonts w:cs="Arial"/>
        </w:rPr>
        <w:t>The audited financial statements were published on time having received a clean audit report, despite resource constraints.</w:t>
      </w:r>
    </w:p>
    <w:p w14:paraId="654CE4A4" w14:textId="629F47A9" w:rsidR="008B4015" w:rsidRDefault="008B4015" w:rsidP="008B4015">
      <w:pPr>
        <w:rPr>
          <w:rFonts w:eastAsia="Times New Roman" w:cs="Arial"/>
          <w:b/>
          <w:iCs/>
          <w:szCs w:val="20"/>
        </w:rPr>
      </w:pPr>
    </w:p>
    <w:p w14:paraId="51EC5A71" w14:textId="5D9A708E" w:rsidR="008B4015" w:rsidRDefault="008B4015" w:rsidP="008B4015">
      <w:pPr>
        <w:rPr>
          <w:rFonts w:cs="Arial"/>
          <w:b/>
          <w:bCs/>
          <w:caps/>
          <w:szCs w:val="24"/>
          <w:u w:val="single"/>
        </w:rPr>
      </w:pPr>
      <w:r>
        <w:rPr>
          <w:rFonts w:cs="Arial"/>
          <w:b/>
          <w:bCs/>
          <w:caps/>
          <w:szCs w:val="24"/>
        </w:rPr>
        <w:t>D</w:t>
      </w:r>
      <w:r w:rsidRPr="00062D77">
        <w:rPr>
          <w:rFonts w:cs="Arial"/>
          <w:b/>
          <w:bCs/>
          <w:caps/>
          <w:szCs w:val="24"/>
        </w:rPr>
        <w:t>)</w:t>
      </w:r>
      <w:r w:rsidRPr="00062D77">
        <w:rPr>
          <w:rFonts w:cs="Arial"/>
          <w:b/>
          <w:bCs/>
          <w:caps/>
          <w:szCs w:val="24"/>
        </w:rPr>
        <w:tab/>
      </w:r>
      <w:bookmarkStart w:id="4" w:name="_Hlk62805818"/>
      <w:r w:rsidRPr="005D2219">
        <w:rPr>
          <w:rFonts w:cs="Arial"/>
          <w:b/>
          <w:bCs/>
          <w:caps/>
          <w:szCs w:val="24"/>
          <w:u w:val="single"/>
        </w:rPr>
        <w:t xml:space="preserve">Strategic </w:t>
      </w:r>
      <w:r w:rsidR="008F12F5">
        <w:rPr>
          <w:rFonts w:cs="Arial"/>
          <w:b/>
          <w:bCs/>
          <w:caps/>
          <w:szCs w:val="24"/>
          <w:u w:val="single"/>
        </w:rPr>
        <w:t>transformation and performance</w:t>
      </w:r>
      <w:bookmarkEnd w:id="4"/>
    </w:p>
    <w:p w14:paraId="73568C58" w14:textId="5E9EE943" w:rsidR="008B4015" w:rsidRPr="00D067F9" w:rsidRDefault="008B4015" w:rsidP="008B4015">
      <w:pPr>
        <w:rPr>
          <w:rFonts w:cs="Arial"/>
          <w:caps/>
          <w:szCs w:val="24"/>
        </w:rPr>
      </w:pPr>
      <w:r>
        <w:rPr>
          <w:rFonts w:cs="Arial"/>
          <w:b/>
          <w:bCs/>
          <w:caps/>
          <w:szCs w:val="24"/>
        </w:rPr>
        <w:tab/>
      </w:r>
      <w:r w:rsidRPr="00D067F9">
        <w:rPr>
          <w:rFonts w:cs="Arial"/>
          <w:szCs w:val="24"/>
        </w:rPr>
        <w:t xml:space="preserve">(Appendix </w:t>
      </w:r>
      <w:r w:rsidR="0093319F">
        <w:rPr>
          <w:rFonts w:cs="Arial"/>
          <w:szCs w:val="24"/>
        </w:rPr>
        <w:t>I</w:t>
      </w:r>
      <w:r>
        <w:rPr>
          <w:rFonts w:cs="Arial"/>
          <w:szCs w:val="24"/>
        </w:rPr>
        <w:t>V)</w:t>
      </w:r>
    </w:p>
    <w:p w14:paraId="5A53105E" w14:textId="77777777" w:rsidR="008B4015" w:rsidRPr="00062D77" w:rsidRDefault="008B4015" w:rsidP="008B4015">
      <w:pPr>
        <w:rPr>
          <w:rFonts w:cs="Arial"/>
          <w:b/>
          <w:bCs/>
          <w:caps/>
          <w:szCs w:val="24"/>
        </w:rPr>
      </w:pPr>
    </w:p>
    <w:p w14:paraId="7559C7CB" w14:textId="77777777" w:rsidR="00F95E24" w:rsidRDefault="00F95E24" w:rsidP="00F95E24">
      <w:pPr>
        <w:rPr>
          <w:rFonts w:cs="Arial"/>
          <w:szCs w:val="24"/>
        </w:rPr>
      </w:pPr>
      <w:r w:rsidRPr="004C6B87">
        <w:rPr>
          <w:rFonts w:cs="Arial"/>
          <w:caps/>
          <w:szCs w:val="24"/>
        </w:rPr>
        <w:t>Previously circulated-</w:t>
      </w:r>
      <w:r>
        <w:rPr>
          <w:rFonts w:cs="Arial"/>
          <w:szCs w:val="24"/>
        </w:rPr>
        <w:t xml:space="preserve"> Report from the Director of Corporate Services detailing the undernoted:</w:t>
      </w:r>
    </w:p>
    <w:p w14:paraId="2143A12C" w14:textId="77777777" w:rsidR="008B4015" w:rsidRDefault="008B4015" w:rsidP="008B4015">
      <w:pPr>
        <w:rPr>
          <w:rFonts w:cs="Arial"/>
          <w:szCs w:val="24"/>
        </w:rPr>
      </w:pPr>
    </w:p>
    <w:p w14:paraId="3A8ACDB5" w14:textId="77777777" w:rsidR="008B4015" w:rsidRPr="0055068C" w:rsidRDefault="008B4015" w:rsidP="008B4015">
      <w:pPr>
        <w:rPr>
          <w:rFonts w:eastAsia="Times New Roman"/>
          <w:b/>
          <w:szCs w:val="20"/>
        </w:rPr>
      </w:pPr>
      <w:r w:rsidRPr="0055068C">
        <w:rPr>
          <w:rFonts w:eastAsia="Times New Roman"/>
          <w:b/>
          <w:szCs w:val="20"/>
        </w:rPr>
        <w:t>Context</w:t>
      </w:r>
    </w:p>
    <w:p w14:paraId="7A025F7C" w14:textId="77777777" w:rsidR="008B4015" w:rsidRPr="0055068C" w:rsidRDefault="008B4015" w:rsidP="008B4015">
      <w:pPr>
        <w:rPr>
          <w:rFonts w:eastAsia="Times New Roman"/>
          <w:szCs w:val="20"/>
        </w:rPr>
      </w:pPr>
    </w:p>
    <w:p w14:paraId="481603DE" w14:textId="77777777" w:rsidR="008B4015" w:rsidRPr="0055068C" w:rsidRDefault="008B4015" w:rsidP="008B4015">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0F9F442D" w14:textId="77777777" w:rsidR="008B4015" w:rsidRPr="0055068C" w:rsidRDefault="008B4015" w:rsidP="008B4015">
      <w:pPr>
        <w:rPr>
          <w:rFonts w:eastAsia="Times New Roman"/>
          <w:szCs w:val="20"/>
        </w:rPr>
      </w:pPr>
    </w:p>
    <w:p w14:paraId="6C0734BB" w14:textId="77777777" w:rsidR="008B4015" w:rsidRPr="0055068C" w:rsidRDefault="008B4015" w:rsidP="00CF34D3">
      <w:pPr>
        <w:numPr>
          <w:ilvl w:val="0"/>
          <w:numId w:val="5"/>
        </w:numPr>
        <w:contextualSpacing/>
        <w:rPr>
          <w:rFonts w:cs="Arial"/>
        </w:rPr>
      </w:pPr>
      <w:r w:rsidRPr="0055068C">
        <w:rPr>
          <w:rFonts w:cs="Arial"/>
        </w:rPr>
        <w:t xml:space="preserve">Community Plan – published every 10-15 years </w:t>
      </w:r>
    </w:p>
    <w:p w14:paraId="6B7EE796" w14:textId="77777777" w:rsidR="008B4015" w:rsidRPr="0055068C" w:rsidRDefault="008B4015" w:rsidP="00CF34D3">
      <w:pPr>
        <w:numPr>
          <w:ilvl w:val="0"/>
          <w:numId w:val="5"/>
        </w:numPr>
        <w:contextualSpacing/>
        <w:rPr>
          <w:rFonts w:cs="Arial"/>
        </w:rPr>
      </w:pPr>
      <w:r w:rsidRPr="0055068C">
        <w:rPr>
          <w:rFonts w:cs="Arial"/>
        </w:rPr>
        <w:t>Corporate Plan – published every 4 years (Corporate Plan Towards 2024 in operation)</w:t>
      </w:r>
    </w:p>
    <w:p w14:paraId="7E8756DB" w14:textId="77777777" w:rsidR="008B4015" w:rsidRPr="0055068C" w:rsidRDefault="008B4015" w:rsidP="00CF34D3">
      <w:pPr>
        <w:numPr>
          <w:ilvl w:val="0"/>
          <w:numId w:val="5"/>
        </w:numPr>
        <w:contextualSpacing/>
        <w:rPr>
          <w:rFonts w:cs="Arial"/>
        </w:rPr>
      </w:pPr>
      <w:r w:rsidRPr="0055068C">
        <w:rPr>
          <w:rFonts w:cs="Arial"/>
        </w:rPr>
        <w:t>Performance Improvement Plan (PIP) – published annually (for publication 30 September 2022)</w:t>
      </w:r>
    </w:p>
    <w:p w14:paraId="291C0905" w14:textId="77777777" w:rsidR="008B4015" w:rsidRPr="0055068C" w:rsidRDefault="008B4015" w:rsidP="00CF34D3">
      <w:pPr>
        <w:numPr>
          <w:ilvl w:val="0"/>
          <w:numId w:val="5"/>
        </w:numPr>
        <w:contextualSpacing/>
        <w:rPr>
          <w:rFonts w:cs="Arial"/>
        </w:rPr>
      </w:pPr>
      <w:r w:rsidRPr="0055068C">
        <w:rPr>
          <w:rFonts w:cs="Arial"/>
        </w:rPr>
        <w:t>Service Plan – developed annually (approved April/May 2022)</w:t>
      </w:r>
    </w:p>
    <w:p w14:paraId="3392C93A" w14:textId="77777777" w:rsidR="008B4015" w:rsidRPr="0055068C" w:rsidRDefault="008B4015" w:rsidP="008B4015">
      <w:pPr>
        <w:rPr>
          <w:rFonts w:eastAsia="Times New Roman"/>
          <w:szCs w:val="20"/>
        </w:rPr>
      </w:pPr>
    </w:p>
    <w:p w14:paraId="213E89B1" w14:textId="77777777" w:rsidR="008B4015" w:rsidRPr="0055068C" w:rsidRDefault="008B4015" w:rsidP="008B4015">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77351A0C" w14:textId="77777777" w:rsidR="008B4015" w:rsidRPr="0055068C" w:rsidRDefault="008B4015" w:rsidP="008B4015">
      <w:pPr>
        <w:rPr>
          <w:rFonts w:eastAsia="Times New Roman"/>
          <w:b/>
          <w:szCs w:val="20"/>
        </w:rPr>
      </w:pPr>
    </w:p>
    <w:p w14:paraId="4B353AE4" w14:textId="77777777" w:rsidR="008B4015" w:rsidRPr="0055068C" w:rsidRDefault="008B4015" w:rsidP="008B4015">
      <w:pPr>
        <w:rPr>
          <w:rFonts w:eastAsia="Times New Roman"/>
          <w:b/>
          <w:szCs w:val="20"/>
        </w:rPr>
      </w:pPr>
      <w:r w:rsidRPr="0055068C">
        <w:rPr>
          <w:rFonts w:eastAsia="Times New Roman"/>
          <w:b/>
          <w:szCs w:val="20"/>
        </w:rPr>
        <w:t>Reporting approach</w:t>
      </w:r>
    </w:p>
    <w:p w14:paraId="54211278" w14:textId="77777777" w:rsidR="008B4015" w:rsidRPr="0055068C" w:rsidRDefault="008B4015" w:rsidP="008B4015">
      <w:pPr>
        <w:rPr>
          <w:rFonts w:eastAsia="Times New Roman"/>
          <w:szCs w:val="20"/>
        </w:rPr>
      </w:pPr>
    </w:p>
    <w:p w14:paraId="13CE770A" w14:textId="77777777" w:rsidR="008B4015" w:rsidRPr="0055068C" w:rsidRDefault="008B4015" w:rsidP="008B4015">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72B96E41" w14:textId="77777777" w:rsidR="008B4015" w:rsidRPr="0055068C" w:rsidRDefault="008B4015" w:rsidP="008B4015">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63C6264B" w14:textId="77777777" w:rsidTr="00E54D0A">
        <w:tc>
          <w:tcPr>
            <w:tcW w:w="2122" w:type="dxa"/>
            <w:shd w:val="clear" w:color="auto" w:fill="BDD6EE"/>
          </w:tcPr>
          <w:p w14:paraId="4EC7B996" w14:textId="77777777" w:rsidR="008B4015" w:rsidRPr="0055068C" w:rsidRDefault="008B4015" w:rsidP="00E54D0A">
            <w:pPr>
              <w:rPr>
                <w:rFonts w:eastAsia="Times New Roman"/>
                <w:b/>
                <w:szCs w:val="20"/>
              </w:rPr>
            </w:pPr>
            <w:r w:rsidRPr="0055068C">
              <w:rPr>
                <w:rFonts w:eastAsia="Times New Roman"/>
                <w:b/>
                <w:szCs w:val="20"/>
              </w:rPr>
              <w:t>Reference</w:t>
            </w:r>
          </w:p>
        </w:tc>
        <w:tc>
          <w:tcPr>
            <w:tcW w:w="3118" w:type="dxa"/>
            <w:shd w:val="clear" w:color="auto" w:fill="BDD6EE"/>
          </w:tcPr>
          <w:p w14:paraId="5F2780A3" w14:textId="77777777" w:rsidR="008B4015" w:rsidRPr="0055068C" w:rsidRDefault="008B4015" w:rsidP="00E54D0A">
            <w:pPr>
              <w:rPr>
                <w:rFonts w:eastAsia="Times New Roman"/>
                <w:b/>
                <w:szCs w:val="20"/>
              </w:rPr>
            </w:pPr>
            <w:r w:rsidRPr="0055068C">
              <w:rPr>
                <w:rFonts w:eastAsia="Times New Roman"/>
                <w:b/>
                <w:szCs w:val="20"/>
              </w:rPr>
              <w:t>Period</w:t>
            </w:r>
          </w:p>
        </w:tc>
        <w:tc>
          <w:tcPr>
            <w:tcW w:w="3776" w:type="dxa"/>
            <w:shd w:val="clear" w:color="auto" w:fill="BDD6EE"/>
          </w:tcPr>
          <w:p w14:paraId="097EE28E" w14:textId="77777777" w:rsidR="008B4015" w:rsidRPr="0055068C" w:rsidRDefault="008B4015" w:rsidP="00E54D0A">
            <w:pPr>
              <w:rPr>
                <w:rFonts w:eastAsia="Times New Roman"/>
                <w:b/>
                <w:szCs w:val="20"/>
              </w:rPr>
            </w:pPr>
            <w:r w:rsidRPr="0055068C">
              <w:rPr>
                <w:rFonts w:eastAsia="Times New Roman"/>
                <w:b/>
                <w:szCs w:val="20"/>
              </w:rPr>
              <w:t>Reporting Month</w:t>
            </w:r>
          </w:p>
        </w:tc>
      </w:tr>
      <w:tr w:rsidR="008B4015" w:rsidRPr="0055068C" w14:paraId="66066FA1" w14:textId="77777777" w:rsidTr="00E54D0A">
        <w:tc>
          <w:tcPr>
            <w:tcW w:w="2122" w:type="dxa"/>
          </w:tcPr>
          <w:p w14:paraId="43B7FABD" w14:textId="77777777" w:rsidR="008B4015" w:rsidRPr="0055068C" w:rsidRDefault="008B4015" w:rsidP="00E54D0A">
            <w:pPr>
              <w:rPr>
                <w:rFonts w:eastAsia="Times New Roman"/>
                <w:szCs w:val="20"/>
              </w:rPr>
            </w:pPr>
            <w:r w:rsidRPr="0055068C">
              <w:rPr>
                <w:rFonts w:eastAsia="Times New Roman"/>
                <w:szCs w:val="20"/>
              </w:rPr>
              <w:t>Quarter 1 (Q1)</w:t>
            </w:r>
          </w:p>
        </w:tc>
        <w:tc>
          <w:tcPr>
            <w:tcW w:w="3118" w:type="dxa"/>
          </w:tcPr>
          <w:p w14:paraId="041B094B" w14:textId="77777777" w:rsidR="008B4015" w:rsidRPr="0055068C" w:rsidRDefault="008B4015" w:rsidP="00E54D0A">
            <w:pPr>
              <w:rPr>
                <w:rFonts w:eastAsia="Times New Roman"/>
                <w:szCs w:val="20"/>
              </w:rPr>
            </w:pPr>
            <w:r w:rsidRPr="0055068C">
              <w:rPr>
                <w:rFonts w:eastAsia="Times New Roman"/>
                <w:szCs w:val="20"/>
              </w:rPr>
              <w:t>April – June</w:t>
            </w:r>
          </w:p>
        </w:tc>
        <w:tc>
          <w:tcPr>
            <w:tcW w:w="3776" w:type="dxa"/>
          </w:tcPr>
          <w:p w14:paraId="1C40338D" w14:textId="77777777" w:rsidR="008B4015" w:rsidRPr="0055068C" w:rsidRDefault="008B4015" w:rsidP="00E54D0A">
            <w:pPr>
              <w:rPr>
                <w:rFonts w:eastAsia="Times New Roman"/>
                <w:szCs w:val="20"/>
              </w:rPr>
            </w:pPr>
            <w:r w:rsidRPr="0055068C">
              <w:rPr>
                <w:rFonts w:eastAsia="Times New Roman"/>
                <w:szCs w:val="20"/>
              </w:rPr>
              <w:t>September</w:t>
            </w:r>
          </w:p>
        </w:tc>
      </w:tr>
      <w:tr w:rsidR="008B4015" w:rsidRPr="0055068C" w14:paraId="7569F8FC" w14:textId="77777777" w:rsidTr="00E54D0A">
        <w:tc>
          <w:tcPr>
            <w:tcW w:w="2122" w:type="dxa"/>
          </w:tcPr>
          <w:p w14:paraId="1FF5514D" w14:textId="77777777" w:rsidR="008B4015" w:rsidRPr="0055068C" w:rsidRDefault="008B4015" w:rsidP="00E54D0A">
            <w:pPr>
              <w:rPr>
                <w:rFonts w:eastAsia="Times New Roman"/>
                <w:szCs w:val="20"/>
              </w:rPr>
            </w:pPr>
            <w:r w:rsidRPr="0055068C">
              <w:rPr>
                <w:rFonts w:eastAsia="Times New Roman"/>
                <w:szCs w:val="20"/>
              </w:rPr>
              <w:t>Q2</w:t>
            </w:r>
          </w:p>
        </w:tc>
        <w:tc>
          <w:tcPr>
            <w:tcW w:w="3118" w:type="dxa"/>
          </w:tcPr>
          <w:p w14:paraId="213CBA56" w14:textId="77777777" w:rsidR="008B4015" w:rsidRPr="0055068C" w:rsidRDefault="008B4015" w:rsidP="00E54D0A">
            <w:pPr>
              <w:rPr>
                <w:rFonts w:eastAsia="Times New Roman"/>
                <w:szCs w:val="20"/>
              </w:rPr>
            </w:pPr>
            <w:r w:rsidRPr="0055068C">
              <w:rPr>
                <w:rFonts w:eastAsia="Times New Roman"/>
                <w:szCs w:val="20"/>
              </w:rPr>
              <w:t>July – September</w:t>
            </w:r>
          </w:p>
        </w:tc>
        <w:tc>
          <w:tcPr>
            <w:tcW w:w="3776" w:type="dxa"/>
          </w:tcPr>
          <w:p w14:paraId="31C53409" w14:textId="77777777" w:rsidR="008B4015" w:rsidRPr="0055068C" w:rsidRDefault="008B4015" w:rsidP="00E54D0A">
            <w:pPr>
              <w:rPr>
                <w:rFonts w:eastAsia="Times New Roman"/>
                <w:szCs w:val="20"/>
              </w:rPr>
            </w:pPr>
            <w:r w:rsidRPr="0055068C">
              <w:rPr>
                <w:rFonts w:eastAsia="Times New Roman"/>
                <w:szCs w:val="20"/>
              </w:rPr>
              <w:t>December</w:t>
            </w:r>
          </w:p>
        </w:tc>
      </w:tr>
      <w:tr w:rsidR="008B4015" w:rsidRPr="0055068C" w14:paraId="542E1E2A" w14:textId="77777777" w:rsidTr="00E54D0A">
        <w:tc>
          <w:tcPr>
            <w:tcW w:w="2122" w:type="dxa"/>
          </w:tcPr>
          <w:p w14:paraId="7D81D2D4" w14:textId="77777777" w:rsidR="008B4015" w:rsidRPr="0055068C" w:rsidRDefault="008B4015" w:rsidP="00E54D0A">
            <w:pPr>
              <w:rPr>
                <w:rFonts w:eastAsia="Times New Roman"/>
                <w:szCs w:val="20"/>
              </w:rPr>
            </w:pPr>
            <w:r w:rsidRPr="0055068C">
              <w:rPr>
                <w:rFonts w:eastAsia="Times New Roman"/>
                <w:szCs w:val="20"/>
              </w:rPr>
              <w:t>Q3</w:t>
            </w:r>
          </w:p>
        </w:tc>
        <w:tc>
          <w:tcPr>
            <w:tcW w:w="3118" w:type="dxa"/>
          </w:tcPr>
          <w:p w14:paraId="788215CF" w14:textId="77777777" w:rsidR="008B4015" w:rsidRPr="0055068C" w:rsidRDefault="008B4015" w:rsidP="00E54D0A">
            <w:pPr>
              <w:rPr>
                <w:rFonts w:eastAsia="Times New Roman"/>
                <w:szCs w:val="20"/>
              </w:rPr>
            </w:pPr>
            <w:r w:rsidRPr="0055068C">
              <w:rPr>
                <w:rFonts w:eastAsia="Times New Roman"/>
                <w:szCs w:val="20"/>
              </w:rPr>
              <w:t>October – December</w:t>
            </w:r>
          </w:p>
        </w:tc>
        <w:tc>
          <w:tcPr>
            <w:tcW w:w="3776" w:type="dxa"/>
          </w:tcPr>
          <w:p w14:paraId="318B9DB6" w14:textId="77777777" w:rsidR="008B4015" w:rsidRPr="0055068C" w:rsidRDefault="008B4015" w:rsidP="00E54D0A">
            <w:pPr>
              <w:rPr>
                <w:rFonts w:eastAsia="Times New Roman"/>
                <w:szCs w:val="20"/>
              </w:rPr>
            </w:pPr>
            <w:r w:rsidRPr="0055068C">
              <w:rPr>
                <w:rFonts w:eastAsia="Times New Roman"/>
                <w:szCs w:val="20"/>
              </w:rPr>
              <w:t>March</w:t>
            </w:r>
          </w:p>
        </w:tc>
      </w:tr>
      <w:tr w:rsidR="008B4015" w:rsidRPr="0055068C" w14:paraId="43252C95" w14:textId="77777777" w:rsidTr="00E54D0A">
        <w:tc>
          <w:tcPr>
            <w:tcW w:w="2122" w:type="dxa"/>
          </w:tcPr>
          <w:p w14:paraId="0848234D" w14:textId="77777777" w:rsidR="008B4015" w:rsidRPr="0055068C" w:rsidRDefault="008B4015" w:rsidP="00E54D0A">
            <w:pPr>
              <w:rPr>
                <w:rFonts w:eastAsia="Times New Roman"/>
                <w:szCs w:val="20"/>
              </w:rPr>
            </w:pPr>
            <w:r w:rsidRPr="0055068C">
              <w:rPr>
                <w:rFonts w:eastAsia="Times New Roman"/>
                <w:szCs w:val="20"/>
              </w:rPr>
              <w:t>Q4</w:t>
            </w:r>
          </w:p>
        </w:tc>
        <w:tc>
          <w:tcPr>
            <w:tcW w:w="3118" w:type="dxa"/>
          </w:tcPr>
          <w:p w14:paraId="527F05FB" w14:textId="77777777" w:rsidR="008B4015" w:rsidRPr="0055068C" w:rsidRDefault="008B4015" w:rsidP="00E54D0A">
            <w:pPr>
              <w:rPr>
                <w:rFonts w:eastAsia="Times New Roman"/>
                <w:szCs w:val="20"/>
              </w:rPr>
            </w:pPr>
            <w:r w:rsidRPr="0055068C">
              <w:rPr>
                <w:rFonts w:eastAsia="Times New Roman"/>
                <w:szCs w:val="20"/>
              </w:rPr>
              <w:t>January - March</w:t>
            </w:r>
          </w:p>
        </w:tc>
        <w:tc>
          <w:tcPr>
            <w:tcW w:w="3776" w:type="dxa"/>
          </w:tcPr>
          <w:p w14:paraId="6E15532F" w14:textId="77777777" w:rsidR="008B4015" w:rsidRPr="0055068C" w:rsidRDefault="008B4015" w:rsidP="00E54D0A">
            <w:pPr>
              <w:rPr>
                <w:rFonts w:eastAsia="Times New Roman"/>
                <w:szCs w:val="20"/>
              </w:rPr>
            </w:pPr>
            <w:r w:rsidRPr="0055068C">
              <w:rPr>
                <w:rFonts w:eastAsia="Times New Roman"/>
                <w:szCs w:val="20"/>
              </w:rPr>
              <w:t>June</w:t>
            </w:r>
          </w:p>
        </w:tc>
      </w:tr>
    </w:tbl>
    <w:p w14:paraId="042C295F" w14:textId="77777777" w:rsidR="008B4015" w:rsidRPr="0055068C" w:rsidRDefault="008B4015" w:rsidP="008B4015">
      <w:pPr>
        <w:rPr>
          <w:rFonts w:eastAsia="Times New Roman"/>
          <w:szCs w:val="20"/>
        </w:rPr>
      </w:pPr>
    </w:p>
    <w:p w14:paraId="2D3BE1CD" w14:textId="70B5A43C" w:rsidR="008B4015" w:rsidRDefault="008B4015" w:rsidP="008B4015">
      <w:pPr>
        <w:rPr>
          <w:rFonts w:eastAsia="Times New Roman" w:cs="Arial"/>
          <w:szCs w:val="24"/>
        </w:rPr>
      </w:pPr>
      <w:r w:rsidRPr="0055068C">
        <w:rPr>
          <w:rFonts w:eastAsia="Times New Roman" w:cs="Arial"/>
          <w:szCs w:val="24"/>
        </w:rPr>
        <w:t xml:space="preserve">The report for Quarter </w:t>
      </w:r>
      <w:r w:rsidR="00760C64">
        <w:rPr>
          <w:rFonts w:eastAsia="Times New Roman" w:cs="Arial"/>
          <w:szCs w:val="24"/>
        </w:rPr>
        <w:t>4</w:t>
      </w:r>
      <w:r w:rsidRPr="0055068C">
        <w:rPr>
          <w:rFonts w:eastAsia="Times New Roman" w:cs="Arial"/>
          <w:szCs w:val="24"/>
        </w:rPr>
        <w:t xml:space="preserve"> 2022-23 was attached.</w:t>
      </w:r>
    </w:p>
    <w:p w14:paraId="16C4FB3C" w14:textId="1DE6E79E" w:rsidR="00F44DA6" w:rsidRDefault="00F44DA6" w:rsidP="008B4015">
      <w:pPr>
        <w:rPr>
          <w:rFonts w:eastAsia="Times New Roman" w:cs="Arial"/>
          <w:szCs w:val="24"/>
        </w:rPr>
      </w:pPr>
    </w:p>
    <w:p w14:paraId="4EBF7B3A" w14:textId="77777777" w:rsidR="00933431" w:rsidRPr="00933431" w:rsidRDefault="00933431" w:rsidP="00933431">
      <w:pPr>
        <w:rPr>
          <w:rFonts w:eastAsia="Times New Roman" w:cs="Arial"/>
          <w:b/>
          <w:bCs/>
          <w:szCs w:val="24"/>
        </w:rPr>
      </w:pPr>
      <w:r w:rsidRPr="00933431">
        <w:rPr>
          <w:rFonts w:eastAsia="Times New Roman" w:cs="Arial"/>
          <w:b/>
          <w:bCs/>
          <w:szCs w:val="24"/>
        </w:rPr>
        <w:t>Key points to note:</w:t>
      </w:r>
    </w:p>
    <w:p w14:paraId="22E75017" w14:textId="77777777" w:rsidR="00933431" w:rsidRPr="00933431" w:rsidRDefault="00933431" w:rsidP="00933431">
      <w:pPr>
        <w:rPr>
          <w:rFonts w:eastAsia="Times New Roman" w:cs="Arial"/>
          <w:b/>
          <w:bCs/>
          <w:szCs w:val="24"/>
        </w:rPr>
      </w:pPr>
    </w:p>
    <w:p w14:paraId="1EF84B0A" w14:textId="77777777" w:rsidR="00933431" w:rsidRPr="00933431" w:rsidRDefault="00933431" w:rsidP="00933431">
      <w:pPr>
        <w:numPr>
          <w:ilvl w:val="0"/>
          <w:numId w:val="21"/>
        </w:numPr>
        <w:rPr>
          <w:rFonts w:eastAsia="Times New Roman" w:cs="Arial"/>
          <w:szCs w:val="24"/>
        </w:rPr>
      </w:pPr>
      <w:r w:rsidRPr="00933431">
        <w:rPr>
          <w:rFonts w:eastAsia="Times New Roman" w:cs="Arial"/>
          <w:szCs w:val="24"/>
        </w:rPr>
        <w:t>Spend against budget was slightly lower than expected due to the ongoing vacant Procurement Officer post.</w:t>
      </w:r>
    </w:p>
    <w:p w14:paraId="36637974" w14:textId="77777777" w:rsidR="00933431" w:rsidRPr="00933431" w:rsidRDefault="00933431" w:rsidP="00933431">
      <w:pPr>
        <w:numPr>
          <w:ilvl w:val="0"/>
          <w:numId w:val="21"/>
        </w:numPr>
        <w:rPr>
          <w:rFonts w:eastAsia="Times New Roman" w:cs="Arial"/>
          <w:szCs w:val="24"/>
        </w:rPr>
      </w:pPr>
      <w:r w:rsidRPr="00933431">
        <w:rPr>
          <w:rFonts w:eastAsia="Times New Roman" w:cs="Arial"/>
          <w:szCs w:val="24"/>
        </w:rPr>
        <w:t>The Performance Improvement Manager was appointed as the Digital Services Manager (previously Business Technology Manager) on a temporary basis (until March 2025).</w:t>
      </w:r>
    </w:p>
    <w:p w14:paraId="2137212C" w14:textId="77777777" w:rsidR="00933431" w:rsidRPr="00933431" w:rsidRDefault="00933431" w:rsidP="00933431">
      <w:pPr>
        <w:numPr>
          <w:ilvl w:val="0"/>
          <w:numId w:val="21"/>
        </w:numPr>
        <w:rPr>
          <w:rFonts w:eastAsia="Times New Roman" w:cs="Arial"/>
          <w:szCs w:val="24"/>
        </w:rPr>
      </w:pPr>
      <w:r w:rsidRPr="00933431">
        <w:rPr>
          <w:rFonts w:eastAsia="Times New Roman" w:cs="Arial"/>
          <w:szCs w:val="24"/>
        </w:rPr>
        <w:t>Attendance was well above the Council average at 98.23% (against a target of 95%).</w:t>
      </w:r>
    </w:p>
    <w:p w14:paraId="5B005A24" w14:textId="77777777" w:rsidR="00933431" w:rsidRPr="00933431" w:rsidRDefault="00933431" w:rsidP="00933431">
      <w:pPr>
        <w:numPr>
          <w:ilvl w:val="0"/>
          <w:numId w:val="21"/>
        </w:numPr>
        <w:rPr>
          <w:rFonts w:eastAsia="Times New Roman" w:cs="Arial"/>
          <w:szCs w:val="24"/>
        </w:rPr>
      </w:pPr>
      <w:r w:rsidRPr="00933431">
        <w:rPr>
          <w:rFonts w:eastAsia="Times New Roman" w:cs="Arial"/>
          <w:szCs w:val="24"/>
        </w:rPr>
        <w:t>% time invested in staff development remained slightly lower than expected, given the ongoing review of the appraisal process.</w:t>
      </w:r>
    </w:p>
    <w:p w14:paraId="378F0A05" w14:textId="77777777" w:rsidR="00933431" w:rsidRPr="00933431" w:rsidRDefault="00933431" w:rsidP="00933431">
      <w:pPr>
        <w:rPr>
          <w:rFonts w:eastAsia="Times New Roman" w:cs="Arial"/>
          <w:b/>
          <w:bCs/>
          <w:szCs w:val="24"/>
        </w:rPr>
      </w:pPr>
    </w:p>
    <w:p w14:paraId="05802DB9" w14:textId="77777777" w:rsidR="00933431" w:rsidRPr="00933431" w:rsidRDefault="00933431" w:rsidP="00933431">
      <w:pPr>
        <w:rPr>
          <w:rFonts w:eastAsia="Times New Roman" w:cs="Arial"/>
          <w:b/>
          <w:bCs/>
          <w:szCs w:val="24"/>
        </w:rPr>
      </w:pPr>
      <w:r w:rsidRPr="00933431">
        <w:rPr>
          <w:rFonts w:eastAsia="Times New Roman" w:cs="Arial"/>
          <w:b/>
          <w:bCs/>
          <w:szCs w:val="24"/>
        </w:rPr>
        <w:t>Key achievements:</w:t>
      </w:r>
    </w:p>
    <w:p w14:paraId="2166C5C3" w14:textId="77777777" w:rsidR="00933431" w:rsidRPr="00933431" w:rsidRDefault="00933431" w:rsidP="00933431">
      <w:pPr>
        <w:rPr>
          <w:rFonts w:eastAsia="Times New Roman" w:cs="Arial"/>
          <w:b/>
          <w:bCs/>
          <w:szCs w:val="24"/>
        </w:rPr>
      </w:pPr>
    </w:p>
    <w:p w14:paraId="7EBD7C1D" w14:textId="77777777" w:rsidR="00933431" w:rsidRPr="00933431" w:rsidRDefault="00933431" w:rsidP="00933431">
      <w:pPr>
        <w:numPr>
          <w:ilvl w:val="0"/>
          <w:numId w:val="21"/>
        </w:numPr>
        <w:rPr>
          <w:rFonts w:eastAsia="Times New Roman" w:cs="Arial"/>
          <w:szCs w:val="24"/>
        </w:rPr>
      </w:pPr>
      <w:r w:rsidRPr="00933431">
        <w:rPr>
          <w:rFonts w:eastAsia="Times New Roman" w:cs="Arial"/>
          <w:szCs w:val="24"/>
        </w:rPr>
        <w:t>It should be noted that the PSU continued to deliver compliant procurement processes across Council with reduced resourcing and with zero challenges.  In addition, procurement savings were over target for the year (£270,110 versus £250,000).</w:t>
      </w:r>
    </w:p>
    <w:p w14:paraId="464F602B" w14:textId="77777777" w:rsidR="00933431" w:rsidRPr="00933431" w:rsidRDefault="00933431" w:rsidP="00933431">
      <w:pPr>
        <w:numPr>
          <w:ilvl w:val="0"/>
          <w:numId w:val="21"/>
        </w:numPr>
        <w:rPr>
          <w:rFonts w:eastAsia="Times New Roman" w:cs="Arial"/>
          <w:szCs w:val="24"/>
        </w:rPr>
      </w:pPr>
      <w:r w:rsidRPr="00933431">
        <w:rPr>
          <w:rFonts w:eastAsia="Times New Roman" w:cs="Arial"/>
          <w:szCs w:val="24"/>
        </w:rPr>
        <w:t>A Strategic Priorities and Resource Requirements Paper, linked to the Strategic Transformation and Efficiency Programme (STEP), was approved by Council in April 2023.  This had enabled substantive work to commence with regard to key STEP projects.</w:t>
      </w:r>
    </w:p>
    <w:p w14:paraId="6E29205E" w14:textId="77777777" w:rsidR="00933431" w:rsidRPr="00933431" w:rsidRDefault="00933431" w:rsidP="00933431">
      <w:pPr>
        <w:numPr>
          <w:ilvl w:val="0"/>
          <w:numId w:val="21"/>
        </w:numPr>
        <w:rPr>
          <w:rFonts w:eastAsia="Times New Roman" w:cs="Arial"/>
          <w:szCs w:val="24"/>
        </w:rPr>
      </w:pPr>
      <w:r w:rsidRPr="00933431">
        <w:rPr>
          <w:rFonts w:eastAsia="Times New Roman" w:cs="Arial"/>
          <w:szCs w:val="24"/>
        </w:rPr>
        <w:t>The Digital Strategy project, a key strand of the Strategic Transformation and Efficiency Programme continued to progress with regular meetings taking place with an external specialist.</w:t>
      </w:r>
    </w:p>
    <w:p w14:paraId="3ACBB2AE" w14:textId="77777777" w:rsidR="00933431" w:rsidRPr="00933431" w:rsidRDefault="00933431" w:rsidP="00933431">
      <w:pPr>
        <w:numPr>
          <w:ilvl w:val="0"/>
          <w:numId w:val="21"/>
        </w:numPr>
        <w:rPr>
          <w:rFonts w:eastAsia="Times New Roman" w:cs="Arial"/>
          <w:szCs w:val="24"/>
        </w:rPr>
      </w:pPr>
      <w:r w:rsidRPr="00933431">
        <w:rPr>
          <w:rFonts w:eastAsia="Times New Roman" w:cs="Arial"/>
          <w:szCs w:val="24"/>
        </w:rPr>
        <w:t>The Corporate Plan Working Group was established in May 2023 incorporating representatives from each Directorate, and most Service areas.  This Group would guide the development of the 2025-29 Corporate Plan in conjunction with the new Council and other key stakeholders.</w:t>
      </w:r>
    </w:p>
    <w:p w14:paraId="339292DB" w14:textId="77777777" w:rsidR="00933431" w:rsidRPr="00933431" w:rsidRDefault="00933431" w:rsidP="00933431">
      <w:pPr>
        <w:rPr>
          <w:rFonts w:eastAsia="Times New Roman" w:cs="Arial"/>
          <w:b/>
          <w:bCs/>
          <w:szCs w:val="24"/>
        </w:rPr>
      </w:pPr>
    </w:p>
    <w:p w14:paraId="1918A6A4" w14:textId="77777777" w:rsidR="00933431" w:rsidRPr="00933431" w:rsidRDefault="00933431" w:rsidP="00933431">
      <w:pPr>
        <w:rPr>
          <w:rFonts w:eastAsia="Times New Roman" w:cs="Arial"/>
          <w:b/>
          <w:bCs/>
          <w:szCs w:val="24"/>
        </w:rPr>
      </w:pPr>
    </w:p>
    <w:p w14:paraId="61BD9534" w14:textId="77777777" w:rsidR="00933431" w:rsidRPr="00933431" w:rsidRDefault="00933431" w:rsidP="00933431">
      <w:pPr>
        <w:rPr>
          <w:rFonts w:eastAsia="Times New Roman" w:cs="Arial"/>
          <w:b/>
          <w:szCs w:val="24"/>
        </w:rPr>
      </w:pPr>
      <w:r w:rsidRPr="00933431">
        <w:rPr>
          <w:rFonts w:eastAsia="Times New Roman" w:cs="Arial"/>
          <w:b/>
          <w:szCs w:val="24"/>
        </w:rPr>
        <w:lastRenderedPageBreak/>
        <w:t>Emerging issues:</w:t>
      </w:r>
    </w:p>
    <w:p w14:paraId="4111CB80" w14:textId="77777777" w:rsidR="00933431" w:rsidRPr="00933431" w:rsidRDefault="00933431" w:rsidP="00933431">
      <w:pPr>
        <w:rPr>
          <w:rFonts w:eastAsia="Times New Roman" w:cs="Arial"/>
          <w:b/>
          <w:szCs w:val="24"/>
        </w:rPr>
      </w:pPr>
    </w:p>
    <w:p w14:paraId="62B8BEA5" w14:textId="77777777" w:rsidR="00933431" w:rsidRPr="00933431" w:rsidRDefault="00933431" w:rsidP="00933431">
      <w:pPr>
        <w:numPr>
          <w:ilvl w:val="0"/>
          <w:numId w:val="21"/>
        </w:numPr>
        <w:rPr>
          <w:rFonts w:eastAsia="Times New Roman" w:cs="Arial"/>
          <w:szCs w:val="24"/>
        </w:rPr>
      </w:pPr>
      <w:r w:rsidRPr="00933431">
        <w:rPr>
          <w:rFonts w:eastAsia="Times New Roman" w:cs="Arial"/>
          <w:szCs w:val="24"/>
        </w:rPr>
        <w:t>The PSU would return to a full staff complement in June 2023, following the successful recruitment of a Procurement Officer during Q4.</w:t>
      </w:r>
    </w:p>
    <w:p w14:paraId="6476B547" w14:textId="77777777" w:rsidR="00933431" w:rsidRPr="00933431" w:rsidRDefault="00933431" w:rsidP="00933431">
      <w:pPr>
        <w:numPr>
          <w:ilvl w:val="0"/>
          <w:numId w:val="21"/>
        </w:numPr>
        <w:rPr>
          <w:rFonts w:eastAsia="Times New Roman" w:cs="Arial"/>
          <w:b/>
          <w:szCs w:val="24"/>
        </w:rPr>
      </w:pPr>
      <w:r w:rsidRPr="00933431">
        <w:rPr>
          <w:rFonts w:eastAsia="Times New Roman" w:cs="Arial"/>
          <w:szCs w:val="24"/>
        </w:rPr>
        <w:t>The Performance Improvement Unit was evolving to have a greater focus on transformation.  As a result, the vacant Performance Manager post was converted into a Transformation Manager role (currently being recruited).  In addition, the vacant Performance Improvement Officer role was converted into a Transformation Officer role, which was currently being recruited along with two new Transformation Officer posts. The future ‘Transformation Service’ will consist of a Transformation Manager, 3 Transformation Officers and a Performance Improvement Officer.</w:t>
      </w:r>
    </w:p>
    <w:p w14:paraId="39154FDE" w14:textId="77777777" w:rsidR="00933431" w:rsidRPr="00933431" w:rsidRDefault="00933431" w:rsidP="00933431">
      <w:pPr>
        <w:rPr>
          <w:rFonts w:eastAsia="Times New Roman" w:cs="Arial"/>
          <w:b/>
          <w:szCs w:val="24"/>
        </w:rPr>
      </w:pPr>
    </w:p>
    <w:p w14:paraId="01A5C0C8" w14:textId="77777777" w:rsidR="00933431" w:rsidRPr="00933431" w:rsidRDefault="00933431" w:rsidP="00933431">
      <w:pPr>
        <w:rPr>
          <w:rFonts w:eastAsia="Times New Roman" w:cs="Arial"/>
          <w:b/>
          <w:szCs w:val="24"/>
        </w:rPr>
      </w:pPr>
      <w:r w:rsidRPr="00933431">
        <w:rPr>
          <w:rFonts w:eastAsia="Times New Roman" w:cs="Arial"/>
          <w:b/>
          <w:szCs w:val="24"/>
        </w:rPr>
        <w:t>Action to be taken:</w:t>
      </w:r>
    </w:p>
    <w:p w14:paraId="4EE176EC" w14:textId="77777777" w:rsidR="00933431" w:rsidRPr="00933431" w:rsidRDefault="00933431" w:rsidP="00933431">
      <w:pPr>
        <w:rPr>
          <w:rFonts w:eastAsia="Times New Roman" w:cs="Arial"/>
          <w:b/>
          <w:szCs w:val="24"/>
        </w:rPr>
      </w:pPr>
    </w:p>
    <w:p w14:paraId="71CF489A" w14:textId="3A9C1367" w:rsidR="00933431" w:rsidRDefault="00933431" w:rsidP="00933431">
      <w:pPr>
        <w:rPr>
          <w:rFonts w:eastAsia="Times New Roman" w:cs="Arial"/>
          <w:szCs w:val="24"/>
        </w:rPr>
      </w:pPr>
      <w:r w:rsidRPr="00933431">
        <w:rPr>
          <w:rFonts w:eastAsia="Times New Roman" w:cs="Arial"/>
          <w:szCs w:val="24"/>
        </w:rPr>
        <w:t>A key project for the new Transformation Service would be to review the performance management and continuous improvement framework and processes.</w:t>
      </w:r>
    </w:p>
    <w:p w14:paraId="059EBE1F" w14:textId="77777777" w:rsidR="008B4015" w:rsidRDefault="008B4015" w:rsidP="008B4015">
      <w:pPr>
        <w:rPr>
          <w:rFonts w:cs="Arial"/>
          <w:b/>
          <w:bCs/>
          <w:szCs w:val="24"/>
        </w:rPr>
      </w:pPr>
    </w:p>
    <w:p w14:paraId="35F05AC4" w14:textId="6749001E" w:rsidR="008B4015" w:rsidRDefault="008B4015" w:rsidP="008B4015">
      <w:pPr>
        <w:rPr>
          <w:rFonts w:cs="Arial"/>
          <w:b/>
          <w:bCs/>
          <w:caps/>
          <w:szCs w:val="24"/>
          <w:u w:val="single"/>
        </w:rPr>
      </w:pPr>
      <w:r>
        <w:rPr>
          <w:rFonts w:cs="Arial"/>
          <w:b/>
          <w:bCs/>
          <w:caps/>
          <w:szCs w:val="24"/>
        </w:rPr>
        <w:t>E</w:t>
      </w:r>
      <w:r w:rsidRPr="00062D77">
        <w:rPr>
          <w:rFonts w:cs="Arial"/>
          <w:b/>
          <w:bCs/>
          <w:caps/>
          <w:szCs w:val="24"/>
        </w:rPr>
        <w:t>)</w:t>
      </w:r>
      <w:r w:rsidRPr="00062D77">
        <w:rPr>
          <w:rFonts w:cs="Arial"/>
          <w:b/>
          <w:bCs/>
          <w:caps/>
          <w:szCs w:val="24"/>
        </w:rPr>
        <w:tab/>
      </w:r>
      <w:r w:rsidR="008F12F5">
        <w:rPr>
          <w:rFonts w:cs="Arial"/>
          <w:b/>
          <w:bCs/>
          <w:caps/>
          <w:szCs w:val="24"/>
          <w:u w:val="single"/>
        </w:rPr>
        <w:t>administration</w:t>
      </w:r>
    </w:p>
    <w:p w14:paraId="60D6F12F" w14:textId="1167940C" w:rsidR="008B4015" w:rsidRPr="00D067F9" w:rsidRDefault="008B4015" w:rsidP="008B4015">
      <w:pPr>
        <w:rPr>
          <w:rFonts w:cs="Arial"/>
          <w:caps/>
          <w:szCs w:val="24"/>
        </w:rPr>
      </w:pPr>
      <w:r>
        <w:rPr>
          <w:rFonts w:cs="Arial"/>
          <w:b/>
          <w:bCs/>
          <w:caps/>
          <w:szCs w:val="24"/>
        </w:rPr>
        <w:tab/>
      </w:r>
      <w:r w:rsidRPr="00D067F9">
        <w:rPr>
          <w:rFonts w:cs="Arial"/>
          <w:szCs w:val="24"/>
        </w:rPr>
        <w:t xml:space="preserve">(Appendix </w:t>
      </w:r>
      <w:r>
        <w:rPr>
          <w:rFonts w:cs="Arial"/>
          <w:szCs w:val="24"/>
        </w:rPr>
        <w:t>V)</w:t>
      </w:r>
    </w:p>
    <w:p w14:paraId="30EF8C11" w14:textId="77777777" w:rsidR="008B4015" w:rsidRPr="00062D77" w:rsidRDefault="008B4015" w:rsidP="008B4015">
      <w:pPr>
        <w:rPr>
          <w:rFonts w:cs="Arial"/>
          <w:b/>
          <w:bCs/>
          <w:caps/>
          <w:szCs w:val="24"/>
        </w:rPr>
      </w:pPr>
    </w:p>
    <w:p w14:paraId="08D93048" w14:textId="77777777" w:rsidR="00F95E24" w:rsidRDefault="00F95E24" w:rsidP="00F95E24">
      <w:pPr>
        <w:rPr>
          <w:rFonts w:cs="Arial"/>
          <w:szCs w:val="24"/>
        </w:rPr>
      </w:pPr>
      <w:r w:rsidRPr="004C6B87">
        <w:rPr>
          <w:rFonts w:cs="Arial"/>
          <w:caps/>
          <w:szCs w:val="24"/>
        </w:rPr>
        <w:t>Previously circulated-</w:t>
      </w:r>
      <w:r>
        <w:rPr>
          <w:rFonts w:cs="Arial"/>
          <w:szCs w:val="24"/>
        </w:rPr>
        <w:t xml:space="preserve"> Report from the Director of Corporate Services detailing the undernoted:</w:t>
      </w:r>
    </w:p>
    <w:p w14:paraId="6E831B70" w14:textId="77777777" w:rsidR="008B4015" w:rsidRDefault="008B4015" w:rsidP="008B4015">
      <w:pPr>
        <w:rPr>
          <w:rFonts w:cs="Arial"/>
          <w:szCs w:val="24"/>
        </w:rPr>
      </w:pPr>
    </w:p>
    <w:p w14:paraId="36C09C16" w14:textId="77777777" w:rsidR="008B4015" w:rsidRPr="0055068C" w:rsidRDefault="008B4015" w:rsidP="008B4015">
      <w:pPr>
        <w:rPr>
          <w:rFonts w:eastAsia="Times New Roman"/>
          <w:b/>
          <w:szCs w:val="20"/>
        </w:rPr>
      </w:pPr>
      <w:r w:rsidRPr="0055068C">
        <w:rPr>
          <w:rFonts w:eastAsia="Times New Roman"/>
          <w:b/>
          <w:szCs w:val="20"/>
        </w:rPr>
        <w:t>Context</w:t>
      </w:r>
    </w:p>
    <w:p w14:paraId="1630D056" w14:textId="77777777" w:rsidR="008B4015" w:rsidRPr="0055068C" w:rsidRDefault="008B4015" w:rsidP="008B4015">
      <w:pPr>
        <w:rPr>
          <w:rFonts w:eastAsia="Times New Roman"/>
          <w:szCs w:val="20"/>
        </w:rPr>
      </w:pPr>
    </w:p>
    <w:p w14:paraId="69B52CA3" w14:textId="77777777" w:rsidR="008B4015" w:rsidRPr="0055068C" w:rsidRDefault="008B4015" w:rsidP="008B4015">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667E484C" w14:textId="77777777" w:rsidR="008B4015" w:rsidRPr="0055068C" w:rsidRDefault="008B4015" w:rsidP="008B4015">
      <w:pPr>
        <w:rPr>
          <w:rFonts w:eastAsia="Times New Roman"/>
          <w:szCs w:val="20"/>
        </w:rPr>
      </w:pPr>
    </w:p>
    <w:p w14:paraId="15A878B5" w14:textId="77777777" w:rsidR="008B4015" w:rsidRPr="0055068C" w:rsidRDefault="008B4015" w:rsidP="00CF34D3">
      <w:pPr>
        <w:numPr>
          <w:ilvl w:val="0"/>
          <w:numId w:val="5"/>
        </w:numPr>
        <w:contextualSpacing/>
        <w:rPr>
          <w:rFonts w:cs="Arial"/>
        </w:rPr>
      </w:pPr>
      <w:r w:rsidRPr="0055068C">
        <w:rPr>
          <w:rFonts w:cs="Arial"/>
        </w:rPr>
        <w:t xml:space="preserve">Community Plan – published every 10-15 years </w:t>
      </w:r>
    </w:p>
    <w:p w14:paraId="7B2B7D36" w14:textId="77777777" w:rsidR="008B4015" w:rsidRPr="0055068C" w:rsidRDefault="008B4015" w:rsidP="00CF34D3">
      <w:pPr>
        <w:numPr>
          <w:ilvl w:val="0"/>
          <w:numId w:val="5"/>
        </w:numPr>
        <w:contextualSpacing/>
        <w:rPr>
          <w:rFonts w:cs="Arial"/>
        </w:rPr>
      </w:pPr>
      <w:r w:rsidRPr="0055068C">
        <w:rPr>
          <w:rFonts w:cs="Arial"/>
        </w:rPr>
        <w:t>Corporate Plan – published every 4 years (Corporate Plan Towards 2024 in operation)</w:t>
      </w:r>
    </w:p>
    <w:p w14:paraId="4E6F6911" w14:textId="77777777" w:rsidR="008B4015" w:rsidRPr="0055068C" w:rsidRDefault="008B4015" w:rsidP="00CF34D3">
      <w:pPr>
        <w:numPr>
          <w:ilvl w:val="0"/>
          <w:numId w:val="5"/>
        </w:numPr>
        <w:contextualSpacing/>
        <w:rPr>
          <w:rFonts w:cs="Arial"/>
        </w:rPr>
      </w:pPr>
      <w:r w:rsidRPr="0055068C">
        <w:rPr>
          <w:rFonts w:cs="Arial"/>
        </w:rPr>
        <w:t>Performance Improvement Plan (PIP) – published annually (for publication 30 September 2022)</w:t>
      </w:r>
    </w:p>
    <w:p w14:paraId="231E931C" w14:textId="77777777" w:rsidR="008B4015" w:rsidRPr="0055068C" w:rsidRDefault="008B4015" w:rsidP="00CF34D3">
      <w:pPr>
        <w:numPr>
          <w:ilvl w:val="0"/>
          <w:numId w:val="5"/>
        </w:numPr>
        <w:contextualSpacing/>
        <w:rPr>
          <w:rFonts w:cs="Arial"/>
        </w:rPr>
      </w:pPr>
      <w:r w:rsidRPr="0055068C">
        <w:rPr>
          <w:rFonts w:cs="Arial"/>
        </w:rPr>
        <w:t>Service Plan – developed annually (approved April/May 2022)</w:t>
      </w:r>
    </w:p>
    <w:p w14:paraId="66FE5C28" w14:textId="77777777" w:rsidR="008B4015" w:rsidRPr="0055068C" w:rsidRDefault="008B4015" w:rsidP="008B4015">
      <w:pPr>
        <w:rPr>
          <w:rFonts w:eastAsia="Times New Roman"/>
          <w:szCs w:val="20"/>
        </w:rPr>
      </w:pPr>
    </w:p>
    <w:p w14:paraId="47225335" w14:textId="77777777" w:rsidR="008B4015" w:rsidRPr="0055068C" w:rsidRDefault="008B4015" w:rsidP="008B4015">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0ADEE895" w14:textId="77777777" w:rsidR="008B4015" w:rsidRPr="0055068C" w:rsidRDefault="008B4015" w:rsidP="008B4015">
      <w:pPr>
        <w:rPr>
          <w:rFonts w:eastAsia="Times New Roman"/>
          <w:b/>
          <w:szCs w:val="20"/>
        </w:rPr>
      </w:pPr>
    </w:p>
    <w:p w14:paraId="248D44D1" w14:textId="77777777" w:rsidR="008B4015" w:rsidRPr="0055068C" w:rsidRDefault="008B4015" w:rsidP="008B4015">
      <w:pPr>
        <w:rPr>
          <w:rFonts w:eastAsia="Times New Roman"/>
          <w:b/>
          <w:szCs w:val="20"/>
        </w:rPr>
      </w:pPr>
      <w:r w:rsidRPr="0055068C">
        <w:rPr>
          <w:rFonts w:eastAsia="Times New Roman"/>
          <w:b/>
          <w:szCs w:val="20"/>
        </w:rPr>
        <w:t>Reporting approach</w:t>
      </w:r>
    </w:p>
    <w:p w14:paraId="5A95D19A" w14:textId="77777777" w:rsidR="008B4015" w:rsidRPr="0055068C" w:rsidRDefault="008B4015" w:rsidP="008B4015">
      <w:pPr>
        <w:rPr>
          <w:rFonts w:eastAsia="Times New Roman"/>
          <w:szCs w:val="20"/>
        </w:rPr>
      </w:pPr>
    </w:p>
    <w:p w14:paraId="4096EC51" w14:textId="77777777" w:rsidR="008B4015" w:rsidRDefault="008B4015" w:rsidP="008B4015">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7E9355A9" w14:textId="77777777" w:rsidR="00261CA5" w:rsidRPr="0055068C" w:rsidRDefault="00261CA5" w:rsidP="008B4015">
      <w:pPr>
        <w:rPr>
          <w:rFonts w:eastAsia="Times New Roman"/>
          <w:szCs w:val="20"/>
        </w:rPr>
      </w:pPr>
    </w:p>
    <w:p w14:paraId="78F4C46D" w14:textId="77777777" w:rsidR="008B4015" w:rsidRPr="0055068C" w:rsidRDefault="008B4015" w:rsidP="008B4015">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4B0DAF16" w14:textId="77777777" w:rsidTr="00E54D0A">
        <w:tc>
          <w:tcPr>
            <w:tcW w:w="2122" w:type="dxa"/>
            <w:shd w:val="clear" w:color="auto" w:fill="BDD6EE"/>
          </w:tcPr>
          <w:p w14:paraId="6120841B" w14:textId="77777777" w:rsidR="008B4015" w:rsidRPr="0055068C" w:rsidRDefault="008B4015" w:rsidP="00E54D0A">
            <w:pPr>
              <w:rPr>
                <w:rFonts w:eastAsia="Times New Roman"/>
                <w:b/>
                <w:szCs w:val="20"/>
              </w:rPr>
            </w:pPr>
            <w:r w:rsidRPr="0055068C">
              <w:rPr>
                <w:rFonts w:eastAsia="Times New Roman"/>
                <w:b/>
                <w:szCs w:val="20"/>
              </w:rPr>
              <w:lastRenderedPageBreak/>
              <w:t>Reference</w:t>
            </w:r>
          </w:p>
        </w:tc>
        <w:tc>
          <w:tcPr>
            <w:tcW w:w="3118" w:type="dxa"/>
            <w:shd w:val="clear" w:color="auto" w:fill="BDD6EE"/>
          </w:tcPr>
          <w:p w14:paraId="3778D90D" w14:textId="77777777" w:rsidR="008B4015" w:rsidRPr="0055068C" w:rsidRDefault="008B4015" w:rsidP="00E54D0A">
            <w:pPr>
              <w:rPr>
                <w:rFonts w:eastAsia="Times New Roman"/>
                <w:b/>
                <w:szCs w:val="20"/>
              </w:rPr>
            </w:pPr>
            <w:r w:rsidRPr="0055068C">
              <w:rPr>
                <w:rFonts w:eastAsia="Times New Roman"/>
                <w:b/>
                <w:szCs w:val="20"/>
              </w:rPr>
              <w:t>Period</w:t>
            </w:r>
          </w:p>
        </w:tc>
        <w:tc>
          <w:tcPr>
            <w:tcW w:w="3776" w:type="dxa"/>
            <w:shd w:val="clear" w:color="auto" w:fill="BDD6EE"/>
          </w:tcPr>
          <w:p w14:paraId="322B8803" w14:textId="77777777" w:rsidR="008B4015" w:rsidRPr="0055068C" w:rsidRDefault="008B4015" w:rsidP="00E54D0A">
            <w:pPr>
              <w:rPr>
                <w:rFonts w:eastAsia="Times New Roman"/>
                <w:b/>
                <w:szCs w:val="20"/>
              </w:rPr>
            </w:pPr>
            <w:r w:rsidRPr="0055068C">
              <w:rPr>
                <w:rFonts w:eastAsia="Times New Roman"/>
                <w:b/>
                <w:szCs w:val="20"/>
              </w:rPr>
              <w:t>Reporting Month</w:t>
            </w:r>
          </w:p>
        </w:tc>
      </w:tr>
      <w:tr w:rsidR="008B4015" w:rsidRPr="0055068C" w14:paraId="4A0F285F" w14:textId="77777777" w:rsidTr="00E54D0A">
        <w:tc>
          <w:tcPr>
            <w:tcW w:w="2122" w:type="dxa"/>
          </w:tcPr>
          <w:p w14:paraId="6702AA38" w14:textId="77777777" w:rsidR="008B4015" w:rsidRPr="0055068C" w:rsidRDefault="008B4015" w:rsidP="00E54D0A">
            <w:pPr>
              <w:rPr>
                <w:rFonts w:eastAsia="Times New Roman"/>
                <w:szCs w:val="20"/>
              </w:rPr>
            </w:pPr>
            <w:r w:rsidRPr="0055068C">
              <w:rPr>
                <w:rFonts w:eastAsia="Times New Roman"/>
                <w:szCs w:val="20"/>
              </w:rPr>
              <w:t>Quarter 1 (Q1)</w:t>
            </w:r>
          </w:p>
        </w:tc>
        <w:tc>
          <w:tcPr>
            <w:tcW w:w="3118" w:type="dxa"/>
          </w:tcPr>
          <w:p w14:paraId="6C490E44" w14:textId="77777777" w:rsidR="008B4015" w:rsidRPr="0055068C" w:rsidRDefault="008B4015" w:rsidP="00E54D0A">
            <w:pPr>
              <w:rPr>
                <w:rFonts w:eastAsia="Times New Roman"/>
                <w:szCs w:val="20"/>
              </w:rPr>
            </w:pPr>
            <w:r w:rsidRPr="0055068C">
              <w:rPr>
                <w:rFonts w:eastAsia="Times New Roman"/>
                <w:szCs w:val="20"/>
              </w:rPr>
              <w:t>April – June</w:t>
            </w:r>
          </w:p>
        </w:tc>
        <w:tc>
          <w:tcPr>
            <w:tcW w:w="3776" w:type="dxa"/>
          </w:tcPr>
          <w:p w14:paraId="49B5446F" w14:textId="77777777" w:rsidR="008B4015" w:rsidRPr="0055068C" w:rsidRDefault="008B4015" w:rsidP="00E54D0A">
            <w:pPr>
              <w:rPr>
                <w:rFonts w:eastAsia="Times New Roman"/>
                <w:szCs w:val="20"/>
              </w:rPr>
            </w:pPr>
            <w:r w:rsidRPr="0055068C">
              <w:rPr>
                <w:rFonts w:eastAsia="Times New Roman"/>
                <w:szCs w:val="20"/>
              </w:rPr>
              <w:t>September</w:t>
            </w:r>
          </w:p>
        </w:tc>
      </w:tr>
      <w:tr w:rsidR="008B4015" w:rsidRPr="0055068C" w14:paraId="0C04089D" w14:textId="77777777" w:rsidTr="00E54D0A">
        <w:tc>
          <w:tcPr>
            <w:tcW w:w="2122" w:type="dxa"/>
          </w:tcPr>
          <w:p w14:paraId="428C9A61" w14:textId="77777777" w:rsidR="008B4015" w:rsidRPr="0055068C" w:rsidRDefault="008B4015" w:rsidP="00E54D0A">
            <w:pPr>
              <w:rPr>
                <w:rFonts w:eastAsia="Times New Roman"/>
                <w:szCs w:val="20"/>
              </w:rPr>
            </w:pPr>
            <w:r w:rsidRPr="0055068C">
              <w:rPr>
                <w:rFonts w:eastAsia="Times New Roman"/>
                <w:szCs w:val="20"/>
              </w:rPr>
              <w:t>Q2</w:t>
            </w:r>
          </w:p>
        </w:tc>
        <w:tc>
          <w:tcPr>
            <w:tcW w:w="3118" w:type="dxa"/>
          </w:tcPr>
          <w:p w14:paraId="270B5B39" w14:textId="77777777" w:rsidR="008B4015" w:rsidRPr="0055068C" w:rsidRDefault="008B4015" w:rsidP="00E54D0A">
            <w:pPr>
              <w:rPr>
                <w:rFonts w:eastAsia="Times New Roman"/>
                <w:szCs w:val="20"/>
              </w:rPr>
            </w:pPr>
            <w:r w:rsidRPr="0055068C">
              <w:rPr>
                <w:rFonts w:eastAsia="Times New Roman"/>
                <w:szCs w:val="20"/>
              </w:rPr>
              <w:t>July – September</w:t>
            </w:r>
          </w:p>
        </w:tc>
        <w:tc>
          <w:tcPr>
            <w:tcW w:w="3776" w:type="dxa"/>
          </w:tcPr>
          <w:p w14:paraId="79B76754" w14:textId="77777777" w:rsidR="008B4015" w:rsidRPr="0055068C" w:rsidRDefault="008B4015" w:rsidP="00E54D0A">
            <w:pPr>
              <w:rPr>
                <w:rFonts w:eastAsia="Times New Roman"/>
                <w:szCs w:val="20"/>
              </w:rPr>
            </w:pPr>
            <w:r w:rsidRPr="0055068C">
              <w:rPr>
                <w:rFonts w:eastAsia="Times New Roman"/>
                <w:szCs w:val="20"/>
              </w:rPr>
              <w:t>December</w:t>
            </w:r>
          </w:p>
        </w:tc>
      </w:tr>
      <w:tr w:rsidR="008B4015" w:rsidRPr="0055068C" w14:paraId="44647411" w14:textId="77777777" w:rsidTr="00E54D0A">
        <w:tc>
          <w:tcPr>
            <w:tcW w:w="2122" w:type="dxa"/>
          </w:tcPr>
          <w:p w14:paraId="11CB35B2" w14:textId="77777777" w:rsidR="008B4015" w:rsidRPr="0055068C" w:rsidRDefault="008B4015" w:rsidP="00E54D0A">
            <w:pPr>
              <w:rPr>
                <w:rFonts w:eastAsia="Times New Roman"/>
                <w:szCs w:val="20"/>
              </w:rPr>
            </w:pPr>
            <w:r w:rsidRPr="0055068C">
              <w:rPr>
                <w:rFonts w:eastAsia="Times New Roman"/>
                <w:szCs w:val="20"/>
              </w:rPr>
              <w:t>Q3</w:t>
            </w:r>
          </w:p>
        </w:tc>
        <w:tc>
          <w:tcPr>
            <w:tcW w:w="3118" w:type="dxa"/>
          </w:tcPr>
          <w:p w14:paraId="3BD7AC28" w14:textId="77777777" w:rsidR="008B4015" w:rsidRPr="0055068C" w:rsidRDefault="008B4015" w:rsidP="00E54D0A">
            <w:pPr>
              <w:rPr>
                <w:rFonts w:eastAsia="Times New Roman"/>
                <w:szCs w:val="20"/>
              </w:rPr>
            </w:pPr>
            <w:r w:rsidRPr="0055068C">
              <w:rPr>
                <w:rFonts w:eastAsia="Times New Roman"/>
                <w:szCs w:val="20"/>
              </w:rPr>
              <w:t>October – December</w:t>
            </w:r>
          </w:p>
        </w:tc>
        <w:tc>
          <w:tcPr>
            <w:tcW w:w="3776" w:type="dxa"/>
          </w:tcPr>
          <w:p w14:paraId="5BF440BD" w14:textId="77777777" w:rsidR="008B4015" w:rsidRPr="0055068C" w:rsidRDefault="008B4015" w:rsidP="00E54D0A">
            <w:pPr>
              <w:rPr>
                <w:rFonts w:eastAsia="Times New Roman"/>
                <w:szCs w:val="20"/>
              </w:rPr>
            </w:pPr>
            <w:r w:rsidRPr="0055068C">
              <w:rPr>
                <w:rFonts w:eastAsia="Times New Roman"/>
                <w:szCs w:val="20"/>
              </w:rPr>
              <w:t>March</w:t>
            </w:r>
          </w:p>
        </w:tc>
      </w:tr>
      <w:tr w:rsidR="008B4015" w:rsidRPr="0055068C" w14:paraId="4B6D5B77" w14:textId="77777777" w:rsidTr="00E54D0A">
        <w:tc>
          <w:tcPr>
            <w:tcW w:w="2122" w:type="dxa"/>
          </w:tcPr>
          <w:p w14:paraId="5CC58F1C" w14:textId="77777777" w:rsidR="008B4015" w:rsidRPr="0055068C" w:rsidRDefault="008B4015" w:rsidP="00E54D0A">
            <w:pPr>
              <w:rPr>
                <w:rFonts w:eastAsia="Times New Roman"/>
                <w:szCs w:val="20"/>
              </w:rPr>
            </w:pPr>
            <w:r w:rsidRPr="0055068C">
              <w:rPr>
                <w:rFonts w:eastAsia="Times New Roman"/>
                <w:szCs w:val="20"/>
              </w:rPr>
              <w:t>Q4</w:t>
            </w:r>
          </w:p>
        </w:tc>
        <w:tc>
          <w:tcPr>
            <w:tcW w:w="3118" w:type="dxa"/>
          </w:tcPr>
          <w:p w14:paraId="22100455" w14:textId="77777777" w:rsidR="008B4015" w:rsidRPr="0055068C" w:rsidRDefault="008B4015" w:rsidP="00E54D0A">
            <w:pPr>
              <w:rPr>
                <w:rFonts w:eastAsia="Times New Roman"/>
                <w:szCs w:val="20"/>
              </w:rPr>
            </w:pPr>
            <w:r w:rsidRPr="0055068C">
              <w:rPr>
                <w:rFonts w:eastAsia="Times New Roman"/>
                <w:szCs w:val="20"/>
              </w:rPr>
              <w:t>January - March</w:t>
            </w:r>
          </w:p>
        </w:tc>
        <w:tc>
          <w:tcPr>
            <w:tcW w:w="3776" w:type="dxa"/>
          </w:tcPr>
          <w:p w14:paraId="5B82FE94" w14:textId="77777777" w:rsidR="008B4015" w:rsidRPr="0055068C" w:rsidRDefault="008B4015" w:rsidP="00E54D0A">
            <w:pPr>
              <w:rPr>
                <w:rFonts w:eastAsia="Times New Roman"/>
                <w:szCs w:val="20"/>
              </w:rPr>
            </w:pPr>
            <w:r w:rsidRPr="0055068C">
              <w:rPr>
                <w:rFonts w:eastAsia="Times New Roman"/>
                <w:szCs w:val="20"/>
              </w:rPr>
              <w:t>June</w:t>
            </w:r>
          </w:p>
        </w:tc>
      </w:tr>
    </w:tbl>
    <w:p w14:paraId="3D5ACD0E" w14:textId="77777777" w:rsidR="008B4015" w:rsidRPr="0055068C" w:rsidRDefault="008B4015" w:rsidP="008B4015">
      <w:pPr>
        <w:rPr>
          <w:rFonts w:eastAsia="Times New Roman"/>
          <w:szCs w:val="20"/>
        </w:rPr>
      </w:pPr>
    </w:p>
    <w:p w14:paraId="5F797058" w14:textId="37318507" w:rsidR="008B4015" w:rsidRDefault="008B4015" w:rsidP="008B4015">
      <w:pPr>
        <w:rPr>
          <w:rFonts w:eastAsia="Times New Roman" w:cs="Arial"/>
          <w:szCs w:val="24"/>
        </w:rPr>
      </w:pPr>
      <w:r w:rsidRPr="0055068C">
        <w:rPr>
          <w:rFonts w:eastAsia="Times New Roman" w:cs="Arial"/>
          <w:szCs w:val="24"/>
        </w:rPr>
        <w:t xml:space="preserve">The report for Quarter </w:t>
      </w:r>
      <w:r w:rsidR="00760C64">
        <w:rPr>
          <w:rFonts w:eastAsia="Times New Roman" w:cs="Arial"/>
          <w:szCs w:val="24"/>
        </w:rPr>
        <w:t>4</w:t>
      </w:r>
      <w:r w:rsidRPr="0055068C">
        <w:rPr>
          <w:rFonts w:eastAsia="Times New Roman" w:cs="Arial"/>
          <w:szCs w:val="24"/>
        </w:rPr>
        <w:t xml:space="preserve"> 2022-23 was attached.</w:t>
      </w:r>
    </w:p>
    <w:p w14:paraId="5E1A7F28" w14:textId="398D1020" w:rsidR="00F44DA6" w:rsidRDefault="00F44DA6" w:rsidP="008B4015">
      <w:pPr>
        <w:rPr>
          <w:rFonts w:eastAsia="Times New Roman" w:cs="Arial"/>
          <w:b/>
          <w:szCs w:val="24"/>
        </w:rPr>
      </w:pPr>
    </w:p>
    <w:p w14:paraId="22EDD6A4" w14:textId="77777777" w:rsidR="00933431" w:rsidRPr="00933431" w:rsidRDefault="00933431" w:rsidP="00933431">
      <w:pPr>
        <w:rPr>
          <w:rFonts w:eastAsia="Times New Roman" w:cs="Arial"/>
          <w:b/>
          <w:iCs/>
          <w:szCs w:val="24"/>
        </w:rPr>
      </w:pPr>
      <w:r w:rsidRPr="00933431">
        <w:rPr>
          <w:rFonts w:eastAsia="Times New Roman" w:cs="Arial"/>
          <w:b/>
          <w:iCs/>
          <w:szCs w:val="24"/>
        </w:rPr>
        <w:t>Key points to note:</w:t>
      </w:r>
    </w:p>
    <w:p w14:paraId="1950188A" w14:textId="77777777" w:rsidR="00933431" w:rsidRPr="00933431" w:rsidRDefault="00933431" w:rsidP="00933431">
      <w:pPr>
        <w:rPr>
          <w:rFonts w:eastAsia="Times New Roman" w:cs="Arial"/>
          <w:szCs w:val="24"/>
        </w:rPr>
      </w:pPr>
      <w:r w:rsidRPr="00933431">
        <w:rPr>
          <w:rFonts w:eastAsia="Times New Roman" w:cs="Arial"/>
          <w:szCs w:val="24"/>
        </w:rPr>
        <w:t xml:space="preserve">The majority of targets in the Administration Service Plan were measured annually.  </w:t>
      </w:r>
    </w:p>
    <w:p w14:paraId="30CA1A22" w14:textId="77777777" w:rsidR="00933431" w:rsidRPr="00933431" w:rsidRDefault="00933431" w:rsidP="00933431">
      <w:pPr>
        <w:rPr>
          <w:rFonts w:eastAsia="Times New Roman" w:cs="Arial"/>
          <w:szCs w:val="24"/>
        </w:rPr>
      </w:pPr>
    </w:p>
    <w:p w14:paraId="54596670" w14:textId="77777777" w:rsidR="00933431" w:rsidRPr="00933431" w:rsidRDefault="00933431" w:rsidP="00933431">
      <w:pPr>
        <w:rPr>
          <w:rFonts w:eastAsia="Times New Roman" w:cs="Arial"/>
          <w:b/>
          <w:bCs/>
          <w:szCs w:val="24"/>
        </w:rPr>
      </w:pPr>
      <w:r w:rsidRPr="00933431">
        <w:rPr>
          <w:rFonts w:eastAsia="Times New Roman" w:cs="Arial"/>
          <w:b/>
          <w:bCs/>
          <w:szCs w:val="24"/>
        </w:rPr>
        <w:t xml:space="preserve">Table 1: Q4 performance update - </w:t>
      </w:r>
      <w:r w:rsidRPr="00933431">
        <w:rPr>
          <w:rFonts w:cs="Arial"/>
          <w:b/>
          <w:bCs/>
          <w:szCs w:val="24"/>
          <w:lang w:eastAsia="en-GB"/>
        </w:rPr>
        <w:t xml:space="preserve">Business as Usual activities </w:t>
      </w:r>
    </w:p>
    <w:p w14:paraId="04BBB999" w14:textId="77777777" w:rsidR="00933431" w:rsidRPr="00933431" w:rsidRDefault="00933431" w:rsidP="00933431">
      <w:pPr>
        <w:rPr>
          <w:rFonts w:eastAsia="Times New Roman"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6011"/>
      </w:tblGrid>
      <w:tr w:rsidR="00933431" w:rsidRPr="00933431" w14:paraId="72180EC5" w14:textId="77777777" w:rsidTr="007311E5">
        <w:trPr>
          <w:trHeight w:val="689"/>
          <w:tblHeader/>
        </w:trPr>
        <w:tc>
          <w:tcPr>
            <w:tcW w:w="3028" w:type="dxa"/>
            <w:shd w:val="clear" w:color="auto" w:fill="4472C4"/>
          </w:tcPr>
          <w:p w14:paraId="30CBCD11" w14:textId="77777777" w:rsidR="00933431" w:rsidRPr="00933431" w:rsidRDefault="00933431" w:rsidP="00933431">
            <w:pPr>
              <w:rPr>
                <w:rFonts w:cs="Arial"/>
                <w:color w:val="FFFFFF"/>
                <w:szCs w:val="24"/>
                <w:lang w:eastAsia="en-GB"/>
              </w:rPr>
            </w:pPr>
            <w:r w:rsidRPr="00933431">
              <w:rPr>
                <w:rFonts w:cs="Arial"/>
                <w:color w:val="FFFFFF"/>
                <w:szCs w:val="24"/>
                <w:lang w:eastAsia="en-GB"/>
              </w:rPr>
              <w:t xml:space="preserve">Business as Usual activities we will </w:t>
            </w:r>
            <w:r w:rsidRPr="00933431">
              <w:rPr>
                <w:rFonts w:cs="Arial"/>
                <w:b/>
                <w:bCs/>
                <w:color w:val="FFFFFF"/>
                <w:szCs w:val="24"/>
                <w:lang w:eastAsia="en-GB"/>
              </w:rPr>
              <w:t>deliver in 2022/2023</w:t>
            </w:r>
            <w:r w:rsidRPr="00933431">
              <w:rPr>
                <w:rFonts w:cs="Arial"/>
                <w:color w:val="FFFFFF"/>
                <w:szCs w:val="24"/>
                <w:lang w:eastAsia="en-GB"/>
              </w:rPr>
              <w:t xml:space="preserve"> (</w:t>
            </w:r>
            <w:r w:rsidRPr="00933431">
              <w:rPr>
                <w:rFonts w:cs="Arial"/>
                <w:b/>
                <w:color w:val="FFFFFF"/>
                <w:szCs w:val="24"/>
                <w:lang w:eastAsia="en-GB"/>
              </w:rPr>
              <w:t>actions</w:t>
            </w:r>
            <w:r w:rsidRPr="00933431">
              <w:rPr>
                <w:rFonts w:cs="Arial"/>
                <w:color w:val="FFFFFF"/>
                <w:szCs w:val="24"/>
                <w:lang w:eastAsia="en-GB"/>
              </w:rPr>
              <w:t>)</w:t>
            </w:r>
          </w:p>
        </w:tc>
        <w:tc>
          <w:tcPr>
            <w:tcW w:w="6011" w:type="dxa"/>
            <w:shd w:val="clear" w:color="auto" w:fill="4472C4"/>
          </w:tcPr>
          <w:p w14:paraId="1586DEA5" w14:textId="77777777" w:rsidR="00933431" w:rsidRPr="00933431" w:rsidRDefault="00933431" w:rsidP="00933431">
            <w:pPr>
              <w:rPr>
                <w:rFonts w:cs="Arial"/>
                <w:color w:val="FFFFFF"/>
                <w:szCs w:val="24"/>
                <w:lang w:eastAsia="en-GB"/>
              </w:rPr>
            </w:pPr>
            <w:r w:rsidRPr="00933431">
              <w:rPr>
                <w:rFonts w:cs="Arial"/>
                <w:color w:val="FFFFFF"/>
                <w:szCs w:val="24"/>
                <w:lang w:eastAsia="en-GB"/>
              </w:rPr>
              <w:t>Q4 update</w:t>
            </w:r>
          </w:p>
        </w:tc>
      </w:tr>
      <w:tr w:rsidR="00933431" w:rsidRPr="00933431" w14:paraId="1886C81F" w14:textId="77777777" w:rsidTr="007311E5">
        <w:tc>
          <w:tcPr>
            <w:tcW w:w="3028" w:type="dxa"/>
          </w:tcPr>
          <w:p w14:paraId="1FFB8990" w14:textId="77777777" w:rsidR="00933431" w:rsidRPr="00933431" w:rsidRDefault="00933431" w:rsidP="00933431">
            <w:pPr>
              <w:rPr>
                <w:rFonts w:cs="Arial"/>
                <w:szCs w:val="24"/>
                <w:lang w:eastAsia="en-GB"/>
              </w:rPr>
            </w:pPr>
            <w:r w:rsidRPr="00933431">
              <w:rPr>
                <w:rFonts w:cs="Arial"/>
                <w:color w:val="000000"/>
                <w:szCs w:val="24"/>
                <w:lang w:eastAsia="en-GB"/>
              </w:rPr>
              <w:t xml:space="preserve">Monitor the implementation of the action plan in the Roadmap to Sustainability  </w:t>
            </w:r>
          </w:p>
        </w:tc>
        <w:tc>
          <w:tcPr>
            <w:tcW w:w="6011" w:type="dxa"/>
          </w:tcPr>
          <w:p w14:paraId="0FD925AB" w14:textId="77777777" w:rsidR="00933431" w:rsidRPr="00933431" w:rsidRDefault="00933431" w:rsidP="00933431">
            <w:pPr>
              <w:rPr>
                <w:rFonts w:cs="Arial"/>
                <w:szCs w:val="24"/>
                <w:lang w:eastAsia="en-GB"/>
              </w:rPr>
            </w:pPr>
            <w:r w:rsidRPr="00933431">
              <w:rPr>
                <w:rFonts w:cs="Arial"/>
                <w:szCs w:val="24"/>
                <w:lang w:eastAsia="en-GB"/>
              </w:rPr>
              <w:t xml:space="preserve">Meeting target. 6 monthly updates were provided to Council. An advisory audit had taken place with highlighted some additional work required to ensure that this roadmap was delivering on the actions set.  </w:t>
            </w:r>
          </w:p>
        </w:tc>
      </w:tr>
      <w:tr w:rsidR="00933431" w:rsidRPr="00933431" w14:paraId="6B84541E" w14:textId="77777777" w:rsidTr="007311E5">
        <w:tc>
          <w:tcPr>
            <w:tcW w:w="3028" w:type="dxa"/>
          </w:tcPr>
          <w:p w14:paraId="05B80D2E" w14:textId="77777777" w:rsidR="00933431" w:rsidRPr="00933431" w:rsidRDefault="00933431" w:rsidP="00933431">
            <w:pPr>
              <w:rPr>
                <w:rFonts w:cs="Arial"/>
                <w:szCs w:val="24"/>
                <w:lang w:eastAsia="en-GB"/>
              </w:rPr>
            </w:pPr>
            <w:r w:rsidRPr="00933431">
              <w:rPr>
                <w:rFonts w:cs="Arial"/>
                <w:color w:val="000000"/>
                <w:szCs w:val="24"/>
                <w:lang w:eastAsia="en-GB"/>
              </w:rPr>
              <w:t>Catalogue and digitise all PROWs (alleged and asserted) and investigate any encroachments where required</w:t>
            </w:r>
          </w:p>
        </w:tc>
        <w:tc>
          <w:tcPr>
            <w:tcW w:w="6011" w:type="dxa"/>
          </w:tcPr>
          <w:p w14:paraId="00DE4EDE" w14:textId="77777777" w:rsidR="00933431" w:rsidRPr="00933431" w:rsidRDefault="00933431" w:rsidP="00933431">
            <w:pPr>
              <w:rPr>
                <w:rFonts w:cs="Arial"/>
                <w:szCs w:val="24"/>
                <w:lang w:eastAsia="en-GB"/>
              </w:rPr>
            </w:pPr>
            <w:r w:rsidRPr="00933431">
              <w:rPr>
                <w:rFonts w:cs="Arial"/>
                <w:szCs w:val="24"/>
                <w:lang w:eastAsia="en-GB"/>
              </w:rPr>
              <w:t xml:space="preserve">Met target. Digitisation project was complete and the Officer was working their way through the queries on current database. Status update report would be presented in near future. </w:t>
            </w:r>
          </w:p>
        </w:tc>
      </w:tr>
      <w:tr w:rsidR="00933431" w:rsidRPr="00933431" w14:paraId="3ABF7E88" w14:textId="77777777" w:rsidTr="007311E5">
        <w:tc>
          <w:tcPr>
            <w:tcW w:w="3028" w:type="dxa"/>
          </w:tcPr>
          <w:p w14:paraId="4E9BE8F4" w14:textId="77777777" w:rsidR="00933431" w:rsidRPr="00933431" w:rsidRDefault="00933431" w:rsidP="00933431">
            <w:pPr>
              <w:rPr>
                <w:rFonts w:cs="Arial"/>
                <w:szCs w:val="24"/>
                <w:lang w:eastAsia="en-GB"/>
              </w:rPr>
            </w:pPr>
            <w:bookmarkStart w:id="5" w:name="_Hlk96517360"/>
            <w:r w:rsidRPr="00933431">
              <w:rPr>
                <w:rFonts w:cs="Arial"/>
                <w:szCs w:val="24"/>
                <w:lang w:eastAsia="en-GB"/>
              </w:rPr>
              <w:t>EMS – Retain accreditation and use framework in all Council buildings to ensure best practice</w:t>
            </w:r>
            <w:bookmarkEnd w:id="5"/>
          </w:p>
        </w:tc>
        <w:tc>
          <w:tcPr>
            <w:tcW w:w="6011" w:type="dxa"/>
          </w:tcPr>
          <w:p w14:paraId="4E44A6CA" w14:textId="77777777" w:rsidR="00933431" w:rsidRPr="00933431" w:rsidRDefault="00933431" w:rsidP="00933431">
            <w:pPr>
              <w:rPr>
                <w:rFonts w:cs="Arial"/>
                <w:szCs w:val="24"/>
                <w:lang w:eastAsia="en-GB"/>
              </w:rPr>
            </w:pPr>
            <w:r w:rsidRPr="00933431">
              <w:rPr>
                <w:rFonts w:cs="Arial"/>
                <w:szCs w:val="24"/>
                <w:lang w:eastAsia="en-GB"/>
              </w:rPr>
              <w:t xml:space="preserve">Meeting target – The Council had retained accreditation. </w:t>
            </w:r>
          </w:p>
        </w:tc>
      </w:tr>
      <w:tr w:rsidR="00933431" w:rsidRPr="00933431" w14:paraId="3516448E" w14:textId="77777777" w:rsidTr="007311E5">
        <w:tc>
          <w:tcPr>
            <w:tcW w:w="3028" w:type="dxa"/>
          </w:tcPr>
          <w:p w14:paraId="5F65F781" w14:textId="77777777" w:rsidR="00933431" w:rsidRPr="00933431" w:rsidRDefault="00933431" w:rsidP="00933431">
            <w:pPr>
              <w:rPr>
                <w:rFonts w:cs="Arial"/>
                <w:szCs w:val="24"/>
                <w:lang w:eastAsia="en-GB"/>
              </w:rPr>
            </w:pPr>
            <w:r w:rsidRPr="00933431">
              <w:rPr>
                <w:rFonts w:cs="Arial"/>
                <w:color w:val="000000"/>
                <w:szCs w:val="24"/>
                <w:lang w:eastAsia="en-GB"/>
              </w:rPr>
              <w:t xml:space="preserve">Confer 2 Freedom of the Boroughs  </w:t>
            </w:r>
          </w:p>
        </w:tc>
        <w:tc>
          <w:tcPr>
            <w:tcW w:w="6011" w:type="dxa"/>
          </w:tcPr>
          <w:p w14:paraId="65D4F05E" w14:textId="77777777" w:rsidR="00933431" w:rsidRPr="00933431" w:rsidRDefault="00933431" w:rsidP="00933431">
            <w:pPr>
              <w:rPr>
                <w:rFonts w:cs="Arial"/>
                <w:szCs w:val="24"/>
                <w:lang w:eastAsia="en-GB"/>
              </w:rPr>
            </w:pPr>
            <w:r w:rsidRPr="00933431">
              <w:rPr>
                <w:rFonts w:cs="Arial"/>
                <w:szCs w:val="24"/>
                <w:lang w:eastAsia="en-GB"/>
              </w:rPr>
              <w:t xml:space="preserve">Met target – Conferred the Freedom of the Borough on the Irish Guards in June 2022 and Gary Lightbody in August 2022. </w:t>
            </w:r>
          </w:p>
        </w:tc>
      </w:tr>
      <w:tr w:rsidR="00933431" w:rsidRPr="00933431" w14:paraId="2B99667E" w14:textId="77777777" w:rsidTr="007311E5">
        <w:tc>
          <w:tcPr>
            <w:tcW w:w="3028" w:type="dxa"/>
          </w:tcPr>
          <w:p w14:paraId="3250BF79" w14:textId="77777777" w:rsidR="00933431" w:rsidRPr="00933431" w:rsidRDefault="00933431" w:rsidP="00933431">
            <w:pPr>
              <w:rPr>
                <w:rFonts w:cs="Arial"/>
                <w:szCs w:val="24"/>
                <w:lang w:eastAsia="en-GB"/>
              </w:rPr>
            </w:pPr>
            <w:r w:rsidRPr="00933431">
              <w:rPr>
                <w:rFonts w:cs="Arial"/>
                <w:color w:val="000000"/>
                <w:szCs w:val="24"/>
                <w:lang w:eastAsia="en-GB"/>
              </w:rPr>
              <w:t>All agendas circulated within 5-day notice period</w:t>
            </w:r>
          </w:p>
        </w:tc>
        <w:tc>
          <w:tcPr>
            <w:tcW w:w="6011" w:type="dxa"/>
          </w:tcPr>
          <w:p w14:paraId="5ECE4E29" w14:textId="77777777" w:rsidR="00933431" w:rsidRPr="00933431" w:rsidRDefault="00933431" w:rsidP="00933431">
            <w:pPr>
              <w:rPr>
                <w:rFonts w:cs="Arial"/>
                <w:szCs w:val="24"/>
                <w:lang w:eastAsia="en-GB"/>
              </w:rPr>
            </w:pPr>
            <w:r w:rsidRPr="00933431">
              <w:rPr>
                <w:rFonts w:cs="Arial"/>
                <w:szCs w:val="24"/>
                <w:lang w:eastAsia="en-GB"/>
              </w:rPr>
              <w:t xml:space="preserve">Met target - 100% of Agendas went out 5 days in advance of all Committee and Council meetings. </w:t>
            </w:r>
          </w:p>
        </w:tc>
      </w:tr>
      <w:tr w:rsidR="00933431" w:rsidRPr="00933431" w14:paraId="2EF90354" w14:textId="77777777" w:rsidTr="007311E5">
        <w:tc>
          <w:tcPr>
            <w:tcW w:w="3028" w:type="dxa"/>
          </w:tcPr>
          <w:p w14:paraId="36FDC352" w14:textId="77777777" w:rsidR="00933431" w:rsidRPr="00933431" w:rsidRDefault="00933431" w:rsidP="00933431">
            <w:pPr>
              <w:rPr>
                <w:rFonts w:cs="Arial"/>
                <w:color w:val="000000"/>
                <w:szCs w:val="24"/>
                <w:lang w:eastAsia="en-GB"/>
              </w:rPr>
            </w:pPr>
            <w:r w:rsidRPr="00933431">
              <w:rPr>
                <w:rFonts w:cs="Arial"/>
                <w:color w:val="000000"/>
                <w:szCs w:val="24"/>
                <w:lang w:eastAsia="en-GB"/>
              </w:rPr>
              <w:t>Hold 4 Corporate Health and Safety meetings – with input from directorate Health and Safety meetings</w:t>
            </w:r>
          </w:p>
        </w:tc>
        <w:tc>
          <w:tcPr>
            <w:tcW w:w="6011" w:type="dxa"/>
          </w:tcPr>
          <w:p w14:paraId="403AE892" w14:textId="77777777" w:rsidR="00933431" w:rsidRPr="00933431" w:rsidRDefault="00933431" w:rsidP="00933431">
            <w:pPr>
              <w:rPr>
                <w:rFonts w:cs="Arial"/>
                <w:szCs w:val="24"/>
                <w:lang w:eastAsia="en-GB"/>
              </w:rPr>
            </w:pPr>
            <w:r w:rsidRPr="00933431">
              <w:rPr>
                <w:rFonts w:cs="Arial"/>
                <w:szCs w:val="24"/>
                <w:lang w:eastAsia="en-GB"/>
              </w:rPr>
              <w:t>Meeting target. Group met on the 6</w:t>
            </w:r>
            <w:r w:rsidRPr="00933431">
              <w:rPr>
                <w:rFonts w:cs="Arial"/>
                <w:szCs w:val="24"/>
                <w:vertAlign w:val="superscript"/>
                <w:lang w:eastAsia="en-GB"/>
              </w:rPr>
              <w:t>th</w:t>
            </w:r>
            <w:r w:rsidRPr="00933431">
              <w:rPr>
                <w:rFonts w:cs="Arial"/>
                <w:szCs w:val="24"/>
                <w:lang w:eastAsia="en-GB"/>
              </w:rPr>
              <w:t xml:space="preserve"> May and 15</w:t>
            </w:r>
            <w:r w:rsidRPr="00933431">
              <w:rPr>
                <w:rFonts w:cs="Arial"/>
                <w:szCs w:val="24"/>
                <w:vertAlign w:val="superscript"/>
                <w:lang w:eastAsia="en-GB"/>
              </w:rPr>
              <w:t>th</w:t>
            </w:r>
            <w:r w:rsidRPr="00933431">
              <w:rPr>
                <w:rFonts w:cs="Arial"/>
                <w:szCs w:val="24"/>
                <w:lang w:eastAsia="en-GB"/>
              </w:rPr>
              <w:t xml:space="preserve"> August 2022 and 5</w:t>
            </w:r>
            <w:r w:rsidRPr="00933431">
              <w:rPr>
                <w:rFonts w:cs="Arial"/>
                <w:szCs w:val="24"/>
                <w:vertAlign w:val="superscript"/>
                <w:lang w:eastAsia="en-GB"/>
              </w:rPr>
              <w:t>th</w:t>
            </w:r>
            <w:r w:rsidRPr="00933431">
              <w:rPr>
                <w:rFonts w:cs="Arial"/>
                <w:szCs w:val="24"/>
                <w:lang w:eastAsia="en-GB"/>
              </w:rPr>
              <w:t xml:space="preserve"> December 2022 and 6</w:t>
            </w:r>
            <w:r w:rsidRPr="00933431">
              <w:rPr>
                <w:rFonts w:cs="Arial"/>
                <w:szCs w:val="24"/>
                <w:vertAlign w:val="superscript"/>
                <w:lang w:eastAsia="en-GB"/>
              </w:rPr>
              <w:t>th</w:t>
            </w:r>
            <w:r w:rsidRPr="00933431">
              <w:rPr>
                <w:rFonts w:cs="Arial"/>
                <w:szCs w:val="24"/>
                <w:lang w:eastAsia="en-GB"/>
              </w:rPr>
              <w:t xml:space="preserve"> March 2023 . Meetings scheduled on a quarterly basis.</w:t>
            </w:r>
          </w:p>
        </w:tc>
      </w:tr>
      <w:tr w:rsidR="00933431" w:rsidRPr="00933431" w14:paraId="4A86F336" w14:textId="77777777" w:rsidTr="007311E5">
        <w:tc>
          <w:tcPr>
            <w:tcW w:w="3028" w:type="dxa"/>
          </w:tcPr>
          <w:p w14:paraId="220182A3" w14:textId="77777777" w:rsidR="00933431" w:rsidRPr="00933431" w:rsidRDefault="00933431" w:rsidP="00933431">
            <w:pPr>
              <w:rPr>
                <w:rFonts w:cs="Arial"/>
                <w:color w:val="000000"/>
                <w:szCs w:val="24"/>
                <w:lang w:eastAsia="en-GB"/>
              </w:rPr>
            </w:pPr>
            <w:r w:rsidRPr="00933431">
              <w:rPr>
                <w:rFonts w:cs="Arial"/>
                <w:szCs w:val="24"/>
                <w:lang w:eastAsia="en-GB"/>
              </w:rPr>
              <w:t>Deliver ‘It Takes Allsorts’ programme to address current identified issues of minority populations annually</w:t>
            </w:r>
          </w:p>
        </w:tc>
        <w:tc>
          <w:tcPr>
            <w:tcW w:w="6011" w:type="dxa"/>
          </w:tcPr>
          <w:p w14:paraId="2EFD67E1" w14:textId="77777777" w:rsidR="00933431" w:rsidRPr="00933431" w:rsidRDefault="00933431" w:rsidP="00933431">
            <w:pPr>
              <w:rPr>
                <w:rFonts w:cs="Arial"/>
                <w:szCs w:val="24"/>
                <w:lang w:eastAsia="en-GB"/>
              </w:rPr>
            </w:pPr>
            <w:r w:rsidRPr="00933431">
              <w:rPr>
                <w:rFonts w:cs="Arial"/>
                <w:szCs w:val="24"/>
                <w:lang w:eastAsia="en-GB"/>
              </w:rPr>
              <w:t xml:space="preserve">Met target, programme had concluded and was well received as always. </w:t>
            </w:r>
          </w:p>
        </w:tc>
      </w:tr>
      <w:tr w:rsidR="00933431" w:rsidRPr="00933431" w14:paraId="692C9C20" w14:textId="77777777" w:rsidTr="007311E5">
        <w:tc>
          <w:tcPr>
            <w:tcW w:w="3028" w:type="dxa"/>
          </w:tcPr>
          <w:p w14:paraId="362D3B9B" w14:textId="77777777" w:rsidR="00933431" w:rsidRPr="00933431" w:rsidRDefault="00933431" w:rsidP="00933431">
            <w:pPr>
              <w:rPr>
                <w:rFonts w:cs="Arial"/>
                <w:szCs w:val="24"/>
                <w:lang w:eastAsia="en-GB"/>
              </w:rPr>
            </w:pPr>
            <w:r w:rsidRPr="00933431">
              <w:rPr>
                <w:rFonts w:cs="Arial"/>
                <w:color w:val="000000"/>
                <w:szCs w:val="24"/>
                <w:lang w:eastAsia="en-GB"/>
              </w:rPr>
              <w:t xml:space="preserve">FOI/EIR Information response times in compliance with legislation  </w:t>
            </w:r>
          </w:p>
        </w:tc>
        <w:tc>
          <w:tcPr>
            <w:tcW w:w="6011" w:type="dxa"/>
          </w:tcPr>
          <w:p w14:paraId="00546CC0" w14:textId="77777777" w:rsidR="00933431" w:rsidRPr="00933431" w:rsidRDefault="00933431" w:rsidP="00933431">
            <w:pPr>
              <w:rPr>
                <w:rFonts w:cs="Arial"/>
                <w:szCs w:val="24"/>
                <w:lang w:eastAsia="en-GB"/>
              </w:rPr>
            </w:pPr>
            <w:r w:rsidRPr="00933431">
              <w:rPr>
                <w:rFonts w:cs="Arial"/>
                <w:szCs w:val="24"/>
                <w:lang w:eastAsia="en-GB"/>
              </w:rPr>
              <w:t>Missed Target – 97% This was an improvement from 93% for same period last year and given the increased number and complex nature of many FOI requests this was an excellent compliance rate.</w:t>
            </w:r>
          </w:p>
          <w:p w14:paraId="41DCA125" w14:textId="77777777" w:rsidR="00933431" w:rsidRPr="00933431" w:rsidRDefault="00933431" w:rsidP="00933431">
            <w:pPr>
              <w:rPr>
                <w:rFonts w:cs="Arial"/>
                <w:szCs w:val="24"/>
              </w:rPr>
            </w:pPr>
          </w:p>
          <w:p w14:paraId="481EE667" w14:textId="77777777" w:rsidR="00933431" w:rsidRPr="00933431" w:rsidRDefault="00933431" w:rsidP="00933431">
            <w:pPr>
              <w:rPr>
                <w:rFonts w:cs="Arial"/>
                <w:szCs w:val="24"/>
              </w:rPr>
            </w:pPr>
            <w:r w:rsidRPr="00933431">
              <w:rPr>
                <w:rFonts w:cs="Arial"/>
                <w:szCs w:val="24"/>
              </w:rPr>
              <w:t>A summary of this quarter compared with the same quarter last year was as follows:</w:t>
            </w:r>
          </w:p>
          <w:p w14:paraId="6479DD19" w14:textId="77777777" w:rsidR="00933431" w:rsidRPr="00933431" w:rsidRDefault="00933431" w:rsidP="00933431">
            <w:pPr>
              <w:rPr>
                <w:rFonts w:ascii="Times New Roman" w:eastAsia="Times New Roman" w:hAnsi="Times New Roman"/>
                <w:sz w:val="22"/>
              </w:rPr>
            </w:pPr>
          </w:p>
          <w:tbl>
            <w:tblPr>
              <w:tblW w:w="0" w:type="auto"/>
              <w:tblCellMar>
                <w:left w:w="0" w:type="dxa"/>
                <w:right w:w="0" w:type="dxa"/>
              </w:tblCellMar>
              <w:tblLook w:val="04A0" w:firstRow="1" w:lastRow="0" w:firstColumn="1" w:lastColumn="0" w:noHBand="0" w:noVBand="1"/>
            </w:tblPr>
            <w:tblGrid>
              <w:gridCol w:w="2161"/>
              <w:gridCol w:w="1807"/>
              <w:gridCol w:w="1807"/>
            </w:tblGrid>
            <w:tr w:rsidR="00933431" w:rsidRPr="00933431" w14:paraId="6BAA385C" w14:textId="77777777" w:rsidTr="007311E5">
              <w:tc>
                <w:tcPr>
                  <w:tcW w:w="3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240690" w14:textId="77777777" w:rsidR="00933431" w:rsidRPr="00933431" w:rsidRDefault="00933431" w:rsidP="00933431">
                  <w:pPr>
                    <w:rPr>
                      <w:rFonts w:ascii="Calibri" w:hAnsi="Calibri" w:cs="Calibri"/>
                      <w:b/>
                      <w:bCs/>
                      <w:sz w:val="22"/>
                      <w:lang w:eastAsia="en-GB"/>
                    </w:rPr>
                  </w:pPr>
                  <w:r w:rsidRPr="00933431">
                    <w:rPr>
                      <w:rFonts w:ascii="Calibri" w:hAnsi="Calibri" w:cs="Calibri"/>
                      <w:b/>
                      <w:bCs/>
                      <w:sz w:val="22"/>
                      <w:lang w:eastAsia="en-GB"/>
                    </w:rPr>
                    <w:t> </w:t>
                  </w:r>
                </w:p>
              </w:tc>
              <w:tc>
                <w:tcPr>
                  <w:tcW w:w="3752" w:type="dxa"/>
                  <w:tcBorders>
                    <w:top w:val="single" w:sz="8" w:space="0" w:color="auto"/>
                    <w:left w:val="nil"/>
                    <w:bottom w:val="single" w:sz="8" w:space="0" w:color="auto"/>
                    <w:right w:val="single" w:sz="8" w:space="0" w:color="auto"/>
                  </w:tcBorders>
                  <w:hideMark/>
                </w:tcPr>
                <w:p w14:paraId="2B1C8D2B" w14:textId="77777777" w:rsidR="00933431" w:rsidRPr="00933431" w:rsidRDefault="00933431" w:rsidP="00933431">
                  <w:pPr>
                    <w:rPr>
                      <w:rFonts w:ascii="Calibri" w:hAnsi="Calibri" w:cs="Calibri"/>
                      <w:b/>
                      <w:bCs/>
                      <w:sz w:val="22"/>
                      <w:lang w:eastAsia="en-GB"/>
                    </w:rPr>
                  </w:pPr>
                  <w:r w:rsidRPr="00933431">
                    <w:rPr>
                      <w:rFonts w:ascii="Calibri" w:hAnsi="Calibri" w:cs="Calibri"/>
                      <w:b/>
                      <w:bCs/>
                      <w:sz w:val="22"/>
                      <w:lang w:eastAsia="en-GB"/>
                    </w:rPr>
                    <w:t>1 January 2023 to 31 March 2023 (2022/23 Q4)</w:t>
                  </w:r>
                </w:p>
              </w:tc>
              <w:tc>
                <w:tcPr>
                  <w:tcW w:w="3752" w:type="dxa"/>
                  <w:tcBorders>
                    <w:top w:val="single" w:sz="8" w:space="0" w:color="auto"/>
                    <w:left w:val="nil"/>
                    <w:bottom w:val="single" w:sz="8" w:space="0" w:color="auto"/>
                    <w:right w:val="single" w:sz="8" w:space="0" w:color="auto"/>
                  </w:tcBorders>
                  <w:hideMark/>
                </w:tcPr>
                <w:p w14:paraId="01606FB6" w14:textId="77777777" w:rsidR="00933431" w:rsidRPr="00933431" w:rsidRDefault="00933431" w:rsidP="00933431">
                  <w:pPr>
                    <w:rPr>
                      <w:rFonts w:ascii="Calibri" w:hAnsi="Calibri" w:cs="Calibri"/>
                      <w:b/>
                      <w:bCs/>
                      <w:sz w:val="22"/>
                      <w:lang w:eastAsia="en-GB"/>
                    </w:rPr>
                  </w:pPr>
                  <w:r w:rsidRPr="00933431">
                    <w:rPr>
                      <w:rFonts w:ascii="Calibri" w:hAnsi="Calibri" w:cs="Calibri"/>
                      <w:b/>
                      <w:bCs/>
                      <w:sz w:val="22"/>
                      <w:lang w:eastAsia="en-GB"/>
                    </w:rPr>
                    <w:t>1 January 2022 to 31 March 2022 (2021/22 Q4)</w:t>
                  </w:r>
                </w:p>
              </w:tc>
            </w:tr>
            <w:tr w:rsidR="00933431" w:rsidRPr="00933431" w14:paraId="02E96C33" w14:textId="77777777" w:rsidTr="007311E5">
              <w:tc>
                <w:tcPr>
                  <w:tcW w:w="3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117CE" w14:textId="77777777" w:rsidR="00933431" w:rsidRPr="00933431" w:rsidRDefault="00933431" w:rsidP="00933431">
                  <w:pPr>
                    <w:rPr>
                      <w:rFonts w:ascii="Calibri" w:hAnsi="Calibri" w:cs="Calibri"/>
                      <w:b/>
                      <w:bCs/>
                      <w:sz w:val="22"/>
                      <w:lang w:eastAsia="en-GB"/>
                    </w:rPr>
                  </w:pPr>
                  <w:r w:rsidRPr="00933431">
                    <w:rPr>
                      <w:rFonts w:ascii="Calibri" w:hAnsi="Calibri" w:cs="Calibri"/>
                      <w:b/>
                      <w:bCs/>
                      <w:sz w:val="22"/>
                      <w:lang w:eastAsia="en-GB"/>
                    </w:rPr>
                    <w:t>Number received</w:t>
                  </w:r>
                </w:p>
              </w:tc>
              <w:tc>
                <w:tcPr>
                  <w:tcW w:w="3752" w:type="dxa"/>
                  <w:tcBorders>
                    <w:top w:val="nil"/>
                    <w:left w:val="nil"/>
                    <w:bottom w:val="single" w:sz="8" w:space="0" w:color="auto"/>
                    <w:right w:val="single" w:sz="8" w:space="0" w:color="auto"/>
                  </w:tcBorders>
                  <w:hideMark/>
                </w:tcPr>
                <w:p w14:paraId="683B4546" w14:textId="77777777" w:rsidR="00933431" w:rsidRPr="00933431" w:rsidRDefault="00933431" w:rsidP="00933431">
                  <w:pPr>
                    <w:rPr>
                      <w:rFonts w:ascii="Calibri" w:hAnsi="Calibri" w:cs="Calibri"/>
                      <w:sz w:val="22"/>
                      <w:lang w:eastAsia="en-GB"/>
                    </w:rPr>
                  </w:pPr>
                  <w:r w:rsidRPr="00933431">
                    <w:rPr>
                      <w:rFonts w:ascii="Calibri" w:hAnsi="Calibri" w:cs="Calibri"/>
                      <w:sz w:val="22"/>
                      <w:lang w:eastAsia="en-GB"/>
                    </w:rPr>
                    <w:t>193</w:t>
                  </w:r>
                </w:p>
              </w:tc>
              <w:tc>
                <w:tcPr>
                  <w:tcW w:w="3752" w:type="dxa"/>
                  <w:tcBorders>
                    <w:top w:val="nil"/>
                    <w:left w:val="nil"/>
                    <w:bottom w:val="single" w:sz="8" w:space="0" w:color="auto"/>
                    <w:right w:val="single" w:sz="8" w:space="0" w:color="auto"/>
                  </w:tcBorders>
                  <w:hideMark/>
                </w:tcPr>
                <w:p w14:paraId="44DD8FFB" w14:textId="77777777" w:rsidR="00933431" w:rsidRPr="00933431" w:rsidRDefault="00933431" w:rsidP="00933431">
                  <w:pPr>
                    <w:rPr>
                      <w:rFonts w:ascii="Calibri" w:hAnsi="Calibri" w:cs="Calibri"/>
                      <w:sz w:val="22"/>
                      <w:lang w:eastAsia="en-GB"/>
                    </w:rPr>
                  </w:pPr>
                  <w:r w:rsidRPr="00933431">
                    <w:rPr>
                      <w:rFonts w:ascii="Calibri" w:hAnsi="Calibri" w:cs="Calibri"/>
                      <w:sz w:val="22"/>
                      <w:lang w:eastAsia="en-GB"/>
                    </w:rPr>
                    <w:t>147</w:t>
                  </w:r>
                </w:p>
              </w:tc>
            </w:tr>
            <w:tr w:rsidR="00933431" w:rsidRPr="00933431" w14:paraId="01F72599" w14:textId="77777777" w:rsidTr="007311E5">
              <w:tc>
                <w:tcPr>
                  <w:tcW w:w="3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8961A" w14:textId="77777777" w:rsidR="00933431" w:rsidRPr="00933431" w:rsidRDefault="00933431" w:rsidP="00933431">
                  <w:pPr>
                    <w:rPr>
                      <w:rFonts w:ascii="Calibri" w:hAnsi="Calibri" w:cs="Calibri"/>
                      <w:b/>
                      <w:bCs/>
                      <w:sz w:val="22"/>
                      <w:lang w:eastAsia="en-GB"/>
                    </w:rPr>
                  </w:pPr>
                  <w:r w:rsidRPr="00933431">
                    <w:rPr>
                      <w:rFonts w:ascii="Calibri" w:hAnsi="Calibri" w:cs="Calibri"/>
                      <w:b/>
                      <w:bCs/>
                      <w:sz w:val="22"/>
                      <w:lang w:eastAsia="en-GB"/>
                    </w:rPr>
                    <w:t>Number responded to within 20 working days</w:t>
                  </w:r>
                </w:p>
              </w:tc>
              <w:tc>
                <w:tcPr>
                  <w:tcW w:w="3752" w:type="dxa"/>
                  <w:tcBorders>
                    <w:top w:val="nil"/>
                    <w:left w:val="nil"/>
                    <w:bottom w:val="single" w:sz="8" w:space="0" w:color="auto"/>
                    <w:right w:val="single" w:sz="8" w:space="0" w:color="auto"/>
                  </w:tcBorders>
                  <w:hideMark/>
                </w:tcPr>
                <w:p w14:paraId="28D3386B" w14:textId="77777777" w:rsidR="00933431" w:rsidRPr="00933431" w:rsidRDefault="00933431" w:rsidP="00933431">
                  <w:pPr>
                    <w:rPr>
                      <w:rFonts w:ascii="Calibri" w:hAnsi="Calibri" w:cs="Calibri"/>
                      <w:sz w:val="22"/>
                      <w:lang w:eastAsia="en-GB"/>
                    </w:rPr>
                  </w:pPr>
                  <w:r w:rsidRPr="00933431">
                    <w:rPr>
                      <w:rFonts w:ascii="Calibri" w:hAnsi="Calibri" w:cs="Calibri"/>
                      <w:sz w:val="22"/>
                      <w:lang w:eastAsia="en-GB"/>
                    </w:rPr>
                    <w:t>187</w:t>
                  </w:r>
                </w:p>
              </w:tc>
              <w:tc>
                <w:tcPr>
                  <w:tcW w:w="3752" w:type="dxa"/>
                  <w:tcBorders>
                    <w:top w:val="nil"/>
                    <w:left w:val="nil"/>
                    <w:bottom w:val="single" w:sz="8" w:space="0" w:color="auto"/>
                    <w:right w:val="single" w:sz="8" w:space="0" w:color="auto"/>
                  </w:tcBorders>
                  <w:hideMark/>
                </w:tcPr>
                <w:p w14:paraId="4A282A9A" w14:textId="77777777" w:rsidR="00933431" w:rsidRPr="00933431" w:rsidRDefault="00933431" w:rsidP="00933431">
                  <w:pPr>
                    <w:rPr>
                      <w:rFonts w:ascii="Calibri" w:hAnsi="Calibri" w:cs="Calibri"/>
                      <w:sz w:val="22"/>
                      <w:lang w:eastAsia="en-GB"/>
                    </w:rPr>
                  </w:pPr>
                  <w:r w:rsidRPr="00933431">
                    <w:rPr>
                      <w:rFonts w:ascii="Calibri" w:hAnsi="Calibri" w:cs="Calibri"/>
                      <w:sz w:val="22"/>
                      <w:lang w:eastAsia="en-GB"/>
                    </w:rPr>
                    <w:t>137</w:t>
                  </w:r>
                </w:p>
              </w:tc>
            </w:tr>
            <w:tr w:rsidR="00933431" w:rsidRPr="00933431" w14:paraId="62FC0570" w14:textId="77777777" w:rsidTr="007311E5">
              <w:tc>
                <w:tcPr>
                  <w:tcW w:w="3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A1549" w14:textId="77777777" w:rsidR="00933431" w:rsidRPr="00933431" w:rsidRDefault="00933431" w:rsidP="00933431">
                  <w:pPr>
                    <w:rPr>
                      <w:rFonts w:ascii="Calibri" w:hAnsi="Calibri" w:cs="Calibri"/>
                      <w:b/>
                      <w:bCs/>
                      <w:sz w:val="22"/>
                      <w:lang w:eastAsia="en-GB"/>
                    </w:rPr>
                  </w:pPr>
                  <w:r w:rsidRPr="00933431">
                    <w:rPr>
                      <w:rFonts w:ascii="Calibri" w:hAnsi="Calibri" w:cs="Calibri"/>
                      <w:b/>
                      <w:bCs/>
                      <w:sz w:val="22"/>
                      <w:lang w:eastAsia="en-GB"/>
                    </w:rPr>
                    <w:t>Responses issued within 20 working days – compliance rate (%)</w:t>
                  </w:r>
                </w:p>
              </w:tc>
              <w:tc>
                <w:tcPr>
                  <w:tcW w:w="3752" w:type="dxa"/>
                  <w:tcBorders>
                    <w:top w:val="nil"/>
                    <w:left w:val="nil"/>
                    <w:bottom w:val="single" w:sz="8" w:space="0" w:color="auto"/>
                    <w:right w:val="single" w:sz="8" w:space="0" w:color="auto"/>
                  </w:tcBorders>
                  <w:hideMark/>
                </w:tcPr>
                <w:p w14:paraId="5DBF3590" w14:textId="77777777" w:rsidR="00933431" w:rsidRPr="00933431" w:rsidRDefault="00933431" w:rsidP="00933431">
                  <w:pPr>
                    <w:rPr>
                      <w:rFonts w:ascii="Calibri" w:hAnsi="Calibri" w:cs="Calibri"/>
                      <w:sz w:val="22"/>
                      <w:lang w:eastAsia="en-GB"/>
                    </w:rPr>
                  </w:pPr>
                  <w:r w:rsidRPr="00933431">
                    <w:rPr>
                      <w:rFonts w:ascii="Calibri" w:hAnsi="Calibri" w:cs="Calibri"/>
                      <w:sz w:val="22"/>
                      <w:lang w:eastAsia="en-GB"/>
                    </w:rPr>
                    <w:t>97%</w:t>
                  </w:r>
                </w:p>
              </w:tc>
              <w:tc>
                <w:tcPr>
                  <w:tcW w:w="3752" w:type="dxa"/>
                  <w:tcBorders>
                    <w:top w:val="nil"/>
                    <w:left w:val="nil"/>
                    <w:bottom w:val="single" w:sz="8" w:space="0" w:color="auto"/>
                    <w:right w:val="single" w:sz="8" w:space="0" w:color="auto"/>
                  </w:tcBorders>
                  <w:hideMark/>
                </w:tcPr>
                <w:p w14:paraId="0B76ADF3" w14:textId="77777777" w:rsidR="00933431" w:rsidRPr="00933431" w:rsidRDefault="00933431" w:rsidP="00933431">
                  <w:pPr>
                    <w:rPr>
                      <w:rFonts w:ascii="Calibri" w:hAnsi="Calibri" w:cs="Calibri"/>
                      <w:sz w:val="22"/>
                      <w:lang w:eastAsia="en-GB"/>
                    </w:rPr>
                  </w:pPr>
                  <w:r w:rsidRPr="00933431">
                    <w:rPr>
                      <w:rFonts w:ascii="Calibri" w:hAnsi="Calibri" w:cs="Calibri"/>
                      <w:sz w:val="22"/>
                      <w:lang w:eastAsia="en-GB"/>
                    </w:rPr>
                    <w:t>93%</w:t>
                  </w:r>
                </w:p>
              </w:tc>
            </w:tr>
            <w:tr w:rsidR="00933431" w:rsidRPr="00933431" w14:paraId="34182D76" w14:textId="77777777" w:rsidTr="007311E5">
              <w:tc>
                <w:tcPr>
                  <w:tcW w:w="3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9826F" w14:textId="77777777" w:rsidR="00933431" w:rsidRPr="00933431" w:rsidRDefault="00933431" w:rsidP="00933431">
                  <w:pPr>
                    <w:rPr>
                      <w:rFonts w:ascii="Calibri" w:hAnsi="Calibri" w:cs="Calibri"/>
                      <w:b/>
                      <w:bCs/>
                      <w:sz w:val="22"/>
                      <w:lang w:eastAsia="en-GB"/>
                    </w:rPr>
                  </w:pPr>
                  <w:r w:rsidRPr="00933431">
                    <w:rPr>
                      <w:rFonts w:ascii="Calibri" w:hAnsi="Calibri" w:cs="Calibri"/>
                      <w:b/>
                      <w:bCs/>
                      <w:sz w:val="22"/>
                      <w:lang w:eastAsia="en-GB"/>
                    </w:rPr>
                    <w:t>Average time for a response to be issued</w:t>
                  </w:r>
                </w:p>
              </w:tc>
              <w:tc>
                <w:tcPr>
                  <w:tcW w:w="3752" w:type="dxa"/>
                  <w:tcBorders>
                    <w:top w:val="nil"/>
                    <w:left w:val="nil"/>
                    <w:bottom w:val="single" w:sz="8" w:space="0" w:color="auto"/>
                    <w:right w:val="single" w:sz="8" w:space="0" w:color="auto"/>
                  </w:tcBorders>
                  <w:hideMark/>
                </w:tcPr>
                <w:p w14:paraId="5FBDD9FA" w14:textId="77777777" w:rsidR="00933431" w:rsidRPr="00933431" w:rsidRDefault="00933431" w:rsidP="00933431">
                  <w:pPr>
                    <w:rPr>
                      <w:rFonts w:ascii="Calibri" w:hAnsi="Calibri" w:cs="Calibri"/>
                      <w:sz w:val="22"/>
                      <w:lang w:eastAsia="en-GB"/>
                    </w:rPr>
                  </w:pPr>
                  <w:r w:rsidRPr="00933431">
                    <w:rPr>
                      <w:rFonts w:ascii="Calibri" w:hAnsi="Calibri" w:cs="Calibri"/>
                      <w:sz w:val="22"/>
                      <w:lang w:eastAsia="en-GB"/>
                    </w:rPr>
                    <w:t>11 working days</w:t>
                  </w:r>
                </w:p>
              </w:tc>
              <w:tc>
                <w:tcPr>
                  <w:tcW w:w="3752" w:type="dxa"/>
                  <w:tcBorders>
                    <w:top w:val="nil"/>
                    <w:left w:val="nil"/>
                    <w:bottom w:val="single" w:sz="8" w:space="0" w:color="auto"/>
                    <w:right w:val="single" w:sz="8" w:space="0" w:color="auto"/>
                  </w:tcBorders>
                  <w:hideMark/>
                </w:tcPr>
                <w:p w14:paraId="11603D31" w14:textId="77777777" w:rsidR="00933431" w:rsidRPr="00933431" w:rsidRDefault="00933431" w:rsidP="00933431">
                  <w:pPr>
                    <w:rPr>
                      <w:rFonts w:ascii="Calibri" w:hAnsi="Calibri" w:cs="Calibri"/>
                      <w:sz w:val="22"/>
                      <w:lang w:eastAsia="en-GB"/>
                    </w:rPr>
                  </w:pPr>
                  <w:r w:rsidRPr="00933431">
                    <w:rPr>
                      <w:rFonts w:ascii="Calibri" w:hAnsi="Calibri" w:cs="Calibri"/>
                      <w:sz w:val="22"/>
                      <w:lang w:eastAsia="en-GB"/>
                    </w:rPr>
                    <w:t>10 working days</w:t>
                  </w:r>
                </w:p>
              </w:tc>
            </w:tr>
            <w:tr w:rsidR="00933431" w:rsidRPr="00933431" w14:paraId="5E52FF15" w14:textId="77777777" w:rsidTr="007311E5">
              <w:tc>
                <w:tcPr>
                  <w:tcW w:w="3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4C53C" w14:textId="77777777" w:rsidR="00933431" w:rsidRPr="00933431" w:rsidRDefault="00933431" w:rsidP="00933431">
                  <w:pPr>
                    <w:rPr>
                      <w:rFonts w:ascii="Calibri" w:hAnsi="Calibri" w:cs="Calibri"/>
                      <w:b/>
                      <w:bCs/>
                      <w:sz w:val="22"/>
                      <w:lang w:eastAsia="en-GB"/>
                    </w:rPr>
                  </w:pPr>
                  <w:r w:rsidRPr="00933431">
                    <w:rPr>
                      <w:rFonts w:ascii="Calibri" w:hAnsi="Calibri" w:cs="Calibri"/>
                      <w:b/>
                      <w:bCs/>
                      <w:sz w:val="22"/>
                      <w:lang w:eastAsia="en-GB"/>
                    </w:rPr>
                    <w:t>% change in number of requests received from 2021/22 Q4 statistics</w:t>
                  </w:r>
                </w:p>
              </w:tc>
              <w:tc>
                <w:tcPr>
                  <w:tcW w:w="3752" w:type="dxa"/>
                  <w:tcBorders>
                    <w:top w:val="nil"/>
                    <w:left w:val="nil"/>
                    <w:bottom w:val="single" w:sz="8" w:space="0" w:color="auto"/>
                    <w:right w:val="single" w:sz="8" w:space="0" w:color="auto"/>
                  </w:tcBorders>
                  <w:hideMark/>
                </w:tcPr>
                <w:p w14:paraId="4C5F5F92" w14:textId="77777777" w:rsidR="00933431" w:rsidRPr="00933431" w:rsidRDefault="00933431" w:rsidP="00933431">
                  <w:pPr>
                    <w:rPr>
                      <w:rFonts w:ascii="Calibri" w:hAnsi="Calibri" w:cs="Calibri"/>
                      <w:sz w:val="22"/>
                      <w:lang w:eastAsia="en-GB"/>
                    </w:rPr>
                  </w:pPr>
                  <w:r w:rsidRPr="00933431">
                    <w:rPr>
                      <w:rFonts w:ascii="Calibri" w:hAnsi="Calibri" w:cs="Calibri"/>
                      <w:sz w:val="22"/>
                      <w:lang w:eastAsia="en-GB"/>
                    </w:rPr>
                    <w:t>+31%</w:t>
                  </w:r>
                </w:p>
              </w:tc>
              <w:tc>
                <w:tcPr>
                  <w:tcW w:w="3752" w:type="dxa"/>
                  <w:tcBorders>
                    <w:top w:val="nil"/>
                    <w:left w:val="nil"/>
                    <w:bottom w:val="single" w:sz="8" w:space="0" w:color="auto"/>
                    <w:right w:val="single" w:sz="8" w:space="0" w:color="auto"/>
                  </w:tcBorders>
                  <w:hideMark/>
                </w:tcPr>
                <w:p w14:paraId="01E2368A" w14:textId="77777777" w:rsidR="00933431" w:rsidRPr="00933431" w:rsidRDefault="00933431" w:rsidP="00933431">
                  <w:pPr>
                    <w:rPr>
                      <w:rFonts w:ascii="Calibri" w:hAnsi="Calibri" w:cs="Calibri"/>
                      <w:sz w:val="22"/>
                      <w:lang w:eastAsia="en-GB"/>
                    </w:rPr>
                  </w:pPr>
                  <w:r w:rsidRPr="00933431">
                    <w:rPr>
                      <w:rFonts w:ascii="Calibri" w:hAnsi="Calibri" w:cs="Calibri"/>
                      <w:sz w:val="22"/>
                      <w:lang w:eastAsia="en-GB"/>
                    </w:rPr>
                    <w:t> </w:t>
                  </w:r>
                </w:p>
              </w:tc>
            </w:tr>
          </w:tbl>
          <w:p w14:paraId="3110B641" w14:textId="77777777" w:rsidR="00933431" w:rsidRPr="00933431" w:rsidRDefault="00933431" w:rsidP="00933431">
            <w:pPr>
              <w:rPr>
                <w:rFonts w:cs="Arial"/>
                <w:szCs w:val="24"/>
                <w:lang w:eastAsia="en-GB"/>
              </w:rPr>
            </w:pPr>
          </w:p>
        </w:tc>
      </w:tr>
      <w:tr w:rsidR="00933431" w:rsidRPr="00933431" w14:paraId="75A98267" w14:textId="77777777" w:rsidTr="007311E5">
        <w:tc>
          <w:tcPr>
            <w:tcW w:w="3028" w:type="dxa"/>
          </w:tcPr>
          <w:p w14:paraId="6F6E6086" w14:textId="77777777" w:rsidR="00933431" w:rsidRPr="00933431" w:rsidRDefault="00933431" w:rsidP="00933431">
            <w:pPr>
              <w:rPr>
                <w:rFonts w:cs="Arial"/>
                <w:szCs w:val="24"/>
                <w:lang w:eastAsia="en-GB"/>
              </w:rPr>
            </w:pPr>
            <w:bookmarkStart w:id="6" w:name="_Hlk110949387"/>
            <w:r w:rsidRPr="00933431">
              <w:rPr>
                <w:rFonts w:cs="Arial"/>
                <w:color w:val="000000"/>
                <w:szCs w:val="24"/>
                <w:lang w:eastAsia="en-GB"/>
              </w:rPr>
              <w:lastRenderedPageBreak/>
              <w:t>Train all CLT/HOST in emergency planning response protocol</w:t>
            </w:r>
          </w:p>
        </w:tc>
        <w:tc>
          <w:tcPr>
            <w:tcW w:w="6011" w:type="dxa"/>
          </w:tcPr>
          <w:p w14:paraId="7879D9E8" w14:textId="77777777" w:rsidR="00933431" w:rsidRPr="00933431" w:rsidRDefault="00933431" w:rsidP="00933431">
            <w:pPr>
              <w:rPr>
                <w:rFonts w:cs="Arial"/>
                <w:szCs w:val="24"/>
                <w:lang w:eastAsia="en-GB"/>
              </w:rPr>
            </w:pPr>
            <w:r w:rsidRPr="00933431">
              <w:rPr>
                <w:rFonts w:cs="Arial"/>
                <w:szCs w:val="24"/>
                <w:lang w:eastAsia="en-GB"/>
              </w:rPr>
              <w:t xml:space="preserve">Met target, new members of HOST were trained in Autumn. </w:t>
            </w:r>
          </w:p>
        </w:tc>
      </w:tr>
      <w:bookmarkEnd w:id="6"/>
      <w:tr w:rsidR="00933431" w:rsidRPr="00933431" w14:paraId="6A12E655" w14:textId="77777777" w:rsidTr="007311E5">
        <w:tc>
          <w:tcPr>
            <w:tcW w:w="3028" w:type="dxa"/>
          </w:tcPr>
          <w:p w14:paraId="02FCA3A1" w14:textId="77777777" w:rsidR="00933431" w:rsidRPr="00933431" w:rsidRDefault="00933431" w:rsidP="00933431">
            <w:pPr>
              <w:rPr>
                <w:rFonts w:cs="Arial"/>
                <w:szCs w:val="24"/>
                <w:lang w:eastAsia="en-GB"/>
              </w:rPr>
            </w:pPr>
            <w:r w:rsidRPr="00933431">
              <w:rPr>
                <w:rFonts w:cs="Arial"/>
                <w:color w:val="000000"/>
                <w:szCs w:val="24"/>
                <w:lang w:eastAsia="en-GB"/>
              </w:rPr>
              <w:t xml:space="preserve">Have 2 emergency planning test activations </w:t>
            </w:r>
          </w:p>
        </w:tc>
        <w:tc>
          <w:tcPr>
            <w:tcW w:w="6011" w:type="dxa"/>
          </w:tcPr>
          <w:p w14:paraId="311E14DB" w14:textId="77777777" w:rsidR="00933431" w:rsidRPr="00933431" w:rsidRDefault="00933431" w:rsidP="00933431">
            <w:pPr>
              <w:rPr>
                <w:rFonts w:cs="Arial"/>
                <w:szCs w:val="24"/>
                <w:lang w:eastAsia="en-GB"/>
              </w:rPr>
            </w:pPr>
            <w:r w:rsidRPr="00933431">
              <w:rPr>
                <w:rFonts w:cs="Arial"/>
                <w:szCs w:val="24"/>
                <w:lang w:eastAsia="en-GB"/>
              </w:rPr>
              <w:t>Met target.</w:t>
            </w:r>
          </w:p>
        </w:tc>
      </w:tr>
      <w:tr w:rsidR="00933431" w:rsidRPr="00933431" w14:paraId="7C04AC90" w14:textId="77777777" w:rsidTr="007311E5">
        <w:tc>
          <w:tcPr>
            <w:tcW w:w="3028" w:type="dxa"/>
          </w:tcPr>
          <w:p w14:paraId="721B3460" w14:textId="77777777" w:rsidR="00933431" w:rsidRPr="00933431" w:rsidRDefault="00933431" w:rsidP="00933431">
            <w:pPr>
              <w:rPr>
                <w:rFonts w:cs="Arial"/>
                <w:szCs w:val="24"/>
                <w:lang w:eastAsia="en-GB"/>
              </w:rPr>
            </w:pPr>
            <w:r w:rsidRPr="00933431">
              <w:rPr>
                <w:rFonts w:cs="Arial"/>
                <w:szCs w:val="24"/>
                <w:lang w:eastAsia="en-GB"/>
              </w:rPr>
              <w:t>Hold 2 Emergency Planning Implementation Group meetings</w:t>
            </w:r>
          </w:p>
        </w:tc>
        <w:tc>
          <w:tcPr>
            <w:tcW w:w="6011" w:type="dxa"/>
          </w:tcPr>
          <w:p w14:paraId="18B53D7D" w14:textId="77777777" w:rsidR="00933431" w:rsidRPr="00933431" w:rsidRDefault="00933431" w:rsidP="00933431">
            <w:pPr>
              <w:rPr>
                <w:rFonts w:cs="Arial"/>
                <w:szCs w:val="24"/>
                <w:lang w:eastAsia="en-GB"/>
              </w:rPr>
            </w:pPr>
            <w:r w:rsidRPr="00933431">
              <w:rPr>
                <w:rFonts w:cs="Arial"/>
                <w:szCs w:val="24"/>
                <w:lang w:eastAsia="en-GB"/>
              </w:rPr>
              <w:t>Met target: Meeting held on 20 October 2022 and 19 April 2023.</w:t>
            </w:r>
          </w:p>
        </w:tc>
      </w:tr>
      <w:tr w:rsidR="00933431" w:rsidRPr="00933431" w14:paraId="3B52C2BD" w14:textId="77777777" w:rsidTr="007311E5">
        <w:tc>
          <w:tcPr>
            <w:tcW w:w="3028" w:type="dxa"/>
          </w:tcPr>
          <w:p w14:paraId="5A5D0D71" w14:textId="77777777" w:rsidR="00933431" w:rsidRPr="00933431" w:rsidRDefault="00933431" w:rsidP="00933431">
            <w:pPr>
              <w:rPr>
                <w:rFonts w:cs="Arial"/>
                <w:szCs w:val="24"/>
                <w:lang w:eastAsia="en-GB"/>
              </w:rPr>
            </w:pPr>
            <w:r w:rsidRPr="00933431">
              <w:rPr>
                <w:rFonts w:cs="Arial"/>
                <w:szCs w:val="24"/>
                <w:lang w:eastAsia="en-GB"/>
              </w:rPr>
              <w:t xml:space="preserve">Continue review of the use of resources (paper, postage, stationary) to ensure sustainability is paramount. </w:t>
            </w:r>
          </w:p>
        </w:tc>
        <w:tc>
          <w:tcPr>
            <w:tcW w:w="6011" w:type="dxa"/>
          </w:tcPr>
          <w:p w14:paraId="3ED98F14" w14:textId="77777777" w:rsidR="00933431" w:rsidRPr="00933431" w:rsidRDefault="00933431" w:rsidP="00933431">
            <w:pPr>
              <w:rPr>
                <w:rFonts w:cs="Arial"/>
                <w:szCs w:val="24"/>
                <w:lang w:eastAsia="en-GB"/>
              </w:rPr>
            </w:pPr>
            <w:r w:rsidRPr="00933431">
              <w:rPr>
                <w:rFonts w:cs="Arial"/>
                <w:szCs w:val="24"/>
                <w:lang w:eastAsia="en-GB"/>
              </w:rPr>
              <w:t xml:space="preserve">Met target. Review completed. Customer Services Manager reviewing use of paper, postage and stationery and working with services to reduce use where appropriate. </w:t>
            </w:r>
          </w:p>
        </w:tc>
      </w:tr>
      <w:tr w:rsidR="00933431" w:rsidRPr="00933431" w14:paraId="103E26C9" w14:textId="77777777" w:rsidTr="007311E5">
        <w:tc>
          <w:tcPr>
            <w:tcW w:w="3028" w:type="dxa"/>
          </w:tcPr>
          <w:p w14:paraId="7105A9A5" w14:textId="77777777" w:rsidR="00933431" w:rsidRPr="00933431" w:rsidRDefault="00933431" w:rsidP="00933431">
            <w:pPr>
              <w:rPr>
                <w:rFonts w:cs="Arial"/>
                <w:szCs w:val="24"/>
                <w:lang w:eastAsia="en-GB"/>
              </w:rPr>
            </w:pPr>
            <w:r w:rsidRPr="00933431">
              <w:rPr>
                <w:rFonts w:cs="Arial"/>
                <w:color w:val="000000"/>
                <w:szCs w:val="24"/>
                <w:lang w:eastAsia="en-GB"/>
              </w:rPr>
              <w:t xml:space="preserve">DSAR response times in compliance with legislation  </w:t>
            </w:r>
          </w:p>
        </w:tc>
        <w:tc>
          <w:tcPr>
            <w:tcW w:w="6011" w:type="dxa"/>
          </w:tcPr>
          <w:p w14:paraId="014A08BF" w14:textId="77777777" w:rsidR="00933431" w:rsidRPr="00933431" w:rsidRDefault="00933431" w:rsidP="00933431">
            <w:pPr>
              <w:rPr>
                <w:rFonts w:cs="Arial"/>
                <w:szCs w:val="24"/>
                <w:lang w:eastAsia="en-GB"/>
              </w:rPr>
            </w:pPr>
            <w:r w:rsidRPr="00933431">
              <w:rPr>
                <w:rFonts w:cs="Arial"/>
                <w:szCs w:val="24"/>
                <w:lang w:eastAsia="en-GB"/>
              </w:rPr>
              <w:t xml:space="preserve">18 DSARs were processed in this period and all in compliance with legislative timeframes. </w:t>
            </w:r>
          </w:p>
        </w:tc>
      </w:tr>
    </w:tbl>
    <w:p w14:paraId="3B62A49E" w14:textId="77777777" w:rsidR="00933431" w:rsidRPr="00933431" w:rsidRDefault="00933431" w:rsidP="00933431">
      <w:pPr>
        <w:rPr>
          <w:rFonts w:eastAsia="Times New Roman" w:cs="Arial"/>
          <w:szCs w:val="24"/>
        </w:rPr>
      </w:pPr>
    </w:p>
    <w:p w14:paraId="52521E32" w14:textId="77777777" w:rsidR="00933431" w:rsidRPr="00933431" w:rsidRDefault="00933431" w:rsidP="00933431">
      <w:pPr>
        <w:rPr>
          <w:rFonts w:eastAsia="Times New Roman" w:cs="Arial"/>
          <w:b/>
          <w:bCs/>
          <w:szCs w:val="24"/>
        </w:rPr>
      </w:pPr>
      <w:bookmarkStart w:id="7" w:name="_Hlk110947293"/>
      <w:r w:rsidRPr="00933431">
        <w:rPr>
          <w:rFonts w:eastAsia="Times New Roman" w:cs="Arial"/>
          <w:b/>
          <w:bCs/>
          <w:szCs w:val="24"/>
        </w:rPr>
        <w:br w:type="page"/>
      </w:r>
      <w:r w:rsidRPr="00933431">
        <w:rPr>
          <w:rFonts w:eastAsia="Times New Roman" w:cs="Arial"/>
          <w:b/>
          <w:bCs/>
          <w:szCs w:val="24"/>
        </w:rPr>
        <w:lastRenderedPageBreak/>
        <w:t xml:space="preserve">Table 2: Q4 performance update - </w:t>
      </w:r>
      <w:r w:rsidRPr="00933431">
        <w:rPr>
          <w:rFonts w:cs="Arial"/>
          <w:b/>
          <w:bCs/>
          <w:szCs w:val="24"/>
          <w:lang w:eastAsia="en-GB"/>
        </w:rPr>
        <w:t xml:space="preserve">Service development/improvement activities </w:t>
      </w:r>
    </w:p>
    <w:bookmarkEnd w:id="7"/>
    <w:p w14:paraId="335D4FC3" w14:textId="77777777" w:rsidR="00933431" w:rsidRPr="00933431" w:rsidRDefault="00933431" w:rsidP="00933431">
      <w:pPr>
        <w:rPr>
          <w:rFonts w:eastAsia="Times New Roman"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4"/>
      </w:tblGrid>
      <w:tr w:rsidR="00933431" w:rsidRPr="00933431" w14:paraId="63E979AC" w14:textId="77777777" w:rsidTr="007311E5">
        <w:trPr>
          <w:tblHeader/>
        </w:trPr>
        <w:tc>
          <w:tcPr>
            <w:tcW w:w="3085" w:type="dxa"/>
            <w:tcBorders>
              <w:bottom w:val="single" w:sz="4" w:space="0" w:color="auto"/>
            </w:tcBorders>
            <w:shd w:val="clear" w:color="auto" w:fill="4472C4"/>
            <w:vAlign w:val="center"/>
          </w:tcPr>
          <w:p w14:paraId="1DC9BF63" w14:textId="77777777" w:rsidR="00933431" w:rsidRPr="00933431" w:rsidRDefault="00933431" w:rsidP="00933431">
            <w:pPr>
              <w:rPr>
                <w:rFonts w:cs="Arial"/>
                <w:color w:val="FFFFFF"/>
                <w:szCs w:val="24"/>
                <w:lang w:eastAsia="en-GB"/>
              </w:rPr>
            </w:pPr>
            <w:r w:rsidRPr="00933431">
              <w:rPr>
                <w:rFonts w:cs="Arial"/>
                <w:color w:val="FFFFFF"/>
                <w:szCs w:val="24"/>
                <w:lang w:eastAsia="en-GB"/>
              </w:rPr>
              <w:t>What service development/improvement will we undertake in 2022/2023?</w:t>
            </w:r>
          </w:p>
        </w:tc>
        <w:tc>
          <w:tcPr>
            <w:tcW w:w="5954" w:type="dxa"/>
            <w:tcBorders>
              <w:bottom w:val="single" w:sz="4" w:space="0" w:color="auto"/>
            </w:tcBorders>
            <w:shd w:val="clear" w:color="auto" w:fill="4472C4"/>
            <w:vAlign w:val="center"/>
          </w:tcPr>
          <w:p w14:paraId="5FC000BF" w14:textId="77777777" w:rsidR="00933431" w:rsidRPr="00933431" w:rsidRDefault="00933431" w:rsidP="00933431">
            <w:pPr>
              <w:rPr>
                <w:rFonts w:cs="Arial"/>
                <w:color w:val="FFFFFF"/>
                <w:szCs w:val="24"/>
                <w:lang w:eastAsia="en-GB"/>
              </w:rPr>
            </w:pPr>
            <w:r w:rsidRPr="00933431">
              <w:rPr>
                <w:rFonts w:cs="Arial"/>
                <w:color w:val="FFFFFF"/>
                <w:szCs w:val="24"/>
                <w:lang w:eastAsia="en-GB"/>
              </w:rPr>
              <w:t xml:space="preserve">Q4 update </w:t>
            </w:r>
          </w:p>
        </w:tc>
      </w:tr>
      <w:tr w:rsidR="00933431" w:rsidRPr="00933431" w14:paraId="6709CAF3" w14:textId="77777777" w:rsidTr="007311E5">
        <w:trPr>
          <w:trHeight w:val="853"/>
        </w:trPr>
        <w:tc>
          <w:tcPr>
            <w:tcW w:w="3085" w:type="dxa"/>
            <w:tcBorders>
              <w:top w:val="single" w:sz="4" w:space="0" w:color="auto"/>
              <w:left w:val="single" w:sz="4" w:space="0" w:color="auto"/>
              <w:bottom w:val="single" w:sz="4" w:space="0" w:color="auto"/>
              <w:right w:val="single" w:sz="4" w:space="0" w:color="BFBFBF"/>
            </w:tcBorders>
          </w:tcPr>
          <w:p w14:paraId="0EEDB6F8" w14:textId="77777777" w:rsidR="00933431" w:rsidRPr="00933431" w:rsidRDefault="00933431" w:rsidP="00933431">
            <w:pPr>
              <w:rPr>
                <w:rFonts w:cs="Arial"/>
                <w:color w:val="000000"/>
                <w:szCs w:val="24"/>
                <w:lang w:eastAsia="en-GB"/>
              </w:rPr>
            </w:pPr>
            <w:r w:rsidRPr="00933431">
              <w:rPr>
                <w:rFonts w:cs="Arial"/>
                <w:color w:val="000000"/>
                <w:szCs w:val="24"/>
                <w:lang w:eastAsia="en-GB"/>
              </w:rPr>
              <w:t>Pilot paperless filing for new files in 1   Directorate or Service Unit</w:t>
            </w:r>
          </w:p>
        </w:tc>
        <w:tc>
          <w:tcPr>
            <w:tcW w:w="5954" w:type="dxa"/>
            <w:tcBorders>
              <w:top w:val="single" w:sz="4" w:space="0" w:color="auto"/>
              <w:bottom w:val="single" w:sz="4" w:space="0" w:color="auto"/>
            </w:tcBorders>
          </w:tcPr>
          <w:p w14:paraId="509108C2" w14:textId="77777777" w:rsidR="00933431" w:rsidRPr="00933431" w:rsidRDefault="00933431" w:rsidP="00933431">
            <w:pPr>
              <w:rPr>
                <w:rFonts w:cs="Arial"/>
                <w:szCs w:val="24"/>
                <w:lang w:eastAsia="en-GB"/>
              </w:rPr>
            </w:pPr>
            <w:r w:rsidRPr="00933431">
              <w:rPr>
                <w:rFonts w:cs="Arial"/>
                <w:color w:val="000000"/>
                <w:szCs w:val="24"/>
                <w:lang w:eastAsia="en-GB"/>
              </w:rPr>
              <w:t xml:space="preserve">Missed target : This was now included in the larger digital transformation project.  Of the new files created 11% were digital only. </w:t>
            </w:r>
          </w:p>
        </w:tc>
      </w:tr>
      <w:tr w:rsidR="00933431" w:rsidRPr="00933431" w14:paraId="41DE12B4" w14:textId="77777777" w:rsidTr="007311E5">
        <w:trPr>
          <w:trHeight w:val="853"/>
        </w:trPr>
        <w:tc>
          <w:tcPr>
            <w:tcW w:w="3085" w:type="dxa"/>
            <w:tcBorders>
              <w:top w:val="single" w:sz="4" w:space="0" w:color="auto"/>
              <w:left w:val="single" w:sz="4" w:space="0" w:color="auto"/>
              <w:bottom w:val="single" w:sz="4" w:space="0" w:color="auto"/>
              <w:right w:val="single" w:sz="4" w:space="0" w:color="BFBFBF"/>
            </w:tcBorders>
          </w:tcPr>
          <w:p w14:paraId="7DBBA943" w14:textId="77777777" w:rsidR="00933431" w:rsidRPr="00933431" w:rsidRDefault="00933431" w:rsidP="00933431">
            <w:pPr>
              <w:rPr>
                <w:rFonts w:cs="Arial"/>
                <w:szCs w:val="24"/>
                <w:lang w:eastAsia="en-GB"/>
              </w:rPr>
            </w:pPr>
            <w:r w:rsidRPr="00933431">
              <w:rPr>
                <w:rFonts w:cs="Arial"/>
                <w:szCs w:val="24"/>
                <w:lang w:eastAsia="en-GB"/>
              </w:rPr>
              <w:t xml:space="preserve">Monitor complaints consistently via Tascomi across Council </w:t>
            </w:r>
          </w:p>
          <w:p w14:paraId="23595924" w14:textId="77777777" w:rsidR="00933431" w:rsidRPr="00933431" w:rsidRDefault="00933431" w:rsidP="00933431">
            <w:pPr>
              <w:rPr>
                <w:rFonts w:cs="Arial"/>
                <w:color w:val="000000"/>
                <w:szCs w:val="24"/>
                <w:lang w:eastAsia="en-GB"/>
              </w:rPr>
            </w:pPr>
          </w:p>
        </w:tc>
        <w:tc>
          <w:tcPr>
            <w:tcW w:w="5954" w:type="dxa"/>
            <w:tcBorders>
              <w:top w:val="single" w:sz="4" w:space="0" w:color="auto"/>
              <w:bottom w:val="single" w:sz="4" w:space="0" w:color="auto"/>
            </w:tcBorders>
          </w:tcPr>
          <w:p w14:paraId="35BD7FD6" w14:textId="77777777" w:rsidR="00933431" w:rsidRPr="00933431" w:rsidRDefault="00933431" w:rsidP="00933431">
            <w:pPr>
              <w:rPr>
                <w:rFonts w:cs="Arial"/>
                <w:szCs w:val="24"/>
                <w:lang w:eastAsia="en-GB"/>
              </w:rPr>
            </w:pPr>
            <w:r w:rsidRPr="00933431">
              <w:rPr>
                <w:rFonts w:cs="Arial"/>
                <w:szCs w:val="24"/>
                <w:lang w:eastAsia="en-GB"/>
              </w:rPr>
              <w:t xml:space="preserve">Met target – Tascomi rolled-out to all services. The Customer Services Manager now has oversight of other databases for customer complaints. </w:t>
            </w:r>
          </w:p>
        </w:tc>
      </w:tr>
      <w:tr w:rsidR="00933431" w:rsidRPr="00933431" w14:paraId="511C27A9" w14:textId="77777777" w:rsidTr="007311E5">
        <w:trPr>
          <w:trHeight w:val="853"/>
        </w:trPr>
        <w:tc>
          <w:tcPr>
            <w:tcW w:w="3085" w:type="dxa"/>
            <w:tcBorders>
              <w:top w:val="single" w:sz="4" w:space="0" w:color="auto"/>
              <w:left w:val="single" w:sz="4" w:space="0" w:color="auto"/>
              <w:bottom w:val="single" w:sz="4" w:space="0" w:color="auto"/>
              <w:right w:val="single" w:sz="4" w:space="0" w:color="BFBFBF"/>
            </w:tcBorders>
          </w:tcPr>
          <w:p w14:paraId="7F8054AF" w14:textId="77777777" w:rsidR="00933431" w:rsidRPr="00933431" w:rsidRDefault="00933431" w:rsidP="00933431">
            <w:pPr>
              <w:rPr>
                <w:rFonts w:cs="Arial"/>
                <w:szCs w:val="24"/>
                <w:lang w:eastAsia="en-GB"/>
              </w:rPr>
            </w:pPr>
            <w:bookmarkStart w:id="8" w:name="_Hlk96417517"/>
            <w:r w:rsidRPr="00933431">
              <w:rPr>
                <w:rFonts w:cs="Arial"/>
                <w:szCs w:val="24"/>
                <w:lang w:eastAsia="en-GB"/>
              </w:rPr>
              <w:t>75% rate for resolution of issues or enquiries at first point of contact in Customer Service. Trend analysis to be carried out as part of this.</w:t>
            </w:r>
            <w:bookmarkEnd w:id="8"/>
          </w:p>
        </w:tc>
        <w:tc>
          <w:tcPr>
            <w:tcW w:w="5954" w:type="dxa"/>
            <w:tcBorders>
              <w:top w:val="single" w:sz="4" w:space="0" w:color="auto"/>
              <w:bottom w:val="single" w:sz="4" w:space="0" w:color="auto"/>
            </w:tcBorders>
          </w:tcPr>
          <w:p w14:paraId="793DC0D8" w14:textId="77777777" w:rsidR="00933431" w:rsidRPr="00933431" w:rsidRDefault="00933431" w:rsidP="00933431">
            <w:pPr>
              <w:rPr>
                <w:rFonts w:cs="Arial"/>
                <w:szCs w:val="24"/>
                <w:lang w:eastAsia="en-GB"/>
              </w:rPr>
            </w:pPr>
            <w:bookmarkStart w:id="9" w:name="_Hlk119594894"/>
            <w:r w:rsidRPr="00933431">
              <w:rPr>
                <w:rFonts w:eastAsia="Times New Roman" w:cs="Arial"/>
                <w:szCs w:val="24"/>
                <w:lang w:eastAsia="en-GB"/>
              </w:rPr>
              <w:t>Met target - Of the management information that we hold on Te-care (Tascomi) and Enquiries database, the resolution of issues at first point of contact is 93%.</w:t>
            </w:r>
            <w:bookmarkEnd w:id="9"/>
          </w:p>
        </w:tc>
      </w:tr>
      <w:tr w:rsidR="00933431" w:rsidRPr="00933431" w14:paraId="12D1D19B" w14:textId="77777777" w:rsidTr="007311E5">
        <w:trPr>
          <w:trHeight w:val="853"/>
        </w:trPr>
        <w:tc>
          <w:tcPr>
            <w:tcW w:w="3085" w:type="dxa"/>
            <w:tcBorders>
              <w:top w:val="single" w:sz="4" w:space="0" w:color="auto"/>
              <w:left w:val="single" w:sz="4" w:space="0" w:color="auto"/>
              <w:bottom w:val="single" w:sz="4" w:space="0" w:color="auto"/>
              <w:right w:val="single" w:sz="4" w:space="0" w:color="BFBFBF"/>
            </w:tcBorders>
          </w:tcPr>
          <w:p w14:paraId="402A6EB6" w14:textId="77777777" w:rsidR="00933431" w:rsidRPr="00933431" w:rsidRDefault="00933431" w:rsidP="00933431">
            <w:pPr>
              <w:rPr>
                <w:rFonts w:cs="Arial"/>
                <w:szCs w:val="24"/>
                <w:lang w:eastAsia="en-GB"/>
              </w:rPr>
            </w:pPr>
            <w:r w:rsidRPr="00933431">
              <w:rPr>
                <w:rFonts w:cs="Arial"/>
                <w:szCs w:val="24"/>
                <w:lang w:eastAsia="en-GB"/>
              </w:rPr>
              <w:t xml:space="preserve">E Learning module to be created for complaint handling/customer service </w:t>
            </w:r>
          </w:p>
        </w:tc>
        <w:tc>
          <w:tcPr>
            <w:tcW w:w="5954" w:type="dxa"/>
            <w:tcBorders>
              <w:top w:val="single" w:sz="4" w:space="0" w:color="auto"/>
              <w:bottom w:val="single" w:sz="4" w:space="0" w:color="auto"/>
            </w:tcBorders>
          </w:tcPr>
          <w:p w14:paraId="36E620AC" w14:textId="77777777" w:rsidR="00933431" w:rsidRPr="00933431" w:rsidRDefault="00933431" w:rsidP="00933431">
            <w:pPr>
              <w:rPr>
                <w:rFonts w:eastAsia="Times New Roman" w:cs="Arial"/>
                <w:szCs w:val="24"/>
                <w:lang w:eastAsia="en-GB"/>
              </w:rPr>
            </w:pPr>
            <w:bookmarkStart w:id="10" w:name="_Hlk110926393"/>
            <w:r w:rsidRPr="00933431">
              <w:rPr>
                <w:rFonts w:eastAsia="Times New Roman" w:cs="Arial"/>
                <w:szCs w:val="24"/>
                <w:lang w:eastAsia="en-GB"/>
              </w:rPr>
              <w:t xml:space="preserve">Missed target - E-learning module was being developed and would be rolled out once new complaints handling process is in place. </w:t>
            </w:r>
          </w:p>
          <w:bookmarkEnd w:id="10"/>
          <w:p w14:paraId="3580372F" w14:textId="77777777" w:rsidR="00933431" w:rsidRPr="00933431" w:rsidRDefault="00933431" w:rsidP="00933431">
            <w:pPr>
              <w:rPr>
                <w:rFonts w:cs="Arial"/>
                <w:szCs w:val="24"/>
                <w:lang w:eastAsia="en-GB"/>
              </w:rPr>
            </w:pPr>
          </w:p>
        </w:tc>
      </w:tr>
      <w:tr w:rsidR="00933431" w:rsidRPr="00933431" w14:paraId="3B239471" w14:textId="77777777" w:rsidTr="007311E5">
        <w:trPr>
          <w:trHeight w:val="408"/>
        </w:trPr>
        <w:tc>
          <w:tcPr>
            <w:tcW w:w="3085" w:type="dxa"/>
            <w:tcBorders>
              <w:top w:val="single" w:sz="4" w:space="0" w:color="auto"/>
              <w:left w:val="single" w:sz="4" w:space="0" w:color="auto"/>
              <w:bottom w:val="single" w:sz="4" w:space="0" w:color="auto"/>
              <w:right w:val="single" w:sz="4" w:space="0" w:color="BFBFBF"/>
            </w:tcBorders>
          </w:tcPr>
          <w:p w14:paraId="1662DE62" w14:textId="77777777" w:rsidR="00933431" w:rsidRPr="00933431" w:rsidRDefault="00933431" w:rsidP="00933431">
            <w:pPr>
              <w:rPr>
                <w:rFonts w:cs="Arial"/>
                <w:szCs w:val="24"/>
                <w:lang w:eastAsia="en-GB"/>
              </w:rPr>
            </w:pPr>
            <w:r w:rsidRPr="00933431">
              <w:rPr>
                <w:rFonts w:eastAsia="Lucida Sans Unicode" w:cs="Arial"/>
                <w:color w:val="1D2828"/>
                <w:szCs w:val="24"/>
                <w:lang w:eastAsia="en-GB"/>
              </w:rPr>
              <w:t>Update Customer Service Excellence Strategy and Action Plan for 2020-2024</w:t>
            </w:r>
          </w:p>
        </w:tc>
        <w:tc>
          <w:tcPr>
            <w:tcW w:w="5954" w:type="dxa"/>
            <w:tcBorders>
              <w:top w:val="single" w:sz="4" w:space="0" w:color="auto"/>
              <w:bottom w:val="single" w:sz="4" w:space="0" w:color="auto"/>
            </w:tcBorders>
          </w:tcPr>
          <w:p w14:paraId="69FA1C7B" w14:textId="77777777" w:rsidR="00933431" w:rsidRPr="00933431" w:rsidRDefault="00933431" w:rsidP="00933431">
            <w:pPr>
              <w:rPr>
                <w:rFonts w:cs="Arial"/>
                <w:szCs w:val="24"/>
                <w:lang w:eastAsia="en-GB"/>
              </w:rPr>
            </w:pPr>
            <w:r w:rsidRPr="00933431">
              <w:rPr>
                <w:rFonts w:cs="Arial"/>
                <w:szCs w:val="24"/>
                <w:lang w:eastAsia="en-GB"/>
              </w:rPr>
              <w:t>Missed target: This would be finalised early in new financial year. Delay due to multiple new procedures and policies being developed and alignment with document.</w:t>
            </w:r>
          </w:p>
        </w:tc>
      </w:tr>
      <w:tr w:rsidR="00933431" w:rsidRPr="00933431" w14:paraId="0056A89A" w14:textId="77777777" w:rsidTr="007311E5">
        <w:trPr>
          <w:trHeight w:val="408"/>
        </w:trPr>
        <w:tc>
          <w:tcPr>
            <w:tcW w:w="3085" w:type="dxa"/>
            <w:tcBorders>
              <w:top w:val="single" w:sz="4" w:space="0" w:color="auto"/>
              <w:left w:val="single" w:sz="4" w:space="0" w:color="auto"/>
              <w:bottom w:val="single" w:sz="4" w:space="0" w:color="auto"/>
              <w:right w:val="single" w:sz="4" w:space="0" w:color="BFBFBF"/>
            </w:tcBorders>
          </w:tcPr>
          <w:p w14:paraId="5F029342" w14:textId="77777777" w:rsidR="00933431" w:rsidRPr="00933431" w:rsidRDefault="00933431" w:rsidP="00933431">
            <w:pPr>
              <w:rPr>
                <w:rFonts w:cs="Arial"/>
                <w:szCs w:val="24"/>
                <w:lang w:eastAsia="en-GB"/>
              </w:rPr>
            </w:pPr>
            <w:r w:rsidRPr="00933431">
              <w:rPr>
                <w:rFonts w:cs="Arial"/>
                <w:szCs w:val="24"/>
                <w:lang w:eastAsia="en-GB"/>
              </w:rPr>
              <w:t>Implement Screening App</w:t>
            </w:r>
          </w:p>
        </w:tc>
        <w:tc>
          <w:tcPr>
            <w:tcW w:w="5954" w:type="dxa"/>
            <w:tcBorders>
              <w:top w:val="single" w:sz="4" w:space="0" w:color="auto"/>
              <w:bottom w:val="single" w:sz="4" w:space="0" w:color="auto"/>
            </w:tcBorders>
          </w:tcPr>
          <w:p w14:paraId="00D82D83" w14:textId="77777777" w:rsidR="00933431" w:rsidRPr="00933431" w:rsidRDefault="00933431" w:rsidP="00933431">
            <w:pPr>
              <w:rPr>
                <w:rFonts w:eastAsia="Times New Roman" w:cs="Arial"/>
                <w:szCs w:val="24"/>
              </w:rPr>
            </w:pPr>
            <w:r w:rsidRPr="00933431">
              <w:rPr>
                <w:rFonts w:cs="Arial"/>
                <w:szCs w:val="24"/>
                <w:lang w:eastAsia="en-GB"/>
              </w:rPr>
              <w:t xml:space="preserve">Met target. </w:t>
            </w:r>
            <w:r w:rsidRPr="00933431">
              <w:rPr>
                <w:rFonts w:eastAsia="Times New Roman" w:cs="Arial"/>
                <w:szCs w:val="24"/>
              </w:rPr>
              <w:t>This was now completed and is working well.</w:t>
            </w:r>
          </w:p>
        </w:tc>
      </w:tr>
      <w:tr w:rsidR="00933431" w:rsidRPr="00933431" w14:paraId="623C8A0D" w14:textId="77777777" w:rsidTr="007311E5">
        <w:trPr>
          <w:trHeight w:val="983"/>
        </w:trPr>
        <w:tc>
          <w:tcPr>
            <w:tcW w:w="3085" w:type="dxa"/>
            <w:tcBorders>
              <w:top w:val="single" w:sz="4" w:space="0" w:color="auto"/>
              <w:left w:val="single" w:sz="4" w:space="0" w:color="auto"/>
              <w:bottom w:val="single" w:sz="4" w:space="0" w:color="auto"/>
              <w:right w:val="single" w:sz="4" w:space="0" w:color="BFBFBF"/>
            </w:tcBorders>
          </w:tcPr>
          <w:p w14:paraId="178EBD4B" w14:textId="77777777" w:rsidR="00933431" w:rsidRPr="00933431" w:rsidRDefault="00933431" w:rsidP="00933431">
            <w:pPr>
              <w:rPr>
                <w:rFonts w:cs="Arial"/>
                <w:szCs w:val="24"/>
                <w:lang w:eastAsia="en-GB"/>
              </w:rPr>
            </w:pPr>
            <w:r w:rsidRPr="00933431">
              <w:rPr>
                <w:rFonts w:cs="Arial"/>
                <w:szCs w:val="24"/>
                <w:lang w:eastAsia="en-GB"/>
              </w:rPr>
              <w:t xml:space="preserve">Screening 100% of all new and revised policies to ensure compliance with disability duties and Section 75 of the Northern Ireland Act 1988, Rural and Sustainability. </w:t>
            </w:r>
          </w:p>
        </w:tc>
        <w:tc>
          <w:tcPr>
            <w:tcW w:w="5954" w:type="dxa"/>
            <w:tcBorders>
              <w:top w:val="single" w:sz="4" w:space="0" w:color="auto"/>
              <w:bottom w:val="single" w:sz="4" w:space="0" w:color="auto"/>
            </w:tcBorders>
          </w:tcPr>
          <w:p w14:paraId="5A009EB4" w14:textId="77777777" w:rsidR="00933431" w:rsidRPr="00933431" w:rsidRDefault="00933431" w:rsidP="00933431">
            <w:pPr>
              <w:rPr>
                <w:rFonts w:cs="Arial"/>
                <w:szCs w:val="24"/>
                <w:lang w:eastAsia="en-GB"/>
              </w:rPr>
            </w:pPr>
            <w:r w:rsidRPr="00933431">
              <w:rPr>
                <w:rFonts w:cs="Arial"/>
                <w:szCs w:val="24"/>
                <w:lang w:eastAsia="en-GB"/>
              </w:rPr>
              <w:t xml:space="preserve">Met target - All existing policies were checked to ensure that thy were screened and if not, screening was completed. All new policies were screened as they are being developed. </w:t>
            </w:r>
          </w:p>
          <w:p w14:paraId="64D53329" w14:textId="77777777" w:rsidR="00933431" w:rsidRPr="00933431" w:rsidRDefault="00933431" w:rsidP="00933431">
            <w:pPr>
              <w:rPr>
                <w:rFonts w:eastAsia="Times New Roman" w:cs="Arial"/>
                <w:szCs w:val="24"/>
              </w:rPr>
            </w:pPr>
          </w:p>
          <w:p w14:paraId="62188894" w14:textId="77777777" w:rsidR="00933431" w:rsidRPr="00933431" w:rsidRDefault="00933431" w:rsidP="00933431">
            <w:pPr>
              <w:ind w:firstLine="720"/>
              <w:rPr>
                <w:rFonts w:cs="Arial"/>
                <w:szCs w:val="24"/>
                <w:lang w:eastAsia="en-GB"/>
              </w:rPr>
            </w:pPr>
          </w:p>
        </w:tc>
      </w:tr>
      <w:tr w:rsidR="00933431" w:rsidRPr="00933431" w14:paraId="45881934" w14:textId="77777777" w:rsidTr="007311E5">
        <w:trPr>
          <w:trHeight w:val="983"/>
        </w:trPr>
        <w:tc>
          <w:tcPr>
            <w:tcW w:w="3085" w:type="dxa"/>
            <w:tcBorders>
              <w:top w:val="single" w:sz="4" w:space="0" w:color="auto"/>
              <w:left w:val="single" w:sz="4" w:space="0" w:color="auto"/>
              <w:bottom w:val="single" w:sz="4" w:space="0" w:color="auto"/>
              <w:right w:val="single" w:sz="4" w:space="0" w:color="BFBFBF"/>
            </w:tcBorders>
          </w:tcPr>
          <w:p w14:paraId="47891154" w14:textId="77777777" w:rsidR="00933431" w:rsidRPr="00933431" w:rsidRDefault="00933431" w:rsidP="00933431">
            <w:pPr>
              <w:rPr>
                <w:rFonts w:cs="Arial"/>
                <w:szCs w:val="24"/>
                <w:lang w:eastAsia="en-GB"/>
              </w:rPr>
            </w:pPr>
            <w:r w:rsidRPr="00933431">
              <w:rPr>
                <w:rFonts w:cs="Arial"/>
                <w:szCs w:val="24"/>
                <w:lang w:eastAsia="en-GB"/>
              </w:rPr>
              <w:t xml:space="preserve">Review participation and recruit members in/to the Consultancy panel </w:t>
            </w:r>
          </w:p>
        </w:tc>
        <w:tc>
          <w:tcPr>
            <w:tcW w:w="5954" w:type="dxa"/>
            <w:tcBorders>
              <w:top w:val="single" w:sz="4" w:space="0" w:color="auto"/>
              <w:bottom w:val="single" w:sz="4" w:space="0" w:color="auto"/>
            </w:tcBorders>
          </w:tcPr>
          <w:p w14:paraId="706A9FF9" w14:textId="77777777" w:rsidR="00933431" w:rsidRPr="00933431" w:rsidRDefault="00933431" w:rsidP="00933431">
            <w:pPr>
              <w:rPr>
                <w:rFonts w:cs="Arial"/>
                <w:szCs w:val="24"/>
                <w:lang w:eastAsia="en-GB"/>
              </w:rPr>
            </w:pPr>
            <w:r w:rsidRPr="00933431">
              <w:rPr>
                <w:rFonts w:cs="Arial"/>
                <w:szCs w:val="24"/>
                <w:lang w:eastAsia="en-GB"/>
              </w:rPr>
              <w:t>Met target -T</w:t>
            </w:r>
            <w:r w:rsidRPr="00933431">
              <w:rPr>
                <w:rFonts w:eastAsia="Times New Roman" w:cs="Arial"/>
                <w:szCs w:val="24"/>
              </w:rPr>
              <w:t xml:space="preserve">he group had met and a gap analysis was carried out of Section 75 categories that may not have been represented. Additional members had been recruited and further update could be found in Quarterly update. </w:t>
            </w:r>
          </w:p>
        </w:tc>
      </w:tr>
      <w:tr w:rsidR="00933431" w:rsidRPr="00933431" w14:paraId="03D23ECD" w14:textId="77777777" w:rsidTr="007311E5">
        <w:trPr>
          <w:trHeight w:val="633"/>
        </w:trPr>
        <w:tc>
          <w:tcPr>
            <w:tcW w:w="3085" w:type="dxa"/>
            <w:tcBorders>
              <w:top w:val="single" w:sz="4" w:space="0" w:color="auto"/>
              <w:left w:val="single" w:sz="4" w:space="0" w:color="auto"/>
              <w:bottom w:val="single" w:sz="4" w:space="0" w:color="auto"/>
              <w:right w:val="single" w:sz="4" w:space="0" w:color="BFBFBF"/>
            </w:tcBorders>
          </w:tcPr>
          <w:p w14:paraId="113BC293" w14:textId="77777777" w:rsidR="00933431" w:rsidRPr="00933431" w:rsidRDefault="00933431" w:rsidP="00933431">
            <w:pPr>
              <w:rPr>
                <w:rFonts w:cs="Arial"/>
                <w:szCs w:val="24"/>
                <w:lang w:eastAsia="en-GB"/>
              </w:rPr>
            </w:pPr>
            <w:r w:rsidRPr="00933431">
              <w:rPr>
                <w:rFonts w:cs="Arial"/>
                <w:szCs w:val="24"/>
                <w:lang w:eastAsia="en-GB"/>
              </w:rPr>
              <w:t>Develop Claims Management Policy</w:t>
            </w:r>
          </w:p>
        </w:tc>
        <w:tc>
          <w:tcPr>
            <w:tcW w:w="5954" w:type="dxa"/>
            <w:tcBorders>
              <w:top w:val="single" w:sz="4" w:space="0" w:color="auto"/>
              <w:bottom w:val="single" w:sz="4" w:space="0" w:color="auto"/>
            </w:tcBorders>
          </w:tcPr>
          <w:p w14:paraId="3CA43D58" w14:textId="77777777" w:rsidR="00933431" w:rsidRPr="00933431" w:rsidRDefault="00933431" w:rsidP="00933431">
            <w:pPr>
              <w:rPr>
                <w:rFonts w:cs="Arial"/>
                <w:szCs w:val="24"/>
                <w:lang w:eastAsia="en-GB"/>
              </w:rPr>
            </w:pPr>
            <w:r w:rsidRPr="00933431">
              <w:rPr>
                <w:rFonts w:cs="Arial"/>
                <w:szCs w:val="24"/>
                <w:lang w:eastAsia="en-GB"/>
              </w:rPr>
              <w:t xml:space="preserve">Missed target - Development underway and would be completed before Autumn 2023. </w:t>
            </w:r>
          </w:p>
        </w:tc>
      </w:tr>
      <w:tr w:rsidR="00933431" w:rsidRPr="00933431" w14:paraId="1F47ADBC" w14:textId="77777777" w:rsidTr="007311E5">
        <w:trPr>
          <w:trHeight w:val="983"/>
        </w:trPr>
        <w:tc>
          <w:tcPr>
            <w:tcW w:w="3085" w:type="dxa"/>
            <w:tcBorders>
              <w:top w:val="single" w:sz="4" w:space="0" w:color="auto"/>
              <w:left w:val="single" w:sz="4" w:space="0" w:color="auto"/>
              <w:bottom w:val="single" w:sz="4" w:space="0" w:color="auto"/>
              <w:right w:val="single" w:sz="4" w:space="0" w:color="BFBFBF"/>
            </w:tcBorders>
          </w:tcPr>
          <w:p w14:paraId="33BFEC2E" w14:textId="77777777" w:rsidR="00933431" w:rsidRPr="00933431" w:rsidRDefault="00933431" w:rsidP="00933431">
            <w:pPr>
              <w:rPr>
                <w:rFonts w:cs="Arial"/>
                <w:szCs w:val="24"/>
                <w:lang w:eastAsia="en-GB"/>
              </w:rPr>
            </w:pPr>
            <w:r w:rsidRPr="00933431">
              <w:rPr>
                <w:rFonts w:cs="Arial"/>
                <w:szCs w:val="24"/>
                <w:lang w:eastAsia="en-GB"/>
              </w:rPr>
              <w:t>Increase Participation and recruit members in the Council Disability Forum by 50%</w:t>
            </w:r>
          </w:p>
        </w:tc>
        <w:tc>
          <w:tcPr>
            <w:tcW w:w="5954" w:type="dxa"/>
            <w:tcBorders>
              <w:top w:val="single" w:sz="4" w:space="0" w:color="auto"/>
              <w:bottom w:val="single" w:sz="4" w:space="0" w:color="auto"/>
            </w:tcBorders>
          </w:tcPr>
          <w:p w14:paraId="64D472E8" w14:textId="77777777" w:rsidR="00933431" w:rsidRPr="00933431" w:rsidRDefault="00933431" w:rsidP="00933431">
            <w:pPr>
              <w:rPr>
                <w:rFonts w:eastAsia="Times New Roman" w:cs="Arial"/>
                <w:szCs w:val="24"/>
              </w:rPr>
            </w:pPr>
            <w:r w:rsidRPr="00933431">
              <w:rPr>
                <w:rFonts w:cs="Arial"/>
                <w:szCs w:val="24"/>
                <w:lang w:eastAsia="en-GB"/>
              </w:rPr>
              <w:t>Met target: This had been carried out and 1 n</w:t>
            </w:r>
            <w:r w:rsidRPr="00933431">
              <w:rPr>
                <w:rFonts w:eastAsia="Times New Roman" w:cs="Arial"/>
                <w:szCs w:val="24"/>
              </w:rPr>
              <w:t>ew member had been recruited.</w:t>
            </w:r>
          </w:p>
          <w:p w14:paraId="45491216" w14:textId="77777777" w:rsidR="00933431" w:rsidRPr="00933431" w:rsidRDefault="00933431" w:rsidP="00933431">
            <w:pPr>
              <w:rPr>
                <w:rFonts w:cs="Arial"/>
                <w:szCs w:val="24"/>
                <w:lang w:eastAsia="en-GB"/>
              </w:rPr>
            </w:pPr>
          </w:p>
        </w:tc>
      </w:tr>
      <w:tr w:rsidR="00933431" w:rsidRPr="00933431" w14:paraId="00284D16" w14:textId="77777777" w:rsidTr="007311E5">
        <w:trPr>
          <w:trHeight w:val="983"/>
        </w:trPr>
        <w:tc>
          <w:tcPr>
            <w:tcW w:w="3085" w:type="dxa"/>
            <w:tcBorders>
              <w:top w:val="single" w:sz="4" w:space="0" w:color="auto"/>
              <w:left w:val="single" w:sz="4" w:space="0" w:color="auto"/>
              <w:bottom w:val="single" w:sz="4" w:space="0" w:color="auto"/>
              <w:right w:val="single" w:sz="4" w:space="0" w:color="BFBFBF"/>
            </w:tcBorders>
          </w:tcPr>
          <w:p w14:paraId="1BE0D3AD" w14:textId="77777777" w:rsidR="00933431" w:rsidRPr="00933431" w:rsidRDefault="00933431" w:rsidP="00933431">
            <w:pPr>
              <w:rPr>
                <w:rFonts w:cs="Arial"/>
                <w:szCs w:val="24"/>
                <w:lang w:eastAsia="en-GB"/>
              </w:rPr>
            </w:pPr>
            <w:bookmarkStart w:id="11" w:name="_Hlk110949829"/>
            <w:r w:rsidRPr="00933431">
              <w:rPr>
                <w:rFonts w:cs="Arial"/>
                <w:szCs w:val="24"/>
                <w:lang w:eastAsia="en-GB"/>
              </w:rPr>
              <w:lastRenderedPageBreak/>
              <w:t>Complete Climate Adaptation and Action Plans</w:t>
            </w:r>
            <w:bookmarkEnd w:id="11"/>
          </w:p>
        </w:tc>
        <w:tc>
          <w:tcPr>
            <w:tcW w:w="5954" w:type="dxa"/>
            <w:tcBorders>
              <w:top w:val="single" w:sz="4" w:space="0" w:color="auto"/>
              <w:bottom w:val="single" w:sz="4" w:space="0" w:color="auto"/>
            </w:tcBorders>
          </w:tcPr>
          <w:p w14:paraId="1B25472D" w14:textId="77777777" w:rsidR="00933431" w:rsidRPr="00933431" w:rsidRDefault="00933431" w:rsidP="00933431">
            <w:pPr>
              <w:rPr>
                <w:rFonts w:eastAsia="Times New Roman" w:cs="Arial"/>
                <w:szCs w:val="24"/>
              </w:rPr>
            </w:pPr>
            <w:bookmarkStart w:id="12" w:name="_Hlk110951942"/>
            <w:r w:rsidRPr="00933431">
              <w:rPr>
                <w:rFonts w:cs="Arial"/>
                <w:szCs w:val="24"/>
                <w:lang w:eastAsia="en-GB"/>
              </w:rPr>
              <w:t xml:space="preserve">Missed target: </w:t>
            </w:r>
            <w:r w:rsidRPr="00933431">
              <w:rPr>
                <w:rFonts w:eastAsia="Times New Roman" w:cs="Arial"/>
                <w:szCs w:val="24"/>
              </w:rPr>
              <w:t>This was progressing – 3 workshops had taken place and officers had reviewed risk register with individual service units and identifying actions.  This had been summarised into themes of functional and operational actions. Aim to sign off Adaptation plan in September 2023.</w:t>
            </w:r>
            <w:bookmarkEnd w:id="12"/>
          </w:p>
        </w:tc>
      </w:tr>
    </w:tbl>
    <w:p w14:paraId="25220043" w14:textId="77777777" w:rsidR="00933431" w:rsidRPr="00933431" w:rsidRDefault="00933431" w:rsidP="00933431">
      <w:pPr>
        <w:rPr>
          <w:rFonts w:eastAsia="Times New Roman" w:cs="Arial"/>
          <w:szCs w:val="24"/>
        </w:rPr>
      </w:pPr>
    </w:p>
    <w:p w14:paraId="2470D7D2" w14:textId="77777777" w:rsidR="00933431" w:rsidRPr="00933431" w:rsidRDefault="00933431" w:rsidP="00933431">
      <w:pPr>
        <w:rPr>
          <w:rFonts w:eastAsia="Times New Roman" w:cs="Arial"/>
          <w:b/>
          <w:bCs/>
          <w:szCs w:val="24"/>
        </w:rPr>
      </w:pPr>
      <w:r w:rsidRPr="00933431">
        <w:rPr>
          <w:rFonts w:eastAsia="Times New Roman" w:cs="Arial"/>
          <w:b/>
          <w:bCs/>
          <w:szCs w:val="24"/>
        </w:rPr>
        <w:t xml:space="preserve">Table 3: Q4 performance update – Corporate wide </w:t>
      </w:r>
      <w:r w:rsidRPr="00933431">
        <w:rPr>
          <w:rFonts w:cs="Arial"/>
          <w:b/>
          <w:bCs/>
          <w:szCs w:val="24"/>
          <w:lang w:eastAsia="en-GB"/>
        </w:rPr>
        <w:t xml:space="preserve">improvement activities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5766"/>
      </w:tblGrid>
      <w:tr w:rsidR="00933431" w:rsidRPr="00933431" w14:paraId="0D2F5A0E" w14:textId="77777777" w:rsidTr="007311E5">
        <w:trPr>
          <w:trHeight w:val="474"/>
          <w:tblHeader/>
        </w:trPr>
        <w:tc>
          <w:tcPr>
            <w:tcW w:w="3273" w:type="dxa"/>
            <w:shd w:val="clear" w:color="auto" w:fill="4472C4"/>
          </w:tcPr>
          <w:p w14:paraId="18144E1C" w14:textId="77777777" w:rsidR="00933431" w:rsidRPr="00933431" w:rsidRDefault="00933431" w:rsidP="00933431">
            <w:pPr>
              <w:rPr>
                <w:rFonts w:cs="Arial"/>
                <w:b/>
                <w:color w:val="FFFFFF"/>
                <w:szCs w:val="24"/>
                <w:lang w:eastAsia="en-GB"/>
              </w:rPr>
            </w:pPr>
            <w:r w:rsidRPr="00933431">
              <w:rPr>
                <w:rFonts w:cs="Arial"/>
                <w:b/>
                <w:color w:val="FFFFFF"/>
                <w:szCs w:val="24"/>
                <w:lang w:eastAsia="en-GB"/>
              </w:rPr>
              <w:t>Performance Measures</w:t>
            </w:r>
          </w:p>
        </w:tc>
        <w:tc>
          <w:tcPr>
            <w:tcW w:w="5766" w:type="dxa"/>
            <w:shd w:val="clear" w:color="auto" w:fill="4472C4"/>
          </w:tcPr>
          <w:p w14:paraId="5E055233" w14:textId="77777777" w:rsidR="00933431" w:rsidRPr="00933431" w:rsidRDefault="00933431" w:rsidP="00933431">
            <w:pPr>
              <w:rPr>
                <w:rFonts w:cs="Arial"/>
                <w:b/>
                <w:color w:val="FFFFFF"/>
                <w:szCs w:val="24"/>
                <w:lang w:eastAsia="en-GB"/>
              </w:rPr>
            </w:pPr>
            <w:r w:rsidRPr="00933431">
              <w:rPr>
                <w:rFonts w:cs="Arial"/>
                <w:b/>
                <w:color w:val="FFFFFF"/>
                <w:szCs w:val="24"/>
                <w:lang w:eastAsia="en-GB"/>
              </w:rPr>
              <w:t>Q4 update</w:t>
            </w:r>
          </w:p>
        </w:tc>
      </w:tr>
      <w:tr w:rsidR="00933431" w:rsidRPr="00933431" w14:paraId="2077055E" w14:textId="77777777" w:rsidTr="007311E5">
        <w:tc>
          <w:tcPr>
            <w:tcW w:w="3273" w:type="dxa"/>
            <w:tcBorders>
              <w:top w:val="single" w:sz="2" w:space="0" w:color="auto"/>
              <w:left w:val="single" w:sz="2" w:space="0" w:color="auto"/>
              <w:bottom w:val="single" w:sz="2" w:space="0" w:color="auto"/>
              <w:right w:val="single" w:sz="2" w:space="0" w:color="auto"/>
            </w:tcBorders>
          </w:tcPr>
          <w:p w14:paraId="6C9E714C" w14:textId="77777777" w:rsidR="00933431" w:rsidRPr="00933431" w:rsidRDefault="00933431" w:rsidP="00933431">
            <w:pPr>
              <w:ind w:left="22"/>
              <w:rPr>
                <w:rFonts w:cs="Arial"/>
                <w:szCs w:val="24"/>
                <w:lang w:eastAsia="en-GB"/>
              </w:rPr>
            </w:pPr>
            <w:r w:rsidRPr="00933431">
              <w:rPr>
                <w:rFonts w:cs="Arial"/>
                <w:szCs w:val="24"/>
                <w:lang w:eastAsia="en-GB"/>
              </w:rPr>
              <w:t>% Staff Attendance (95%)</w:t>
            </w:r>
          </w:p>
        </w:tc>
        <w:tc>
          <w:tcPr>
            <w:tcW w:w="5766" w:type="dxa"/>
            <w:tcBorders>
              <w:top w:val="single" w:sz="2" w:space="0" w:color="auto"/>
              <w:left w:val="single" w:sz="2" w:space="0" w:color="auto"/>
              <w:bottom w:val="single" w:sz="2" w:space="0" w:color="auto"/>
              <w:right w:val="single" w:sz="2" w:space="0" w:color="auto"/>
            </w:tcBorders>
          </w:tcPr>
          <w:p w14:paraId="156D62E1" w14:textId="77777777" w:rsidR="00933431" w:rsidRPr="00933431" w:rsidRDefault="00933431" w:rsidP="00933431">
            <w:pPr>
              <w:rPr>
                <w:rFonts w:cs="Arial"/>
                <w:szCs w:val="24"/>
                <w:lang w:eastAsia="en-GB"/>
              </w:rPr>
            </w:pPr>
            <w:r w:rsidRPr="00933431">
              <w:rPr>
                <w:rFonts w:cs="Arial"/>
                <w:szCs w:val="24"/>
                <w:lang w:eastAsia="en-GB"/>
              </w:rPr>
              <w:t>Met target – 96.41%</w:t>
            </w:r>
          </w:p>
        </w:tc>
      </w:tr>
      <w:tr w:rsidR="00933431" w:rsidRPr="00933431" w14:paraId="5B80EE14" w14:textId="77777777" w:rsidTr="007311E5">
        <w:tc>
          <w:tcPr>
            <w:tcW w:w="3273" w:type="dxa"/>
            <w:tcBorders>
              <w:top w:val="single" w:sz="2" w:space="0" w:color="auto"/>
              <w:left w:val="single" w:sz="2" w:space="0" w:color="auto"/>
              <w:bottom w:val="single" w:sz="2" w:space="0" w:color="auto"/>
              <w:right w:val="single" w:sz="2" w:space="0" w:color="auto"/>
            </w:tcBorders>
          </w:tcPr>
          <w:p w14:paraId="1115A066" w14:textId="77777777" w:rsidR="00933431" w:rsidRPr="00933431" w:rsidRDefault="00933431" w:rsidP="00933431">
            <w:pPr>
              <w:ind w:left="22"/>
              <w:rPr>
                <w:rFonts w:cs="Arial"/>
                <w:szCs w:val="24"/>
                <w:lang w:eastAsia="en-GB"/>
              </w:rPr>
            </w:pPr>
            <w:r w:rsidRPr="00933431">
              <w:rPr>
                <w:rFonts w:cs="Arial"/>
                <w:szCs w:val="24"/>
                <w:lang w:eastAsia="en-GB"/>
              </w:rPr>
              <w:t>% Spend against budget (+/-5% of budget)</w:t>
            </w:r>
          </w:p>
        </w:tc>
        <w:tc>
          <w:tcPr>
            <w:tcW w:w="5766" w:type="dxa"/>
            <w:tcBorders>
              <w:top w:val="single" w:sz="2" w:space="0" w:color="auto"/>
              <w:left w:val="single" w:sz="2" w:space="0" w:color="auto"/>
              <w:bottom w:val="single" w:sz="2" w:space="0" w:color="auto"/>
              <w:right w:val="single" w:sz="2" w:space="0" w:color="auto"/>
            </w:tcBorders>
          </w:tcPr>
          <w:p w14:paraId="05B713D8" w14:textId="77777777" w:rsidR="00933431" w:rsidRPr="00933431" w:rsidRDefault="00933431" w:rsidP="00933431">
            <w:pPr>
              <w:rPr>
                <w:rFonts w:cs="Arial"/>
                <w:szCs w:val="24"/>
                <w:highlight w:val="yellow"/>
                <w:lang w:eastAsia="en-GB"/>
              </w:rPr>
            </w:pPr>
            <w:r w:rsidRPr="00933431">
              <w:rPr>
                <w:rFonts w:cs="Arial"/>
                <w:szCs w:val="24"/>
                <w:lang w:eastAsia="en-GB"/>
              </w:rPr>
              <w:t>Missed target – 106%</w:t>
            </w:r>
          </w:p>
        </w:tc>
      </w:tr>
      <w:tr w:rsidR="00933431" w:rsidRPr="00933431" w14:paraId="0B6BBAEE" w14:textId="77777777" w:rsidTr="007311E5">
        <w:tc>
          <w:tcPr>
            <w:tcW w:w="3273" w:type="dxa"/>
            <w:tcBorders>
              <w:top w:val="single" w:sz="2" w:space="0" w:color="auto"/>
              <w:left w:val="single" w:sz="2" w:space="0" w:color="auto"/>
              <w:bottom w:val="single" w:sz="2" w:space="0" w:color="auto"/>
              <w:right w:val="single" w:sz="2" w:space="0" w:color="auto"/>
            </w:tcBorders>
          </w:tcPr>
          <w:p w14:paraId="7C3A6056" w14:textId="77777777" w:rsidR="00933431" w:rsidRPr="00933431" w:rsidRDefault="00933431" w:rsidP="00933431">
            <w:pPr>
              <w:ind w:left="22"/>
              <w:rPr>
                <w:rFonts w:cs="Arial"/>
                <w:szCs w:val="24"/>
                <w:lang w:eastAsia="en-GB"/>
              </w:rPr>
            </w:pPr>
            <w:r w:rsidRPr="00933431">
              <w:rPr>
                <w:rFonts w:cs="Arial"/>
                <w:szCs w:val="24"/>
                <w:lang w:eastAsia="en-GB"/>
              </w:rPr>
              <w:t>% Staff reporting regular receipt of team briefings</w:t>
            </w:r>
          </w:p>
        </w:tc>
        <w:tc>
          <w:tcPr>
            <w:tcW w:w="5766" w:type="dxa"/>
            <w:tcBorders>
              <w:top w:val="single" w:sz="2" w:space="0" w:color="auto"/>
              <w:left w:val="single" w:sz="2" w:space="0" w:color="auto"/>
              <w:bottom w:val="single" w:sz="2" w:space="0" w:color="auto"/>
              <w:right w:val="single" w:sz="2" w:space="0" w:color="auto"/>
            </w:tcBorders>
          </w:tcPr>
          <w:p w14:paraId="668EB2BC" w14:textId="77777777" w:rsidR="00933431" w:rsidRPr="00933431" w:rsidRDefault="00933431" w:rsidP="00933431">
            <w:pPr>
              <w:rPr>
                <w:rFonts w:cs="Arial"/>
                <w:szCs w:val="24"/>
                <w:lang w:eastAsia="en-GB"/>
              </w:rPr>
            </w:pPr>
            <w:r w:rsidRPr="00933431">
              <w:rPr>
                <w:rFonts w:cs="Arial"/>
                <w:szCs w:val="24"/>
                <w:lang w:eastAsia="en-GB"/>
              </w:rPr>
              <w:t>100% - Teams meet at least once a month</w:t>
            </w:r>
          </w:p>
        </w:tc>
      </w:tr>
    </w:tbl>
    <w:p w14:paraId="6F243F9B" w14:textId="77777777" w:rsidR="00933431" w:rsidRPr="00933431" w:rsidRDefault="00933431" w:rsidP="00933431">
      <w:pPr>
        <w:rPr>
          <w:rFonts w:eastAsia="Times New Roman" w:cs="Arial"/>
          <w:szCs w:val="24"/>
          <w:lang w:eastAsia="en-GB"/>
        </w:rPr>
      </w:pPr>
      <w:bookmarkStart w:id="13" w:name="_Hlk48038681"/>
    </w:p>
    <w:p w14:paraId="5CA9217B" w14:textId="77777777" w:rsidR="00933431" w:rsidRPr="00933431" w:rsidRDefault="00933431" w:rsidP="00933431">
      <w:pPr>
        <w:rPr>
          <w:rFonts w:eastAsia="Times New Roman" w:cs="Arial"/>
          <w:b/>
          <w:szCs w:val="24"/>
        </w:rPr>
      </w:pPr>
      <w:r w:rsidRPr="00933431">
        <w:rPr>
          <w:rFonts w:eastAsia="Times New Roman" w:cs="Arial"/>
          <w:b/>
          <w:szCs w:val="24"/>
        </w:rPr>
        <w:t>Key achievements:</w:t>
      </w:r>
    </w:p>
    <w:p w14:paraId="5F765568" w14:textId="77777777" w:rsidR="00933431" w:rsidRPr="00933431" w:rsidRDefault="00933431" w:rsidP="00933431">
      <w:pPr>
        <w:rPr>
          <w:rFonts w:eastAsia="Times New Roman" w:cs="Arial"/>
          <w:bCs/>
          <w:szCs w:val="24"/>
        </w:rPr>
      </w:pPr>
    </w:p>
    <w:p w14:paraId="59B75BEF" w14:textId="77777777" w:rsidR="00933431" w:rsidRPr="00933431" w:rsidRDefault="00933431" w:rsidP="00933431">
      <w:pPr>
        <w:rPr>
          <w:rFonts w:eastAsia="Times New Roman" w:cs="Arial"/>
          <w:bCs/>
          <w:szCs w:val="24"/>
        </w:rPr>
      </w:pPr>
      <w:r w:rsidRPr="00933431">
        <w:rPr>
          <w:rFonts w:eastAsia="Times New Roman" w:cs="Arial"/>
          <w:bCs/>
          <w:szCs w:val="24"/>
        </w:rPr>
        <w:t xml:space="preserve">The Roadmap to Sustainability was continuing to serve as a great document to ensure that actions are continuing and constantly improving. The Council-wide awareness of their service’s impact on all elements of sustainability had dramatically increased and projects now considered sustainability as a matter of course as opposed to an afterthought.  In order to ensure that this was meaningful an Advisory Audit was commissioned, and Officers would work through the recommendations in the coming year. </w:t>
      </w:r>
    </w:p>
    <w:p w14:paraId="6A4EC1E7" w14:textId="77777777" w:rsidR="00933431" w:rsidRPr="00933431" w:rsidRDefault="00933431" w:rsidP="00933431">
      <w:pPr>
        <w:rPr>
          <w:rFonts w:eastAsia="Times New Roman" w:cs="Arial"/>
          <w:b/>
          <w:szCs w:val="24"/>
        </w:rPr>
      </w:pPr>
    </w:p>
    <w:p w14:paraId="6A71B234" w14:textId="77777777" w:rsidR="00933431" w:rsidRPr="00933431" w:rsidRDefault="00933431" w:rsidP="00933431">
      <w:pPr>
        <w:rPr>
          <w:rFonts w:eastAsia="Times New Roman" w:cs="Arial"/>
          <w:b/>
          <w:szCs w:val="24"/>
        </w:rPr>
      </w:pPr>
      <w:r w:rsidRPr="00933431">
        <w:rPr>
          <w:rFonts w:eastAsia="Times New Roman" w:cs="Arial"/>
          <w:b/>
          <w:szCs w:val="24"/>
        </w:rPr>
        <w:t>Emerging issues:</w:t>
      </w:r>
    </w:p>
    <w:p w14:paraId="26CE5553" w14:textId="77777777" w:rsidR="00933431" w:rsidRPr="00933431" w:rsidRDefault="00933431" w:rsidP="00933431">
      <w:pPr>
        <w:rPr>
          <w:rFonts w:eastAsia="Times New Roman" w:cs="Arial"/>
          <w:szCs w:val="24"/>
        </w:rPr>
      </w:pPr>
      <w:r w:rsidRPr="00933431">
        <w:rPr>
          <w:rFonts w:eastAsia="Times New Roman" w:cs="Arial"/>
          <w:szCs w:val="24"/>
        </w:rPr>
        <w:t xml:space="preserve">There were a number of issues with requests for information coming through various channels where officers were dealing with the similar queries and spending a significant amount of time investigating, collating, responding and subsequently reviewing follow up queries. This had led to some policies being developed and reviewed to ensure these issues were being dealt with in an efficient and effective manner. </w:t>
      </w:r>
    </w:p>
    <w:p w14:paraId="54AC2239" w14:textId="77777777" w:rsidR="00933431" w:rsidRPr="00933431" w:rsidRDefault="00933431" w:rsidP="00933431">
      <w:pPr>
        <w:rPr>
          <w:rFonts w:eastAsia="Times New Roman" w:cs="Arial"/>
          <w:szCs w:val="24"/>
        </w:rPr>
      </w:pPr>
    </w:p>
    <w:p w14:paraId="6AA9D313" w14:textId="77777777" w:rsidR="00933431" w:rsidRPr="00933431" w:rsidRDefault="00933431" w:rsidP="00933431">
      <w:pPr>
        <w:rPr>
          <w:rFonts w:eastAsia="Times New Roman" w:cs="Arial"/>
          <w:szCs w:val="24"/>
        </w:rPr>
      </w:pPr>
      <w:r w:rsidRPr="00933431">
        <w:rPr>
          <w:rFonts w:eastAsia="Times New Roman" w:cs="Arial"/>
          <w:szCs w:val="24"/>
        </w:rPr>
        <w:t>The Council had adopted the NIPSO Model Complaints Handling Procedure which reduced the procedure from 3 to 2 Stages before the complaint could be escalated to NIPSO. This would be a change culturally and required additional formal reporting from Local Authorities. This would be launched and implemented within the next 6 months.</w:t>
      </w:r>
    </w:p>
    <w:p w14:paraId="10136F19" w14:textId="77777777" w:rsidR="00933431" w:rsidRPr="00933431" w:rsidRDefault="00933431" w:rsidP="00933431">
      <w:pPr>
        <w:rPr>
          <w:rFonts w:eastAsia="Times New Roman" w:cs="Arial"/>
          <w:szCs w:val="24"/>
        </w:rPr>
      </w:pPr>
    </w:p>
    <w:p w14:paraId="3CDE4FBA" w14:textId="37A55EA0" w:rsidR="00261CA5" w:rsidRPr="00933431" w:rsidRDefault="00933431" w:rsidP="00933431">
      <w:pPr>
        <w:rPr>
          <w:rFonts w:eastAsia="Times New Roman" w:cs="Arial"/>
          <w:b/>
          <w:szCs w:val="24"/>
        </w:rPr>
      </w:pPr>
      <w:r w:rsidRPr="00933431">
        <w:rPr>
          <w:rFonts w:eastAsia="Times New Roman" w:cs="Arial"/>
          <w:b/>
          <w:szCs w:val="24"/>
        </w:rPr>
        <w:t>Action to be taken:</w:t>
      </w:r>
    </w:p>
    <w:p w14:paraId="2D6D2BE5" w14:textId="77777777" w:rsidR="00933431" w:rsidRPr="00933431" w:rsidRDefault="00933431" w:rsidP="00933431">
      <w:pPr>
        <w:contextualSpacing/>
        <w:rPr>
          <w:rFonts w:cs="Arial"/>
          <w:szCs w:val="24"/>
        </w:rPr>
      </w:pPr>
      <w:r w:rsidRPr="00933431">
        <w:rPr>
          <w:rFonts w:cs="Arial"/>
          <w:szCs w:val="24"/>
        </w:rPr>
        <w:t xml:space="preserve">We continued to work towards all of the KPIs. </w:t>
      </w:r>
    </w:p>
    <w:p w14:paraId="5039B619" w14:textId="77777777" w:rsidR="00933431" w:rsidRDefault="00933431" w:rsidP="00933431">
      <w:pPr>
        <w:rPr>
          <w:rFonts w:eastAsia="Times New Roman" w:cs="Arial"/>
          <w:szCs w:val="24"/>
          <w:lang w:eastAsia="en-GB"/>
        </w:rPr>
      </w:pPr>
    </w:p>
    <w:p w14:paraId="547B146F" w14:textId="77777777" w:rsidR="00261CA5" w:rsidRDefault="00261CA5" w:rsidP="00933431">
      <w:pPr>
        <w:rPr>
          <w:rFonts w:eastAsia="Times New Roman" w:cs="Arial"/>
          <w:szCs w:val="24"/>
          <w:lang w:eastAsia="en-GB"/>
        </w:rPr>
      </w:pPr>
    </w:p>
    <w:p w14:paraId="0AB2D23C" w14:textId="77777777" w:rsidR="00261CA5" w:rsidRDefault="00261CA5" w:rsidP="00933431">
      <w:pPr>
        <w:rPr>
          <w:rFonts w:eastAsia="Times New Roman" w:cs="Arial"/>
          <w:szCs w:val="24"/>
          <w:lang w:eastAsia="en-GB"/>
        </w:rPr>
      </w:pPr>
    </w:p>
    <w:p w14:paraId="03162284" w14:textId="77777777" w:rsidR="00261CA5" w:rsidRPr="00933431" w:rsidRDefault="00261CA5" w:rsidP="00933431">
      <w:pPr>
        <w:rPr>
          <w:rFonts w:eastAsia="Times New Roman" w:cs="Arial"/>
          <w:szCs w:val="24"/>
          <w:lang w:eastAsia="en-GB"/>
        </w:rPr>
      </w:pPr>
    </w:p>
    <w:bookmarkEnd w:id="13"/>
    <w:p w14:paraId="0A217D34" w14:textId="3029FC06" w:rsidR="008B4015" w:rsidRDefault="008B4015" w:rsidP="008B4015">
      <w:pPr>
        <w:rPr>
          <w:rFonts w:cs="Arial"/>
          <w:b/>
          <w:bCs/>
          <w:caps/>
          <w:szCs w:val="24"/>
          <w:u w:val="single"/>
        </w:rPr>
      </w:pPr>
      <w:r>
        <w:rPr>
          <w:rFonts w:cs="Arial"/>
          <w:b/>
          <w:bCs/>
          <w:caps/>
          <w:szCs w:val="24"/>
        </w:rPr>
        <w:lastRenderedPageBreak/>
        <w:t>F</w:t>
      </w:r>
      <w:r w:rsidRPr="00062D77">
        <w:rPr>
          <w:rFonts w:cs="Arial"/>
          <w:b/>
          <w:bCs/>
          <w:caps/>
          <w:szCs w:val="24"/>
        </w:rPr>
        <w:t>)</w:t>
      </w:r>
      <w:r w:rsidRPr="00062D77">
        <w:rPr>
          <w:rFonts w:cs="Arial"/>
          <w:b/>
          <w:bCs/>
          <w:caps/>
          <w:szCs w:val="24"/>
        </w:rPr>
        <w:tab/>
      </w:r>
      <w:r w:rsidR="008F12F5">
        <w:rPr>
          <w:rFonts w:cs="Arial"/>
          <w:b/>
          <w:bCs/>
          <w:caps/>
          <w:szCs w:val="24"/>
          <w:u w:val="single"/>
        </w:rPr>
        <w:t>HUMAN RESOURCES</w:t>
      </w:r>
    </w:p>
    <w:p w14:paraId="41CCF108" w14:textId="4DA748A1" w:rsidR="008B4015" w:rsidRPr="00D067F9" w:rsidRDefault="008B4015" w:rsidP="008B4015">
      <w:pPr>
        <w:rPr>
          <w:rFonts w:cs="Arial"/>
          <w:caps/>
          <w:szCs w:val="24"/>
        </w:rPr>
      </w:pPr>
      <w:r>
        <w:rPr>
          <w:rFonts w:cs="Arial"/>
          <w:b/>
          <w:bCs/>
          <w:caps/>
          <w:szCs w:val="24"/>
        </w:rPr>
        <w:tab/>
      </w:r>
      <w:r w:rsidRPr="00D067F9">
        <w:rPr>
          <w:rFonts w:cs="Arial"/>
          <w:szCs w:val="24"/>
        </w:rPr>
        <w:t xml:space="preserve">(Appendix </w:t>
      </w:r>
      <w:r>
        <w:rPr>
          <w:rFonts w:cs="Arial"/>
          <w:szCs w:val="24"/>
        </w:rPr>
        <w:t>VI)</w:t>
      </w:r>
    </w:p>
    <w:p w14:paraId="6E47A222" w14:textId="77777777" w:rsidR="008B4015" w:rsidRPr="00062D77" w:rsidRDefault="008B4015" w:rsidP="008B4015">
      <w:pPr>
        <w:rPr>
          <w:rFonts w:cs="Arial"/>
          <w:b/>
          <w:bCs/>
          <w:caps/>
          <w:szCs w:val="24"/>
        </w:rPr>
      </w:pPr>
    </w:p>
    <w:p w14:paraId="4D23F793" w14:textId="1678176E" w:rsidR="008B4015" w:rsidRDefault="008B4015" w:rsidP="008B4015">
      <w:pPr>
        <w:rPr>
          <w:rFonts w:cs="Arial"/>
          <w:szCs w:val="24"/>
        </w:rPr>
      </w:pPr>
      <w:bookmarkStart w:id="14" w:name="_Hlk129089005"/>
      <w:r w:rsidRPr="004C6B87">
        <w:rPr>
          <w:rFonts w:cs="Arial"/>
          <w:caps/>
          <w:szCs w:val="24"/>
        </w:rPr>
        <w:t>Previously circulated-</w:t>
      </w:r>
      <w:r>
        <w:rPr>
          <w:rFonts w:cs="Arial"/>
          <w:szCs w:val="24"/>
        </w:rPr>
        <w:t xml:space="preserve"> Report from the Director of </w:t>
      </w:r>
      <w:r w:rsidR="00F95E24">
        <w:rPr>
          <w:rFonts w:cs="Arial"/>
          <w:szCs w:val="24"/>
        </w:rPr>
        <w:t>Corporate Services</w:t>
      </w:r>
      <w:r>
        <w:rPr>
          <w:rFonts w:cs="Arial"/>
          <w:szCs w:val="24"/>
        </w:rPr>
        <w:t xml:space="preserve"> detailing the undernoted:</w:t>
      </w:r>
    </w:p>
    <w:bookmarkEnd w:id="14"/>
    <w:p w14:paraId="77DD9ABD" w14:textId="77777777" w:rsidR="008B4015" w:rsidRDefault="008B4015" w:rsidP="008B4015">
      <w:pPr>
        <w:rPr>
          <w:rFonts w:cs="Arial"/>
          <w:szCs w:val="24"/>
        </w:rPr>
      </w:pPr>
    </w:p>
    <w:p w14:paraId="0B864AC9" w14:textId="77777777" w:rsidR="008B4015" w:rsidRPr="0055068C" w:rsidRDefault="008B4015" w:rsidP="008B4015">
      <w:pPr>
        <w:rPr>
          <w:rFonts w:eastAsia="Times New Roman"/>
          <w:b/>
          <w:szCs w:val="20"/>
        </w:rPr>
      </w:pPr>
      <w:r w:rsidRPr="0055068C">
        <w:rPr>
          <w:rFonts w:eastAsia="Times New Roman"/>
          <w:b/>
          <w:szCs w:val="20"/>
        </w:rPr>
        <w:t>Context</w:t>
      </w:r>
    </w:p>
    <w:p w14:paraId="39EFB9E4" w14:textId="77777777" w:rsidR="008B4015" w:rsidRPr="0055068C" w:rsidRDefault="008B4015" w:rsidP="008B4015">
      <w:pPr>
        <w:rPr>
          <w:rFonts w:eastAsia="Times New Roman"/>
          <w:szCs w:val="20"/>
        </w:rPr>
      </w:pPr>
    </w:p>
    <w:p w14:paraId="3CBB347F" w14:textId="77777777" w:rsidR="008B4015" w:rsidRPr="0055068C" w:rsidRDefault="008B4015" w:rsidP="008B4015">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74D9CFB7" w14:textId="77777777" w:rsidR="008B4015" w:rsidRPr="0055068C" w:rsidRDefault="008B4015" w:rsidP="008B4015">
      <w:pPr>
        <w:rPr>
          <w:rFonts w:eastAsia="Times New Roman"/>
          <w:szCs w:val="20"/>
        </w:rPr>
      </w:pPr>
    </w:p>
    <w:p w14:paraId="630288AE" w14:textId="77777777" w:rsidR="008B4015" w:rsidRPr="0055068C" w:rsidRDefault="008B4015" w:rsidP="00CF34D3">
      <w:pPr>
        <w:numPr>
          <w:ilvl w:val="0"/>
          <w:numId w:val="5"/>
        </w:numPr>
        <w:contextualSpacing/>
        <w:rPr>
          <w:rFonts w:cs="Arial"/>
        </w:rPr>
      </w:pPr>
      <w:r w:rsidRPr="0055068C">
        <w:rPr>
          <w:rFonts w:cs="Arial"/>
        </w:rPr>
        <w:t xml:space="preserve">Community Plan – published every 10-15 years </w:t>
      </w:r>
    </w:p>
    <w:p w14:paraId="734255F2" w14:textId="77777777" w:rsidR="008B4015" w:rsidRPr="0055068C" w:rsidRDefault="008B4015" w:rsidP="00CF34D3">
      <w:pPr>
        <w:numPr>
          <w:ilvl w:val="0"/>
          <w:numId w:val="5"/>
        </w:numPr>
        <w:contextualSpacing/>
        <w:rPr>
          <w:rFonts w:cs="Arial"/>
        </w:rPr>
      </w:pPr>
      <w:r w:rsidRPr="0055068C">
        <w:rPr>
          <w:rFonts w:cs="Arial"/>
        </w:rPr>
        <w:t>Corporate Plan – published every 4 years (Corporate Plan Towards 2024 in operation)</w:t>
      </w:r>
    </w:p>
    <w:p w14:paraId="52E823D7" w14:textId="77777777" w:rsidR="008B4015" w:rsidRPr="0055068C" w:rsidRDefault="008B4015" w:rsidP="00CF34D3">
      <w:pPr>
        <w:numPr>
          <w:ilvl w:val="0"/>
          <w:numId w:val="5"/>
        </w:numPr>
        <w:contextualSpacing/>
        <w:rPr>
          <w:rFonts w:cs="Arial"/>
        </w:rPr>
      </w:pPr>
      <w:r w:rsidRPr="0055068C">
        <w:rPr>
          <w:rFonts w:cs="Arial"/>
        </w:rPr>
        <w:t>Performance Improvement Plan (PIP) – published annually (for publication 30 September 2022)</w:t>
      </w:r>
    </w:p>
    <w:p w14:paraId="2EB3E3EC" w14:textId="77777777" w:rsidR="008B4015" w:rsidRPr="0055068C" w:rsidRDefault="008B4015" w:rsidP="00CF34D3">
      <w:pPr>
        <w:numPr>
          <w:ilvl w:val="0"/>
          <w:numId w:val="5"/>
        </w:numPr>
        <w:contextualSpacing/>
        <w:rPr>
          <w:rFonts w:cs="Arial"/>
        </w:rPr>
      </w:pPr>
      <w:r w:rsidRPr="0055068C">
        <w:rPr>
          <w:rFonts w:cs="Arial"/>
        </w:rPr>
        <w:t>Service Plan – developed annually (approved April/May 2022)</w:t>
      </w:r>
    </w:p>
    <w:p w14:paraId="463B8F07" w14:textId="77777777" w:rsidR="008B4015" w:rsidRPr="0055068C" w:rsidRDefault="008B4015" w:rsidP="008B4015">
      <w:pPr>
        <w:rPr>
          <w:rFonts w:eastAsia="Times New Roman"/>
          <w:szCs w:val="20"/>
        </w:rPr>
      </w:pPr>
    </w:p>
    <w:p w14:paraId="75EAE584" w14:textId="77777777" w:rsidR="008B4015" w:rsidRPr="0055068C" w:rsidRDefault="008B4015" w:rsidP="008B4015">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4F740152" w14:textId="77777777" w:rsidR="008B4015" w:rsidRPr="0055068C" w:rsidRDefault="008B4015" w:rsidP="008B4015">
      <w:pPr>
        <w:rPr>
          <w:rFonts w:eastAsia="Times New Roman"/>
          <w:b/>
          <w:szCs w:val="20"/>
        </w:rPr>
      </w:pPr>
    </w:p>
    <w:p w14:paraId="3063971C" w14:textId="77777777" w:rsidR="008B4015" w:rsidRPr="0055068C" w:rsidRDefault="008B4015" w:rsidP="008B4015">
      <w:pPr>
        <w:rPr>
          <w:rFonts w:eastAsia="Times New Roman"/>
          <w:b/>
          <w:szCs w:val="20"/>
        </w:rPr>
      </w:pPr>
      <w:r w:rsidRPr="0055068C">
        <w:rPr>
          <w:rFonts w:eastAsia="Times New Roman"/>
          <w:b/>
          <w:szCs w:val="20"/>
        </w:rPr>
        <w:t>Reporting approach</w:t>
      </w:r>
    </w:p>
    <w:p w14:paraId="77A8CB5C" w14:textId="77777777" w:rsidR="008B4015" w:rsidRPr="0055068C" w:rsidRDefault="008B4015" w:rsidP="008B4015">
      <w:pPr>
        <w:rPr>
          <w:rFonts w:eastAsia="Times New Roman"/>
          <w:szCs w:val="20"/>
        </w:rPr>
      </w:pPr>
    </w:p>
    <w:p w14:paraId="218E7F7C" w14:textId="77777777" w:rsidR="008B4015" w:rsidRPr="0055068C" w:rsidRDefault="008B4015" w:rsidP="008B4015">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72BD83A6" w14:textId="77777777" w:rsidR="008B4015" w:rsidRPr="0055068C" w:rsidRDefault="008B4015" w:rsidP="008B4015">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1D4DC5C9" w14:textId="77777777" w:rsidTr="00E54D0A">
        <w:tc>
          <w:tcPr>
            <w:tcW w:w="2122" w:type="dxa"/>
            <w:shd w:val="clear" w:color="auto" w:fill="BDD6EE"/>
          </w:tcPr>
          <w:p w14:paraId="6B705BB5" w14:textId="77777777" w:rsidR="008B4015" w:rsidRPr="0055068C" w:rsidRDefault="008B4015" w:rsidP="00E54D0A">
            <w:pPr>
              <w:rPr>
                <w:rFonts w:eastAsia="Times New Roman"/>
                <w:b/>
                <w:szCs w:val="20"/>
              </w:rPr>
            </w:pPr>
            <w:r w:rsidRPr="0055068C">
              <w:rPr>
                <w:rFonts w:eastAsia="Times New Roman"/>
                <w:b/>
                <w:szCs w:val="20"/>
              </w:rPr>
              <w:t>Reference</w:t>
            </w:r>
          </w:p>
        </w:tc>
        <w:tc>
          <w:tcPr>
            <w:tcW w:w="3118" w:type="dxa"/>
            <w:shd w:val="clear" w:color="auto" w:fill="BDD6EE"/>
          </w:tcPr>
          <w:p w14:paraId="507B17E1" w14:textId="77777777" w:rsidR="008B4015" w:rsidRPr="0055068C" w:rsidRDefault="008B4015" w:rsidP="00E54D0A">
            <w:pPr>
              <w:rPr>
                <w:rFonts w:eastAsia="Times New Roman"/>
                <w:b/>
                <w:szCs w:val="20"/>
              </w:rPr>
            </w:pPr>
            <w:r w:rsidRPr="0055068C">
              <w:rPr>
                <w:rFonts w:eastAsia="Times New Roman"/>
                <w:b/>
                <w:szCs w:val="20"/>
              </w:rPr>
              <w:t>Period</w:t>
            </w:r>
          </w:p>
        </w:tc>
        <w:tc>
          <w:tcPr>
            <w:tcW w:w="3776" w:type="dxa"/>
            <w:shd w:val="clear" w:color="auto" w:fill="BDD6EE"/>
          </w:tcPr>
          <w:p w14:paraId="1D4FE696" w14:textId="77777777" w:rsidR="008B4015" w:rsidRPr="0055068C" w:rsidRDefault="008B4015" w:rsidP="00E54D0A">
            <w:pPr>
              <w:rPr>
                <w:rFonts w:eastAsia="Times New Roman"/>
                <w:b/>
                <w:szCs w:val="20"/>
              </w:rPr>
            </w:pPr>
            <w:r w:rsidRPr="0055068C">
              <w:rPr>
                <w:rFonts w:eastAsia="Times New Roman"/>
                <w:b/>
                <w:szCs w:val="20"/>
              </w:rPr>
              <w:t>Reporting Month</w:t>
            </w:r>
          </w:p>
        </w:tc>
      </w:tr>
      <w:tr w:rsidR="008B4015" w:rsidRPr="0055068C" w14:paraId="72B9C181" w14:textId="77777777" w:rsidTr="00E54D0A">
        <w:tc>
          <w:tcPr>
            <w:tcW w:w="2122" w:type="dxa"/>
          </w:tcPr>
          <w:p w14:paraId="4BA979D3" w14:textId="77777777" w:rsidR="008B4015" w:rsidRPr="0055068C" w:rsidRDefault="008B4015" w:rsidP="00E54D0A">
            <w:pPr>
              <w:rPr>
                <w:rFonts w:eastAsia="Times New Roman"/>
                <w:szCs w:val="20"/>
              </w:rPr>
            </w:pPr>
            <w:r w:rsidRPr="0055068C">
              <w:rPr>
                <w:rFonts w:eastAsia="Times New Roman"/>
                <w:szCs w:val="20"/>
              </w:rPr>
              <w:t>Quarter 1 (Q1)</w:t>
            </w:r>
          </w:p>
        </w:tc>
        <w:tc>
          <w:tcPr>
            <w:tcW w:w="3118" w:type="dxa"/>
          </w:tcPr>
          <w:p w14:paraId="3FB36A45" w14:textId="77777777" w:rsidR="008B4015" w:rsidRPr="0055068C" w:rsidRDefault="008B4015" w:rsidP="00E54D0A">
            <w:pPr>
              <w:rPr>
                <w:rFonts w:eastAsia="Times New Roman"/>
                <w:szCs w:val="20"/>
              </w:rPr>
            </w:pPr>
            <w:r w:rsidRPr="0055068C">
              <w:rPr>
                <w:rFonts w:eastAsia="Times New Roman"/>
                <w:szCs w:val="20"/>
              </w:rPr>
              <w:t>April – June</w:t>
            </w:r>
          </w:p>
        </w:tc>
        <w:tc>
          <w:tcPr>
            <w:tcW w:w="3776" w:type="dxa"/>
          </w:tcPr>
          <w:p w14:paraId="6100B201" w14:textId="77777777" w:rsidR="008B4015" w:rsidRPr="0055068C" w:rsidRDefault="008B4015" w:rsidP="00E54D0A">
            <w:pPr>
              <w:rPr>
                <w:rFonts w:eastAsia="Times New Roman"/>
                <w:szCs w:val="20"/>
              </w:rPr>
            </w:pPr>
            <w:r w:rsidRPr="0055068C">
              <w:rPr>
                <w:rFonts w:eastAsia="Times New Roman"/>
                <w:szCs w:val="20"/>
              </w:rPr>
              <w:t>September</w:t>
            </w:r>
          </w:p>
        </w:tc>
      </w:tr>
      <w:tr w:rsidR="008B4015" w:rsidRPr="0055068C" w14:paraId="398F3CCD" w14:textId="77777777" w:rsidTr="00E54D0A">
        <w:tc>
          <w:tcPr>
            <w:tcW w:w="2122" w:type="dxa"/>
          </w:tcPr>
          <w:p w14:paraId="5B415657" w14:textId="77777777" w:rsidR="008B4015" w:rsidRPr="0055068C" w:rsidRDefault="008B4015" w:rsidP="00E54D0A">
            <w:pPr>
              <w:rPr>
                <w:rFonts w:eastAsia="Times New Roman"/>
                <w:szCs w:val="20"/>
              </w:rPr>
            </w:pPr>
            <w:r w:rsidRPr="0055068C">
              <w:rPr>
                <w:rFonts w:eastAsia="Times New Roman"/>
                <w:szCs w:val="20"/>
              </w:rPr>
              <w:t>Q2</w:t>
            </w:r>
          </w:p>
        </w:tc>
        <w:tc>
          <w:tcPr>
            <w:tcW w:w="3118" w:type="dxa"/>
          </w:tcPr>
          <w:p w14:paraId="749A37C5" w14:textId="77777777" w:rsidR="008B4015" w:rsidRPr="0055068C" w:rsidRDefault="008B4015" w:rsidP="00E54D0A">
            <w:pPr>
              <w:rPr>
                <w:rFonts w:eastAsia="Times New Roman"/>
                <w:szCs w:val="20"/>
              </w:rPr>
            </w:pPr>
            <w:r w:rsidRPr="0055068C">
              <w:rPr>
                <w:rFonts w:eastAsia="Times New Roman"/>
                <w:szCs w:val="20"/>
              </w:rPr>
              <w:t>July – September</w:t>
            </w:r>
          </w:p>
        </w:tc>
        <w:tc>
          <w:tcPr>
            <w:tcW w:w="3776" w:type="dxa"/>
          </w:tcPr>
          <w:p w14:paraId="5B5A7D8C" w14:textId="77777777" w:rsidR="008B4015" w:rsidRPr="0055068C" w:rsidRDefault="008B4015" w:rsidP="00E54D0A">
            <w:pPr>
              <w:rPr>
                <w:rFonts w:eastAsia="Times New Roman"/>
                <w:szCs w:val="20"/>
              </w:rPr>
            </w:pPr>
            <w:r w:rsidRPr="0055068C">
              <w:rPr>
                <w:rFonts w:eastAsia="Times New Roman"/>
                <w:szCs w:val="20"/>
              </w:rPr>
              <w:t>December</w:t>
            </w:r>
          </w:p>
        </w:tc>
      </w:tr>
      <w:tr w:rsidR="008B4015" w:rsidRPr="0055068C" w14:paraId="486E9A68" w14:textId="77777777" w:rsidTr="00E54D0A">
        <w:tc>
          <w:tcPr>
            <w:tcW w:w="2122" w:type="dxa"/>
          </w:tcPr>
          <w:p w14:paraId="471C4F40" w14:textId="77777777" w:rsidR="008B4015" w:rsidRPr="0055068C" w:rsidRDefault="008B4015" w:rsidP="00E54D0A">
            <w:pPr>
              <w:rPr>
                <w:rFonts w:eastAsia="Times New Roman"/>
                <w:szCs w:val="20"/>
              </w:rPr>
            </w:pPr>
            <w:r w:rsidRPr="0055068C">
              <w:rPr>
                <w:rFonts w:eastAsia="Times New Roman"/>
                <w:szCs w:val="20"/>
              </w:rPr>
              <w:t>Q3</w:t>
            </w:r>
          </w:p>
        </w:tc>
        <w:tc>
          <w:tcPr>
            <w:tcW w:w="3118" w:type="dxa"/>
          </w:tcPr>
          <w:p w14:paraId="24192EBB" w14:textId="77777777" w:rsidR="008B4015" w:rsidRPr="0055068C" w:rsidRDefault="008B4015" w:rsidP="00E54D0A">
            <w:pPr>
              <w:rPr>
                <w:rFonts w:eastAsia="Times New Roman"/>
                <w:szCs w:val="20"/>
              </w:rPr>
            </w:pPr>
            <w:r w:rsidRPr="0055068C">
              <w:rPr>
                <w:rFonts w:eastAsia="Times New Roman"/>
                <w:szCs w:val="20"/>
              </w:rPr>
              <w:t>October – December</w:t>
            </w:r>
          </w:p>
        </w:tc>
        <w:tc>
          <w:tcPr>
            <w:tcW w:w="3776" w:type="dxa"/>
          </w:tcPr>
          <w:p w14:paraId="752285A9" w14:textId="77777777" w:rsidR="008B4015" w:rsidRPr="0055068C" w:rsidRDefault="008B4015" w:rsidP="00E54D0A">
            <w:pPr>
              <w:rPr>
                <w:rFonts w:eastAsia="Times New Roman"/>
                <w:szCs w:val="20"/>
              </w:rPr>
            </w:pPr>
            <w:r w:rsidRPr="0055068C">
              <w:rPr>
                <w:rFonts w:eastAsia="Times New Roman"/>
                <w:szCs w:val="20"/>
              </w:rPr>
              <w:t>March</w:t>
            </w:r>
          </w:p>
        </w:tc>
      </w:tr>
      <w:tr w:rsidR="008B4015" w:rsidRPr="0055068C" w14:paraId="7C5C24A0" w14:textId="77777777" w:rsidTr="00E54D0A">
        <w:tc>
          <w:tcPr>
            <w:tcW w:w="2122" w:type="dxa"/>
          </w:tcPr>
          <w:p w14:paraId="562664EB" w14:textId="77777777" w:rsidR="008B4015" w:rsidRPr="0055068C" w:rsidRDefault="008B4015" w:rsidP="00E54D0A">
            <w:pPr>
              <w:rPr>
                <w:rFonts w:eastAsia="Times New Roman"/>
                <w:szCs w:val="20"/>
              </w:rPr>
            </w:pPr>
            <w:r w:rsidRPr="0055068C">
              <w:rPr>
                <w:rFonts w:eastAsia="Times New Roman"/>
                <w:szCs w:val="20"/>
              </w:rPr>
              <w:t>Q4</w:t>
            </w:r>
          </w:p>
        </w:tc>
        <w:tc>
          <w:tcPr>
            <w:tcW w:w="3118" w:type="dxa"/>
          </w:tcPr>
          <w:p w14:paraId="19FA5CBF" w14:textId="77777777" w:rsidR="008B4015" w:rsidRPr="0055068C" w:rsidRDefault="008B4015" w:rsidP="00E54D0A">
            <w:pPr>
              <w:rPr>
                <w:rFonts w:eastAsia="Times New Roman"/>
                <w:szCs w:val="20"/>
              </w:rPr>
            </w:pPr>
            <w:r w:rsidRPr="0055068C">
              <w:rPr>
                <w:rFonts w:eastAsia="Times New Roman"/>
                <w:szCs w:val="20"/>
              </w:rPr>
              <w:t>January - March</w:t>
            </w:r>
          </w:p>
        </w:tc>
        <w:tc>
          <w:tcPr>
            <w:tcW w:w="3776" w:type="dxa"/>
          </w:tcPr>
          <w:p w14:paraId="34C4C8E7" w14:textId="77777777" w:rsidR="008B4015" w:rsidRPr="0055068C" w:rsidRDefault="008B4015" w:rsidP="00E54D0A">
            <w:pPr>
              <w:rPr>
                <w:rFonts w:eastAsia="Times New Roman"/>
                <w:szCs w:val="20"/>
              </w:rPr>
            </w:pPr>
            <w:r w:rsidRPr="0055068C">
              <w:rPr>
                <w:rFonts w:eastAsia="Times New Roman"/>
                <w:szCs w:val="20"/>
              </w:rPr>
              <w:t>June</w:t>
            </w:r>
          </w:p>
        </w:tc>
      </w:tr>
    </w:tbl>
    <w:p w14:paraId="75F5FEBD" w14:textId="77777777" w:rsidR="008B4015" w:rsidRPr="0055068C" w:rsidRDefault="008B4015" w:rsidP="008B4015">
      <w:pPr>
        <w:rPr>
          <w:rFonts w:eastAsia="Times New Roman"/>
          <w:szCs w:val="20"/>
        </w:rPr>
      </w:pPr>
    </w:p>
    <w:p w14:paraId="793A9929" w14:textId="1B53AAD5" w:rsidR="008B4015" w:rsidRDefault="008B4015" w:rsidP="008B4015">
      <w:pPr>
        <w:rPr>
          <w:rFonts w:eastAsia="Times New Roman" w:cs="Arial"/>
          <w:szCs w:val="24"/>
        </w:rPr>
      </w:pPr>
      <w:r w:rsidRPr="0055068C">
        <w:rPr>
          <w:rFonts w:eastAsia="Times New Roman" w:cs="Arial"/>
          <w:szCs w:val="24"/>
        </w:rPr>
        <w:t xml:space="preserve">The report for Quarter </w:t>
      </w:r>
      <w:r w:rsidR="00760C64">
        <w:rPr>
          <w:rFonts w:eastAsia="Times New Roman" w:cs="Arial"/>
          <w:szCs w:val="24"/>
        </w:rPr>
        <w:t>4</w:t>
      </w:r>
      <w:r w:rsidRPr="0055068C">
        <w:rPr>
          <w:rFonts w:eastAsia="Times New Roman" w:cs="Arial"/>
          <w:szCs w:val="24"/>
        </w:rPr>
        <w:t xml:space="preserve"> 2022-23 was attached.</w:t>
      </w:r>
    </w:p>
    <w:p w14:paraId="5812A783" w14:textId="3C192951" w:rsidR="008B4015" w:rsidRDefault="008B4015" w:rsidP="008B4015">
      <w:pPr>
        <w:rPr>
          <w:rFonts w:eastAsia="Times New Roman" w:cs="Arial"/>
          <w:szCs w:val="24"/>
        </w:rPr>
      </w:pPr>
    </w:p>
    <w:p w14:paraId="35D5F631" w14:textId="77777777" w:rsidR="002921E8" w:rsidRPr="002921E8" w:rsidRDefault="002921E8" w:rsidP="002921E8">
      <w:pPr>
        <w:rPr>
          <w:rFonts w:eastAsia="Times New Roman" w:cs="Arial"/>
          <w:b/>
          <w:iCs/>
          <w:szCs w:val="24"/>
        </w:rPr>
      </w:pPr>
      <w:r w:rsidRPr="002921E8">
        <w:rPr>
          <w:rFonts w:eastAsia="Times New Roman" w:cs="Arial"/>
          <w:b/>
          <w:iCs/>
          <w:szCs w:val="24"/>
        </w:rPr>
        <w:t>Key points to note:</w:t>
      </w:r>
    </w:p>
    <w:p w14:paraId="6C5291F6" w14:textId="77777777" w:rsidR="002921E8" w:rsidRPr="002921E8" w:rsidRDefault="002921E8" w:rsidP="002921E8">
      <w:pPr>
        <w:numPr>
          <w:ilvl w:val="0"/>
          <w:numId w:val="31"/>
        </w:numPr>
        <w:rPr>
          <w:rFonts w:eastAsia="Times New Roman" w:cs="Arial"/>
          <w:szCs w:val="24"/>
        </w:rPr>
      </w:pPr>
      <w:r w:rsidRPr="002921E8">
        <w:rPr>
          <w:rFonts w:eastAsia="Times New Roman" w:cs="Arial"/>
          <w:szCs w:val="24"/>
        </w:rPr>
        <w:t>This report gave updates on performance against the 19 Service Plan KPIs.  Good progress was being made against the PIs with 12 currently having been achieved.</w:t>
      </w:r>
    </w:p>
    <w:p w14:paraId="36B6743E" w14:textId="77777777" w:rsidR="002921E8" w:rsidRPr="002921E8" w:rsidRDefault="002921E8" w:rsidP="002921E8">
      <w:pPr>
        <w:numPr>
          <w:ilvl w:val="0"/>
          <w:numId w:val="31"/>
        </w:numPr>
        <w:rPr>
          <w:rFonts w:eastAsia="Times New Roman" w:cs="Arial"/>
          <w:szCs w:val="24"/>
        </w:rPr>
      </w:pPr>
      <w:r w:rsidRPr="002921E8">
        <w:rPr>
          <w:rFonts w:eastAsia="Times New Roman" w:cs="Arial"/>
          <w:szCs w:val="24"/>
        </w:rPr>
        <w:t>7 targets had not been achieved, however, considerable progress had been made</w:t>
      </w:r>
    </w:p>
    <w:p w14:paraId="10963B54" w14:textId="77777777" w:rsidR="002921E8" w:rsidRPr="002921E8" w:rsidRDefault="002921E8" w:rsidP="002921E8">
      <w:pPr>
        <w:rPr>
          <w:rFonts w:eastAsia="Times New Roman" w:cs="Arial"/>
          <w:szCs w:val="24"/>
        </w:rPr>
      </w:pPr>
    </w:p>
    <w:p w14:paraId="5D6A3A20" w14:textId="77777777" w:rsidR="00261CA5" w:rsidRDefault="00261CA5" w:rsidP="002921E8">
      <w:pPr>
        <w:rPr>
          <w:rFonts w:eastAsia="Times New Roman" w:cs="Arial"/>
          <w:b/>
          <w:szCs w:val="24"/>
        </w:rPr>
      </w:pPr>
    </w:p>
    <w:p w14:paraId="1D1F00CC" w14:textId="77777777" w:rsidR="00261CA5" w:rsidRDefault="00261CA5" w:rsidP="002921E8">
      <w:pPr>
        <w:rPr>
          <w:rFonts w:eastAsia="Times New Roman" w:cs="Arial"/>
          <w:b/>
          <w:szCs w:val="24"/>
        </w:rPr>
      </w:pPr>
    </w:p>
    <w:p w14:paraId="293EFCD6" w14:textId="77777777" w:rsidR="00261CA5" w:rsidRDefault="00261CA5" w:rsidP="002921E8">
      <w:pPr>
        <w:rPr>
          <w:rFonts w:eastAsia="Times New Roman" w:cs="Arial"/>
          <w:b/>
          <w:szCs w:val="24"/>
        </w:rPr>
      </w:pPr>
    </w:p>
    <w:p w14:paraId="06DA1A3A" w14:textId="77777777" w:rsidR="00261CA5" w:rsidRDefault="00261CA5" w:rsidP="002921E8">
      <w:pPr>
        <w:rPr>
          <w:rFonts w:eastAsia="Times New Roman" w:cs="Arial"/>
          <w:b/>
          <w:szCs w:val="24"/>
        </w:rPr>
      </w:pPr>
    </w:p>
    <w:p w14:paraId="6E6EBFF5" w14:textId="7076564F" w:rsidR="002921E8" w:rsidRPr="002921E8" w:rsidRDefault="002921E8" w:rsidP="002921E8">
      <w:pPr>
        <w:rPr>
          <w:rFonts w:eastAsia="Times New Roman" w:cs="Arial"/>
          <w:b/>
          <w:szCs w:val="24"/>
        </w:rPr>
      </w:pPr>
      <w:r w:rsidRPr="002921E8">
        <w:rPr>
          <w:rFonts w:eastAsia="Times New Roman" w:cs="Arial"/>
          <w:b/>
          <w:szCs w:val="24"/>
        </w:rPr>
        <w:lastRenderedPageBreak/>
        <w:t>Key achievements:</w:t>
      </w:r>
    </w:p>
    <w:p w14:paraId="29C70DEB" w14:textId="77777777" w:rsidR="002921E8" w:rsidRPr="002921E8" w:rsidRDefault="002921E8" w:rsidP="002921E8">
      <w:pPr>
        <w:rPr>
          <w:rFonts w:eastAsia="Times New Roman" w:cs="Arial"/>
          <w:b/>
          <w:szCs w:val="24"/>
        </w:rPr>
      </w:pPr>
    </w:p>
    <w:p w14:paraId="546DCA36" w14:textId="77777777" w:rsidR="002921E8" w:rsidRPr="002921E8" w:rsidRDefault="002921E8" w:rsidP="002921E8">
      <w:pPr>
        <w:numPr>
          <w:ilvl w:val="0"/>
          <w:numId w:val="35"/>
        </w:numPr>
        <w:rPr>
          <w:rFonts w:eastAsia="Times New Roman" w:cs="Arial"/>
          <w:bCs/>
          <w:szCs w:val="24"/>
        </w:rPr>
      </w:pPr>
      <w:r w:rsidRPr="002921E8">
        <w:rPr>
          <w:rFonts w:eastAsia="Times New Roman" w:cs="Arial"/>
          <w:bCs/>
          <w:szCs w:val="24"/>
        </w:rPr>
        <w:t xml:space="preserve">HR and OD had been successful in ensuring that there had been good communication with trade unions throughout the year and regular meetings took place between management and Trade Union Officials.  </w:t>
      </w:r>
    </w:p>
    <w:p w14:paraId="12F34B4B" w14:textId="77777777" w:rsidR="002921E8" w:rsidRPr="002921E8" w:rsidRDefault="002921E8" w:rsidP="002921E8">
      <w:pPr>
        <w:numPr>
          <w:ilvl w:val="0"/>
          <w:numId w:val="35"/>
        </w:numPr>
        <w:rPr>
          <w:rFonts w:eastAsia="Times New Roman" w:cs="Arial"/>
          <w:bCs/>
          <w:szCs w:val="24"/>
        </w:rPr>
      </w:pPr>
      <w:r w:rsidRPr="002921E8">
        <w:rPr>
          <w:rFonts w:eastAsia="Times New Roman" w:cs="Arial"/>
          <w:bCs/>
          <w:szCs w:val="24"/>
        </w:rPr>
        <w:t>Resourcing staff was extremely efficient in informing candidates for employment of the outcome of recruitment exercises with 100% of candidates being informed of the outcome within 2 weeks of a shortlisting meeting or from attendance at interview.</w:t>
      </w:r>
    </w:p>
    <w:p w14:paraId="1A9C2F46" w14:textId="77777777" w:rsidR="002921E8" w:rsidRPr="002921E8" w:rsidRDefault="002921E8" w:rsidP="002921E8">
      <w:pPr>
        <w:numPr>
          <w:ilvl w:val="0"/>
          <w:numId w:val="35"/>
        </w:numPr>
        <w:rPr>
          <w:rFonts w:eastAsia="Times New Roman" w:cs="Arial"/>
          <w:bCs/>
          <w:szCs w:val="24"/>
        </w:rPr>
      </w:pPr>
      <w:r w:rsidRPr="002921E8">
        <w:rPr>
          <w:rFonts w:eastAsia="Times New Roman" w:cs="Arial"/>
          <w:bCs/>
          <w:szCs w:val="24"/>
        </w:rPr>
        <w:t>The HR and OD service had remained within budget for the year.</w:t>
      </w:r>
    </w:p>
    <w:p w14:paraId="74CE5EA7" w14:textId="77777777" w:rsidR="002921E8" w:rsidRPr="002921E8" w:rsidRDefault="002921E8" w:rsidP="002921E8">
      <w:pPr>
        <w:numPr>
          <w:ilvl w:val="0"/>
          <w:numId w:val="35"/>
        </w:numPr>
        <w:rPr>
          <w:rFonts w:eastAsia="Times New Roman" w:cs="Arial"/>
          <w:bCs/>
          <w:szCs w:val="24"/>
        </w:rPr>
      </w:pPr>
      <w:r w:rsidRPr="002921E8">
        <w:rPr>
          <w:rFonts w:eastAsia="Times New Roman" w:cs="Arial"/>
          <w:bCs/>
          <w:szCs w:val="24"/>
        </w:rPr>
        <w:t xml:space="preserve">Whistle blowing training had taken place via the E learning system.  </w:t>
      </w:r>
    </w:p>
    <w:p w14:paraId="2C121EC9" w14:textId="77777777" w:rsidR="002921E8" w:rsidRPr="002921E8" w:rsidRDefault="002921E8" w:rsidP="002921E8">
      <w:pPr>
        <w:numPr>
          <w:ilvl w:val="0"/>
          <w:numId w:val="35"/>
        </w:numPr>
        <w:rPr>
          <w:rFonts w:eastAsia="Times New Roman" w:cs="Arial"/>
          <w:bCs/>
          <w:szCs w:val="24"/>
        </w:rPr>
      </w:pPr>
      <w:r w:rsidRPr="002921E8">
        <w:rPr>
          <w:rFonts w:eastAsia="Times New Roman" w:cs="Arial"/>
          <w:bCs/>
          <w:szCs w:val="24"/>
        </w:rPr>
        <w:t xml:space="preserve">A review of the current Flexible Working Policy had taken place and it had been updated to include a section on Hybrid Working with the formulation of a new policy entitled the Agile Working Policy.  This policy was currently out for consultation with the Trade Unions and staff.  </w:t>
      </w:r>
    </w:p>
    <w:p w14:paraId="4E33D112" w14:textId="77777777" w:rsidR="002921E8" w:rsidRPr="002921E8" w:rsidRDefault="002921E8" w:rsidP="002921E8">
      <w:pPr>
        <w:numPr>
          <w:ilvl w:val="0"/>
          <w:numId w:val="35"/>
        </w:numPr>
        <w:rPr>
          <w:rFonts w:eastAsia="Times New Roman" w:cs="Arial"/>
          <w:bCs/>
          <w:szCs w:val="24"/>
        </w:rPr>
      </w:pPr>
      <w:r w:rsidRPr="002921E8">
        <w:rPr>
          <w:rFonts w:eastAsia="Times New Roman" w:cs="Arial"/>
          <w:bCs/>
          <w:szCs w:val="24"/>
        </w:rPr>
        <w:t>There had also been team building days within the HR and OD team, which took place post pandemic and an Action Plan had been activated as a result.</w:t>
      </w:r>
    </w:p>
    <w:p w14:paraId="34E88764" w14:textId="77777777" w:rsidR="002921E8" w:rsidRPr="002921E8" w:rsidRDefault="002921E8" w:rsidP="002921E8">
      <w:pPr>
        <w:numPr>
          <w:ilvl w:val="0"/>
          <w:numId w:val="35"/>
        </w:numPr>
        <w:rPr>
          <w:rFonts w:eastAsia="Times New Roman" w:cs="Arial"/>
          <w:bCs/>
          <w:szCs w:val="24"/>
        </w:rPr>
      </w:pPr>
      <w:r w:rsidRPr="002921E8">
        <w:rPr>
          <w:rFonts w:eastAsia="Times New Roman" w:cs="Arial"/>
          <w:bCs/>
          <w:szCs w:val="24"/>
        </w:rPr>
        <w:t xml:space="preserve">In addition to this, some informal visits to other locations by the HR team had taken place to discuss ongoing issues Managers may have and these visits will be formalised in the year ahead.  </w:t>
      </w:r>
    </w:p>
    <w:p w14:paraId="579ED7BA" w14:textId="77777777" w:rsidR="002921E8" w:rsidRPr="002921E8" w:rsidRDefault="002921E8" w:rsidP="002921E8">
      <w:pPr>
        <w:numPr>
          <w:ilvl w:val="0"/>
          <w:numId w:val="35"/>
        </w:numPr>
        <w:rPr>
          <w:rFonts w:eastAsia="Times New Roman" w:cs="Arial"/>
          <w:bCs/>
          <w:szCs w:val="24"/>
        </w:rPr>
      </w:pPr>
      <w:r w:rsidRPr="002921E8">
        <w:rPr>
          <w:rFonts w:eastAsia="Times New Roman" w:cs="Arial"/>
          <w:bCs/>
          <w:szCs w:val="24"/>
        </w:rPr>
        <w:t>Absence within the HR and OD team was above target at over 96%.</w:t>
      </w:r>
    </w:p>
    <w:p w14:paraId="03C6D098" w14:textId="77777777" w:rsidR="002921E8" w:rsidRPr="002921E8" w:rsidRDefault="002921E8" w:rsidP="002921E8">
      <w:pPr>
        <w:rPr>
          <w:rFonts w:eastAsia="Times New Roman" w:cs="Arial"/>
          <w:szCs w:val="24"/>
        </w:rPr>
      </w:pPr>
    </w:p>
    <w:p w14:paraId="15586F76" w14:textId="77777777" w:rsidR="002921E8" w:rsidRPr="002921E8" w:rsidRDefault="002921E8" w:rsidP="002921E8">
      <w:pPr>
        <w:rPr>
          <w:rFonts w:eastAsia="Times New Roman" w:cs="Arial"/>
          <w:b/>
          <w:szCs w:val="24"/>
        </w:rPr>
      </w:pPr>
      <w:r w:rsidRPr="002921E8">
        <w:rPr>
          <w:rFonts w:eastAsia="Times New Roman" w:cs="Arial"/>
          <w:b/>
          <w:szCs w:val="24"/>
        </w:rPr>
        <w:t>Targets not achieved</w:t>
      </w:r>
    </w:p>
    <w:p w14:paraId="7CB8CF57" w14:textId="77777777" w:rsidR="002921E8" w:rsidRPr="002921E8" w:rsidRDefault="002921E8" w:rsidP="002921E8">
      <w:pPr>
        <w:rPr>
          <w:rFonts w:eastAsia="Times New Roman" w:cs="Arial"/>
          <w:b/>
          <w:szCs w:val="24"/>
        </w:rPr>
      </w:pPr>
    </w:p>
    <w:p w14:paraId="58F735C3" w14:textId="77777777" w:rsidR="002921E8" w:rsidRPr="002921E8" w:rsidRDefault="002921E8" w:rsidP="002921E8">
      <w:pPr>
        <w:rPr>
          <w:rFonts w:eastAsia="Times New Roman" w:cs="Arial"/>
          <w:bCs/>
          <w:szCs w:val="24"/>
        </w:rPr>
      </w:pPr>
      <w:r w:rsidRPr="002921E8">
        <w:rPr>
          <w:rFonts w:eastAsia="Times New Roman" w:cs="Arial"/>
          <w:bCs/>
          <w:szCs w:val="24"/>
        </w:rPr>
        <w:t>Although 7 key indicators were not achieved, considerable progress had taken place in these areas as set out below:</w:t>
      </w:r>
    </w:p>
    <w:p w14:paraId="1ED66F1B" w14:textId="77777777" w:rsidR="002921E8" w:rsidRPr="002921E8" w:rsidRDefault="002921E8" w:rsidP="002921E8">
      <w:pPr>
        <w:rPr>
          <w:rFonts w:eastAsia="Times New Roman" w:cs="Arial"/>
          <w:bCs/>
          <w:szCs w:val="24"/>
        </w:rPr>
      </w:pPr>
    </w:p>
    <w:p w14:paraId="23711C8D" w14:textId="77777777" w:rsidR="002921E8" w:rsidRPr="002921E8" w:rsidRDefault="002921E8" w:rsidP="002921E8">
      <w:pPr>
        <w:numPr>
          <w:ilvl w:val="0"/>
          <w:numId w:val="33"/>
        </w:numPr>
        <w:rPr>
          <w:rFonts w:eastAsia="Times New Roman" w:cs="Arial"/>
          <w:b/>
          <w:szCs w:val="24"/>
        </w:rPr>
      </w:pPr>
      <w:r w:rsidRPr="002921E8">
        <w:rPr>
          <w:rFonts w:eastAsia="Times New Roman" w:cs="Arial"/>
          <w:bCs/>
          <w:szCs w:val="24"/>
        </w:rPr>
        <w:t xml:space="preserve">Excellent process had been made on the People Plan with 75% of the actions being achieved at the end of the year and the Council had continued to hold Silver IIP accreditation following its 3 year assessment.  </w:t>
      </w:r>
    </w:p>
    <w:p w14:paraId="45611A79" w14:textId="77777777" w:rsidR="002921E8" w:rsidRPr="002921E8" w:rsidRDefault="002921E8" w:rsidP="002921E8">
      <w:pPr>
        <w:numPr>
          <w:ilvl w:val="0"/>
          <w:numId w:val="33"/>
        </w:numPr>
        <w:rPr>
          <w:rFonts w:eastAsia="Times New Roman" w:cs="Arial"/>
          <w:b/>
          <w:szCs w:val="24"/>
        </w:rPr>
      </w:pPr>
      <w:r w:rsidRPr="002921E8">
        <w:rPr>
          <w:rFonts w:eastAsia="Times New Roman" w:cs="Arial"/>
          <w:bCs/>
          <w:szCs w:val="24"/>
        </w:rPr>
        <w:t>A substantial amount of work has taken place with regard to developing a Workforce Planning Strategy including the establishment of a Working Group, focus groups and questionnaires.  The Strategy would be ready for consultation with Trade Unions in the year ahead.</w:t>
      </w:r>
    </w:p>
    <w:p w14:paraId="39417836" w14:textId="77777777" w:rsidR="002921E8" w:rsidRPr="002921E8" w:rsidRDefault="002921E8" w:rsidP="002921E8">
      <w:pPr>
        <w:numPr>
          <w:ilvl w:val="0"/>
          <w:numId w:val="33"/>
        </w:numPr>
        <w:rPr>
          <w:rFonts w:eastAsia="Times New Roman" w:cs="Arial"/>
          <w:b/>
          <w:szCs w:val="24"/>
        </w:rPr>
      </w:pPr>
      <w:r w:rsidRPr="002921E8">
        <w:rPr>
          <w:rFonts w:eastAsia="Times New Roman" w:cs="Arial"/>
          <w:bCs/>
          <w:szCs w:val="24"/>
        </w:rPr>
        <w:t>Work was ongoing on developing a formal Corporate Induction Policy to enhance the departmental Induction Scheme which is already in place.</w:t>
      </w:r>
    </w:p>
    <w:p w14:paraId="1FAD8ACF" w14:textId="77777777" w:rsidR="002921E8" w:rsidRPr="002921E8" w:rsidRDefault="002921E8" w:rsidP="002921E8">
      <w:pPr>
        <w:numPr>
          <w:ilvl w:val="0"/>
          <w:numId w:val="33"/>
        </w:numPr>
        <w:rPr>
          <w:rFonts w:eastAsia="Times New Roman" w:cs="Arial"/>
          <w:b/>
          <w:szCs w:val="24"/>
        </w:rPr>
      </w:pPr>
      <w:r w:rsidRPr="002921E8">
        <w:rPr>
          <w:rFonts w:eastAsia="Times New Roman" w:cs="Arial"/>
          <w:bCs/>
          <w:szCs w:val="24"/>
        </w:rPr>
        <w:t>The target of 5% for Corporate Absence had not been attained, however, work is progressing on establishing an Absence Action Plan following a report on Absence from APSE commissioned by the Council.</w:t>
      </w:r>
    </w:p>
    <w:p w14:paraId="5FB2DCD9" w14:textId="77777777" w:rsidR="002921E8" w:rsidRPr="002921E8" w:rsidRDefault="002921E8" w:rsidP="002921E8">
      <w:pPr>
        <w:rPr>
          <w:rFonts w:eastAsia="Times New Roman" w:cs="Arial"/>
          <w:b/>
          <w:szCs w:val="24"/>
        </w:rPr>
      </w:pPr>
    </w:p>
    <w:p w14:paraId="0AC0F68A" w14:textId="77777777" w:rsidR="002921E8" w:rsidRPr="002921E8" w:rsidRDefault="002921E8" w:rsidP="002921E8">
      <w:pPr>
        <w:rPr>
          <w:rFonts w:eastAsia="Times New Roman" w:cs="Arial"/>
          <w:b/>
          <w:szCs w:val="24"/>
        </w:rPr>
      </w:pPr>
      <w:r w:rsidRPr="002921E8">
        <w:rPr>
          <w:rFonts w:eastAsia="Times New Roman" w:cs="Arial"/>
          <w:b/>
          <w:szCs w:val="24"/>
        </w:rPr>
        <w:t>Action to be taken:</w:t>
      </w:r>
    </w:p>
    <w:p w14:paraId="27BEBF03" w14:textId="77777777" w:rsidR="002921E8" w:rsidRPr="002921E8" w:rsidRDefault="002921E8" w:rsidP="002921E8">
      <w:pPr>
        <w:rPr>
          <w:rFonts w:eastAsia="Times New Roman" w:cs="Arial"/>
          <w:szCs w:val="24"/>
        </w:rPr>
      </w:pPr>
    </w:p>
    <w:p w14:paraId="5F3DEF9A" w14:textId="7A066353" w:rsidR="00933431" w:rsidRPr="00732A95" w:rsidRDefault="002921E8" w:rsidP="00AC6177">
      <w:pPr>
        <w:numPr>
          <w:ilvl w:val="0"/>
          <w:numId w:val="34"/>
        </w:numPr>
        <w:rPr>
          <w:rFonts w:eastAsia="Times New Roman" w:cs="Arial"/>
          <w:szCs w:val="24"/>
        </w:rPr>
      </w:pPr>
      <w:r w:rsidRPr="00732A95">
        <w:rPr>
          <w:rFonts w:eastAsia="Times New Roman" w:cs="Arial"/>
          <w:szCs w:val="24"/>
        </w:rPr>
        <w:t>Continued to work on progressing with implementation of a Workforce Planning Strategy, Corporate Induction Policy and Absence Action Plan in the year ahead.</w:t>
      </w:r>
    </w:p>
    <w:p w14:paraId="6F773D0D" w14:textId="573C4FB6" w:rsidR="008B4015" w:rsidRDefault="008B4015" w:rsidP="008B4015">
      <w:pPr>
        <w:rPr>
          <w:rFonts w:cs="Arial"/>
          <w:b/>
          <w:bCs/>
          <w:szCs w:val="24"/>
        </w:rPr>
      </w:pPr>
    </w:p>
    <w:p w14:paraId="624D1EE8" w14:textId="1C642A5C" w:rsidR="00393882" w:rsidRDefault="008B4015" w:rsidP="008E47A4">
      <w:pPr>
        <w:pStyle w:val="Normal0"/>
        <w:rPr>
          <w:color w:val="000000"/>
        </w:rPr>
      </w:pPr>
      <w:bookmarkStart w:id="15" w:name="_Hlk129090822"/>
      <w:r w:rsidRPr="007F0DD5">
        <w:rPr>
          <w:b/>
          <w:bCs/>
          <w:sz w:val="24"/>
          <w:lang w:eastAsia="en-US"/>
        </w:rPr>
        <w:t xml:space="preserve">AGREED TO RECOMMEND, on the proposal of </w:t>
      </w:r>
      <w:r w:rsidR="00732A95">
        <w:rPr>
          <w:b/>
          <w:bCs/>
          <w:sz w:val="24"/>
          <w:lang w:eastAsia="en-US"/>
        </w:rPr>
        <w:t>Alderman Smith</w:t>
      </w:r>
      <w:r w:rsidRPr="007F0DD5">
        <w:rPr>
          <w:b/>
          <w:bCs/>
          <w:sz w:val="24"/>
          <w:lang w:eastAsia="en-US"/>
        </w:rPr>
        <w:t xml:space="preserve">, seconded by </w:t>
      </w:r>
      <w:r w:rsidR="00732A95">
        <w:rPr>
          <w:b/>
          <w:bCs/>
          <w:sz w:val="24"/>
          <w:lang w:eastAsia="en-US"/>
        </w:rPr>
        <w:t>Councillor Gilmour</w:t>
      </w:r>
      <w:r w:rsidRPr="007F0DD5">
        <w:rPr>
          <w:b/>
          <w:bCs/>
          <w:sz w:val="24"/>
          <w:lang w:eastAsia="en-US"/>
        </w:rPr>
        <w:t xml:space="preserve">, that items </w:t>
      </w:r>
      <w:r w:rsidR="00462A86">
        <w:rPr>
          <w:b/>
          <w:bCs/>
          <w:sz w:val="24"/>
          <w:lang w:eastAsia="en-US"/>
        </w:rPr>
        <w:t>3</w:t>
      </w:r>
      <w:r w:rsidRPr="007F0DD5">
        <w:rPr>
          <w:b/>
          <w:bCs/>
          <w:sz w:val="24"/>
          <w:lang w:eastAsia="en-US"/>
        </w:rPr>
        <w:t xml:space="preserve">(a) to </w:t>
      </w:r>
      <w:r w:rsidR="00462A86">
        <w:rPr>
          <w:b/>
          <w:bCs/>
          <w:sz w:val="24"/>
          <w:lang w:eastAsia="en-US"/>
        </w:rPr>
        <w:t>3</w:t>
      </w:r>
      <w:r w:rsidRPr="007F0DD5">
        <w:rPr>
          <w:b/>
          <w:bCs/>
          <w:sz w:val="24"/>
          <w:lang w:eastAsia="en-US"/>
        </w:rPr>
        <w:t>(</w:t>
      </w:r>
      <w:r w:rsidR="00F95E24">
        <w:rPr>
          <w:b/>
          <w:bCs/>
          <w:sz w:val="24"/>
          <w:lang w:eastAsia="en-US"/>
        </w:rPr>
        <w:t>f</w:t>
      </w:r>
      <w:r w:rsidRPr="007F0DD5">
        <w:rPr>
          <w:b/>
          <w:bCs/>
          <w:sz w:val="24"/>
          <w:lang w:eastAsia="en-US"/>
        </w:rPr>
        <w:t>) be noted.</w:t>
      </w:r>
      <w:bookmarkEnd w:id="15"/>
    </w:p>
    <w:p w14:paraId="72F1C069" w14:textId="3F6F627F" w:rsidR="008B4015" w:rsidRDefault="008B4015" w:rsidP="00393882">
      <w:pPr>
        <w:rPr>
          <w:color w:val="000000"/>
        </w:rPr>
      </w:pPr>
    </w:p>
    <w:p w14:paraId="530C9F8C" w14:textId="6D88C094" w:rsidR="0033058C" w:rsidRDefault="00462A86" w:rsidP="00462A86">
      <w:pPr>
        <w:pStyle w:val="Heading1"/>
        <w:rPr>
          <w:rFonts w:cs="Arial"/>
          <w:szCs w:val="28"/>
          <w:u w:val="single"/>
        </w:rPr>
      </w:pPr>
      <w:r>
        <w:lastRenderedPageBreak/>
        <w:t>4</w:t>
      </w:r>
      <w:r w:rsidR="00283F3F">
        <w:t>.</w:t>
      </w:r>
      <w:r w:rsidR="00283F3F">
        <w:tab/>
      </w:r>
      <w:r w:rsidR="00727770" w:rsidRPr="00727770">
        <w:rPr>
          <w:rFonts w:cs="Arial"/>
          <w:szCs w:val="28"/>
          <w:u w:val="single"/>
        </w:rPr>
        <w:t>Charging and Income Policy</w:t>
      </w:r>
      <w:r w:rsidR="000D47FA">
        <w:rPr>
          <w:rFonts w:cs="Arial"/>
          <w:szCs w:val="28"/>
          <w:u w:val="single"/>
        </w:rPr>
        <w:t xml:space="preserve"> (fin58)</w:t>
      </w:r>
    </w:p>
    <w:p w14:paraId="17472152" w14:textId="3DFB383B" w:rsidR="00462A86" w:rsidRDefault="0093319F" w:rsidP="00462A86">
      <w:r>
        <w:tab/>
        <w:t xml:space="preserve">(Appendix </w:t>
      </w:r>
      <w:r w:rsidR="00C131AF">
        <w:t>VII)</w:t>
      </w:r>
    </w:p>
    <w:p w14:paraId="1D055E7F" w14:textId="77777777" w:rsidR="0093319F" w:rsidRDefault="0093319F" w:rsidP="00462A86"/>
    <w:p w14:paraId="01BB309F" w14:textId="1777730A" w:rsidR="00C131AF" w:rsidRPr="00C131AF" w:rsidRDefault="00C131AF" w:rsidP="00C131AF">
      <w:pPr>
        <w:rPr>
          <w:rFonts w:eastAsia="Times New Roman"/>
          <w:szCs w:val="20"/>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w:t>
      </w:r>
      <w:r w:rsidR="000D47FA">
        <w:rPr>
          <w:rFonts w:cs="Arial"/>
          <w:szCs w:val="24"/>
        </w:rPr>
        <w:t>stating that the attached</w:t>
      </w:r>
      <w:r w:rsidRPr="00C131AF">
        <w:rPr>
          <w:rFonts w:eastAsia="Times New Roman"/>
          <w:szCs w:val="20"/>
        </w:rPr>
        <w:t xml:space="preserve"> policy was required to formalise and revise the governance framework brought forward from legacy organisations with respect to charging, income management and credit control. This addressed a number of outstanding Internal Audit recommendations.</w:t>
      </w:r>
    </w:p>
    <w:p w14:paraId="0545076D" w14:textId="77777777" w:rsidR="00C131AF" w:rsidRPr="00C131AF" w:rsidRDefault="00C131AF" w:rsidP="00C131AF">
      <w:pPr>
        <w:rPr>
          <w:rFonts w:eastAsia="Times New Roman"/>
          <w:szCs w:val="20"/>
        </w:rPr>
      </w:pPr>
    </w:p>
    <w:p w14:paraId="443A94E6" w14:textId="77777777" w:rsidR="00C131AF" w:rsidRPr="00C131AF" w:rsidRDefault="00C131AF" w:rsidP="00C131AF">
      <w:pPr>
        <w:rPr>
          <w:rFonts w:eastAsia="Times New Roman"/>
          <w:szCs w:val="20"/>
        </w:rPr>
      </w:pPr>
      <w:r w:rsidRPr="00C131AF">
        <w:rPr>
          <w:rFonts w:eastAsia="Times New Roman"/>
          <w:szCs w:val="20"/>
        </w:rPr>
        <w:t>The policy had been developed in line with the Council’s policy development process and Corporate Leadership Team, Heads of Service and Service Unit Managers had all been consulted.</w:t>
      </w:r>
    </w:p>
    <w:p w14:paraId="166F2426" w14:textId="77777777" w:rsidR="00C131AF" w:rsidRPr="00C131AF" w:rsidRDefault="00C131AF" w:rsidP="00C131AF">
      <w:pPr>
        <w:rPr>
          <w:rFonts w:eastAsia="Times New Roman"/>
          <w:szCs w:val="20"/>
        </w:rPr>
      </w:pPr>
    </w:p>
    <w:p w14:paraId="40CA7FE0" w14:textId="77777777" w:rsidR="00C131AF" w:rsidRPr="00C131AF" w:rsidRDefault="00C131AF" w:rsidP="00C131AF">
      <w:pPr>
        <w:rPr>
          <w:rFonts w:eastAsia="Times New Roman"/>
          <w:szCs w:val="20"/>
        </w:rPr>
      </w:pPr>
      <w:r w:rsidRPr="00C131AF">
        <w:rPr>
          <w:rFonts w:eastAsia="Times New Roman"/>
          <w:szCs w:val="20"/>
        </w:rPr>
        <w:t>The objectives of the policy were set out on page 3 and the policy itself on page 4.</w:t>
      </w:r>
    </w:p>
    <w:p w14:paraId="33988573" w14:textId="77777777" w:rsidR="00C131AF" w:rsidRPr="00C131AF" w:rsidRDefault="00C131AF" w:rsidP="00C131AF">
      <w:pPr>
        <w:rPr>
          <w:rFonts w:eastAsia="Times New Roman"/>
          <w:szCs w:val="20"/>
        </w:rPr>
      </w:pPr>
    </w:p>
    <w:p w14:paraId="7D4454C8" w14:textId="77777777" w:rsidR="00C131AF" w:rsidRPr="00C131AF" w:rsidRDefault="00C131AF" w:rsidP="00C131AF">
      <w:pPr>
        <w:spacing w:after="120"/>
        <w:rPr>
          <w:rFonts w:eastAsia="Times New Roman"/>
          <w:szCs w:val="20"/>
        </w:rPr>
      </w:pPr>
      <w:r w:rsidRPr="00C131AF">
        <w:rPr>
          <w:rFonts w:eastAsia="Times New Roman"/>
          <w:szCs w:val="20"/>
        </w:rPr>
        <w:t>Key points to note were:</w:t>
      </w:r>
    </w:p>
    <w:p w14:paraId="41756BDA" w14:textId="77777777" w:rsidR="00C131AF" w:rsidRPr="00C131AF" w:rsidRDefault="00C131AF" w:rsidP="00CF34D3">
      <w:pPr>
        <w:numPr>
          <w:ilvl w:val="0"/>
          <w:numId w:val="6"/>
        </w:numPr>
        <w:spacing w:after="120"/>
        <w:contextualSpacing/>
        <w:rPr>
          <w:rFonts w:eastAsia="Times New Roman"/>
          <w:szCs w:val="20"/>
        </w:rPr>
      </w:pPr>
      <w:r w:rsidRPr="00C131AF">
        <w:rPr>
          <w:rFonts w:eastAsia="Times New Roman"/>
          <w:szCs w:val="20"/>
        </w:rPr>
        <w:t>Pg 4 – it was the Service Unit Managers’ responsibility to ensure that proper Service Unit procedures were in place.</w:t>
      </w:r>
    </w:p>
    <w:p w14:paraId="50B752F3" w14:textId="77777777" w:rsidR="00C131AF" w:rsidRPr="00C131AF" w:rsidRDefault="00C131AF" w:rsidP="00CF34D3">
      <w:pPr>
        <w:numPr>
          <w:ilvl w:val="0"/>
          <w:numId w:val="6"/>
        </w:numPr>
        <w:spacing w:after="120"/>
        <w:contextualSpacing/>
        <w:rPr>
          <w:rFonts w:eastAsia="Times New Roman"/>
          <w:szCs w:val="20"/>
        </w:rPr>
      </w:pPr>
      <w:r w:rsidRPr="00C131AF">
        <w:rPr>
          <w:rFonts w:eastAsia="Times New Roman"/>
          <w:szCs w:val="20"/>
        </w:rPr>
        <w:t>Pg 6 – charges should be increased by the higher of inflation or the cost of increasing the service.</w:t>
      </w:r>
    </w:p>
    <w:p w14:paraId="23F61C6E" w14:textId="77777777" w:rsidR="00C131AF" w:rsidRPr="00C131AF" w:rsidRDefault="00C131AF" w:rsidP="00CF34D3">
      <w:pPr>
        <w:numPr>
          <w:ilvl w:val="0"/>
          <w:numId w:val="6"/>
        </w:numPr>
        <w:spacing w:after="120"/>
        <w:contextualSpacing/>
        <w:rPr>
          <w:rFonts w:eastAsia="Times New Roman"/>
          <w:szCs w:val="20"/>
        </w:rPr>
      </w:pPr>
      <w:r w:rsidRPr="00C131AF">
        <w:rPr>
          <w:rFonts w:eastAsia="Times New Roman"/>
          <w:szCs w:val="20"/>
        </w:rPr>
        <w:t>Pg 6 – bin sales and delivery should have been at cost recovery.</w:t>
      </w:r>
    </w:p>
    <w:p w14:paraId="33AD6DDF" w14:textId="77777777" w:rsidR="00C131AF" w:rsidRPr="00C131AF" w:rsidRDefault="00C131AF" w:rsidP="00CF34D3">
      <w:pPr>
        <w:numPr>
          <w:ilvl w:val="0"/>
          <w:numId w:val="6"/>
        </w:numPr>
        <w:spacing w:after="120"/>
        <w:contextualSpacing/>
        <w:rPr>
          <w:rFonts w:eastAsia="Times New Roman"/>
          <w:szCs w:val="20"/>
        </w:rPr>
      </w:pPr>
      <w:r w:rsidRPr="00C131AF">
        <w:rPr>
          <w:rFonts w:eastAsia="Times New Roman"/>
          <w:szCs w:val="20"/>
        </w:rPr>
        <w:t>Pg 7 – Approval for charges would now be delegated to Heads of Service provided the policy was followed. Minor exceptions would require a director’s approval and substantial deviation would require Council approval.</w:t>
      </w:r>
    </w:p>
    <w:p w14:paraId="1F5CC98C" w14:textId="77777777" w:rsidR="00C131AF" w:rsidRPr="00C131AF" w:rsidRDefault="00C131AF" w:rsidP="00CF34D3">
      <w:pPr>
        <w:numPr>
          <w:ilvl w:val="0"/>
          <w:numId w:val="6"/>
        </w:numPr>
        <w:spacing w:after="120"/>
        <w:contextualSpacing/>
        <w:rPr>
          <w:rFonts w:eastAsia="Times New Roman"/>
          <w:szCs w:val="20"/>
        </w:rPr>
      </w:pPr>
      <w:r w:rsidRPr="00C131AF">
        <w:rPr>
          <w:rFonts w:eastAsia="Times New Roman"/>
          <w:szCs w:val="20"/>
        </w:rPr>
        <w:t>Pg 15 – Formal credit control procedure including the suspension of service or access where there was non-payment after the third reminder.</w:t>
      </w:r>
    </w:p>
    <w:p w14:paraId="45ACC8EA" w14:textId="77777777" w:rsidR="00C131AF" w:rsidRPr="00C131AF" w:rsidRDefault="00C131AF" w:rsidP="00CF34D3">
      <w:pPr>
        <w:numPr>
          <w:ilvl w:val="0"/>
          <w:numId w:val="6"/>
        </w:numPr>
        <w:spacing w:after="120"/>
        <w:contextualSpacing/>
        <w:rPr>
          <w:rFonts w:eastAsia="Times New Roman"/>
          <w:szCs w:val="20"/>
        </w:rPr>
      </w:pPr>
      <w:r w:rsidRPr="00C131AF">
        <w:rPr>
          <w:rFonts w:eastAsia="Times New Roman"/>
          <w:szCs w:val="20"/>
        </w:rPr>
        <w:t>Pg 17 – formal write off thresholds were set.</w:t>
      </w:r>
    </w:p>
    <w:p w14:paraId="10A496AC" w14:textId="77777777" w:rsidR="00C131AF" w:rsidRPr="00C131AF" w:rsidRDefault="00C131AF" w:rsidP="00CF34D3">
      <w:pPr>
        <w:numPr>
          <w:ilvl w:val="0"/>
          <w:numId w:val="6"/>
        </w:numPr>
        <w:spacing w:after="120"/>
        <w:contextualSpacing/>
        <w:rPr>
          <w:rFonts w:eastAsia="Times New Roman"/>
          <w:szCs w:val="20"/>
        </w:rPr>
      </w:pPr>
      <w:r w:rsidRPr="00C131AF">
        <w:rPr>
          <w:rFonts w:eastAsia="Times New Roman"/>
          <w:szCs w:val="20"/>
        </w:rPr>
        <w:t>Pg 18 – record keeping improvements for legal actions, to allow better income management.</w:t>
      </w:r>
    </w:p>
    <w:p w14:paraId="1534F9E9" w14:textId="77777777" w:rsidR="00C131AF" w:rsidRPr="00C131AF" w:rsidRDefault="00C131AF" w:rsidP="00CF34D3">
      <w:pPr>
        <w:numPr>
          <w:ilvl w:val="0"/>
          <w:numId w:val="6"/>
        </w:numPr>
        <w:spacing w:after="120"/>
        <w:contextualSpacing/>
        <w:rPr>
          <w:rFonts w:eastAsia="Times New Roman"/>
          <w:szCs w:val="20"/>
        </w:rPr>
      </w:pPr>
      <w:r w:rsidRPr="00C131AF">
        <w:rPr>
          <w:rFonts w:eastAsia="Times New Roman"/>
          <w:szCs w:val="20"/>
        </w:rPr>
        <w:t>Pg 19 – Establishing a grants inward register, to improve corporate knowledge with the requirement for all claims to be reviewed by Finance.</w:t>
      </w:r>
    </w:p>
    <w:p w14:paraId="2C6426AE" w14:textId="77777777" w:rsidR="00C131AF" w:rsidRPr="00C131AF" w:rsidRDefault="00C131AF" w:rsidP="00C131AF">
      <w:pPr>
        <w:rPr>
          <w:rFonts w:eastAsia="Times New Roman"/>
          <w:szCs w:val="20"/>
        </w:rPr>
      </w:pPr>
    </w:p>
    <w:p w14:paraId="192C9C2F" w14:textId="77777777" w:rsidR="00C131AF" w:rsidRPr="00C131AF" w:rsidRDefault="00C131AF" w:rsidP="00C131AF">
      <w:pPr>
        <w:rPr>
          <w:rFonts w:eastAsia="Times New Roman"/>
          <w:szCs w:val="20"/>
        </w:rPr>
      </w:pPr>
      <w:r w:rsidRPr="00C131AF">
        <w:rPr>
          <w:rFonts w:eastAsia="Times New Roman"/>
          <w:szCs w:val="20"/>
        </w:rPr>
        <w:t>If approved the Finance Service would conduct a number of briefing sessions across the organisation in order to raise awareness, in addition to publication on ANDi, the Council intranet.</w:t>
      </w:r>
    </w:p>
    <w:p w14:paraId="5F7068AD" w14:textId="77777777" w:rsidR="00C131AF" w:rsidRPr="00C131AF" w:rsidRDefault="00C131AF" w:rsidP="00C131AF">
      <w:pPr>
        <w:rPr>
          <w:rFonts w:eastAsia="Times New Roman"/>
          <w:szCs w:val="20"/>
        </w:rPr>
      </w:pPr>
    </w:p>
    <w:p w14:paraId="2260A349" w14:textId="0B540072" w:rsidR="00C131AF" w:rsidRDefault="00C131AF" w:rsidP="00C131AF">
      <w:pPr>
        <w:rPr>
          <w:rFonts w:eastAsia="Times New Roman"/>
          <w:szCs w:val="20"/>
        </w:rPr>
      </w:pPr>
      <w:r w:rsidRPr="00C131AF">
        <w:rPr>
          <w:rFonts w:eastAsia="Times New Roman"/>
          <w:szCs w:val="20"/>
        </w:rPr>
        <w:t>RECOMMENDED that Council approves the attached Charging and Income Policy and amends the Scheme of Delegation to comply with the new arrangements.</w:t>
      </w:r>
    </w:p>
    <w:p w14:paraId="11B48AB6" w14:textId="77777777" w:rsidR="005A5643" w:rsidRDefault="005A5643" w:rsidP="00C131AF">
      <w:pPr>
        <w:rPr>
          <w:rFonts w:eastAsia="Times New Roman"/>
          <w:szCs w:val="20"/>
        </w:rPr>
      </w:pPr>
    </w:p>
    <w:p w14:paraId="0E1929B4" w14:textId="04847A80" w:rsidR="005A5643" w:rsidRDefault="00E51DF2" w:rsidP="00C131AF">
      <w:pPr>
        <w:rPr>
          <w:rFonts w:eastAsia="Times New Roman"/>
          <w:szCs w:val="20"/>
        </w:rPr>
      </w:pPr>
      <w:r>
        <w:rPr>
          <w:rFonts w:eastAsia="Times New Roman"/>
          <w:szCs w:val="20"/>
        </w:rPr>
        <w:t>Alderman Smith proposed, seconded by Alderman McIlveen</w:t>
      </w:r>
      <w:r w:rsidR="0007083F">
        <w:rPr>
          <w:rFonts w:eastAsia="Times New Roman"/>
          <w:szCs w:val="20"/>
        </w:rPr>
        <w:t>,</w:t>
      </w:r>
      <w:r>
        <w:rPr>
          <w:rFonts w:eastAsia="Times New Roman"/>
          <w:szCs w:val="20"/>
        </w:rPr>
        <w:t xml:space="preserve"> that the recommendation be adopted.</w:t>
      </w:r>
    </w:p>
    <w:p w14:paraId="1954BC46" w14:textId="77777777" w:rsidR="00E51DF2" w:rsidRDefault="00E51DF2" w:rsidP="00C131AF">
      <w:pPr>
        <w:rPr>
          <w:rFonts w:eastAsia="Times New Roman"/>
          <w:szCs w:val="20"/>
        </w:rPr>
      </w:pPr>
    </w:p>
    <w:p w14:paraId="1E91BE08" w14:textId="0B329427" w:rsidR="00E51DF2" w:rsidRDefault="00E51DF2" w:rsidP="00C131AF">
      <w:pPr>
        <w:rPr>
          <w:rFonts w:eastAsia="Times New Roman"/>
          <w:szCs w:val="20"/>
        </w:rPr>
      </w:pPr>
      <w:r>
        <w:rPr>
          <w:rFonts w:eastAsia="Times New Roman"/>
          <w:szCs w:val="20"/>
        </w:rPr>
        <w:t xml:space="preserve">Alderman Smith </w:t>
      </w:r>
      <w:r w:rsidR="00CD28EA">
        <w:rPr>
          <w:rFonts w:eastAsia="Times New Roman"/>
          <w:szCs w:val="20"/>
        </w:rPr>
        <w:t xml:space="preserve">had noted that </w:t>
      </w:r>
      <w:r>
        <w:rPr>
          <w:rFonts w:eastAsia="Times New Roman"/>
          <w:szCs w:val="20"/>
        </w:rPr>
        <w:t xml:space="preserve">charges </w:t>
      </w:r>
      <w:r w:rsidR="00CD28EA">
        <w:rPr>
          <w:rFonts w:eastAsia="Times New Roman"/>
          <w:szCs w:val="20"/>
        </w:rPr>
        <w:t>could be</w:t>
      </w:r>
      <w:r>
        <w:rPr>
          <w:rFonts w:eastAsia="Times New Roman"/>
          <w:szCs w:val="20"/>
        </w:rPr>
        <w:t xml:space="preserve"> increased </w:t>
      </w:r>
      <w:r w:rsidR="00CD28EA">
        <w:rPr>
          <w:rFonts w:eastAsia="Times New Roman"/>
          <w:szCs w:val="20"/>
        </w:rPr>
        <w:t>in line with</w:t>
      </w:r>
      <w:r>
        <w:rPr>
          <w:rFonts w:eastAsia="Times New Roman"/>
          <w:szCs w:val="20"/>
        </w:rPr>
        <w:t xml:space="preserve"> higher inflation</w:t>
      </w:r>
      <w:r w:rsidR="00CD28EA">
        <w:rPr>
          <w:rFonts w:eastAsia="Times New Roman"/>
          <w:szCs w:val="20"/>
        </w:rPr>
        <w:t xml:space="preserve"> rates</w:t>
      </w:r>
      <w:r>
        <w:rPr>
          <w:rFonts w:eastAsia="Times New Roman"/>
          <w:szCs w:val="20"/>
        </w:rPr>
        <w:t xml:space="preserve"> or</w:t>
      </w:r>
      <w:r w:rsidR="00CD28EA">
        <w:rPr>
          <w:rFonts w:eastAsia="Times New Roman"/>
          <w:szCs w:val="20"/>
        </w:rPr>
        <w:t xml:space="preserve"> increased</w:t>
      </w:r>
      <w:r>
        <w:rPr>
          <w:rFonts w:eastAsia="Times New Roman"/>
          <w:szCs w:val="20"/>
        </w:rPr>
        <w:t xml:space="preserve"> cost</w:t>
      </w:r>
      <w:r w:rsidR="00CD28EA">
        <w:rPr>
          <w:rFonts w:eastAsia="Times New Roman"/>
          <w:szCs w:val="20"/>
        </w:rPr>
        <w:t>s</w:t>
      </w:r>
      <w:r>
        <w:rPr>
          <w:rFonts w:eastAsia="Times New Roman"/>
          <w:szCs w:val="20"/>
        </w:rPr>
        <w:t xml:space="preserve"> of running the service</w:t>
      </w:r>
      <w:r w:rsidR="00CD28EA">
        <w:rPr>
          <w:rFonts w:eastAsia="Times New Roman"/>
          <w:szCs w:val="20"/>
        </w:rPr>
        <w:t>. He was concerned</w:t>
      </w:r>
      <w:r>
        <w:rPr>
          <w:rFonts w:eastAsia="Times New Roman"/>
          <w:szCs w:val="20"/>
        </w:rPr>
        <w:t xml:space="preserve"> </w:t>
      </w:r>
      <w:r w:rsidR="002B0CE4">
        <w:rPr>
          <w:rFonts w:eastAsia="Times New Roman"/>
          <w:szCs w:val="20"/>
        </w:rPr>
        <w:t xml:space="preserve">about </w:t>
      </w:r>
      <w:r>
        <w:rPr>
          <w:rFonts w:eastAsia="Times New Roman"/>
          <w:szCs w:val="20"/>
        </w:rPr>
        <w:t>the latter</w:t>
      </w:r>
      <w:r w:rsidR="00CD28EA">
        <w:rPr>
          <w:rFonts w:eastAsia="Times New Roman"/>
          <w:szCs w:val="20"/>
        </w:rPr>
        <w:t xml:space="preserve"> however</w:t>
      </w:r>
      <w:r>
        <w:rPr>
          <w:rFonts w:eastAsia="Times New Roman"/>
          <w:szCs w:val="20"/>
        </w:rPr>
        <w:t xml:space="preserve">, </w:t>
      </w:r>
      <w:r w:rsidR="002B0CE4">
        <w:rPr>
          <w:rFonts w:eastAsia="Times New Roman"/>
          <w:szCs w:val="20"/>
        </w:rPr>
        <w:t xml:space="preserve">as </w:t>
      </w:r>
      <w:r>
        <w:rPr>
          <w:rFonts w:eastAsia="Times New Roman"/>
          <w:szCs w:val="20"/>
        </w:rPr>
        <w:t xml:space="preserve">unlike inflation rates, </w:t>
      </w:r>
      <w:r w:rsidR="002B0CE4">
        <w:rPr>
          <w:rFonts w:eastAsia="Times New Roman"/>
          <w:szCs w:val="20"/>
        </w:rPr>
        <w:t xml:space="preserve">running costs </w:t>
      </w:r>
      <w:r>
        <w:rPr>
          <w:rFonts w:eastAsia="Times New Roman"/>
          <w:szCs w:val="20"/>
        </w:rPr>
        <w:t xml:space="preserve">could be an </w:t>
      </w:r>
      <w:r w:rsidR="00593C0A">
        <w:rPr>
          <w:rFonts w:eastAsia="Times New Roman"/>
          <w:szCs w:val="20"/>
        </w:rPr>
        <w:t>open-ended</w:t>
      </w:r>
      <w:r>
        <w:rPr>
          <w:rFonts w:eastAsia="Times New Roman"/>
          <w:szCs w:val="20"/>
        </w:rPr>
        <w:t xml:space="preserve"> number</w:t>
      </w:r>
      <w:r w:rsidR="002B0CE4">
        <w:rPr>
          <w:rFonts w:eastAsia="Times New Roman"/>
          <w:szCs w:val="20"/>
        </w:rPr>
        <w:t xml:space="preserve">. He </w:t>
      </w:r>
      <w:r>
        <w:rPr>
          <w:rFonts w:eastAsia="Times New Roman"/>
          <w:szCs w:val="20"/>
        </w:rPr>
        <w:t>sought clarity</w:t>
      </w:r>
      <w:r w:rsidR="002B0CE4">
        <w:rPr>
          <w:rFonts w:eastAsia="Times New Roman"/>
          <w:szCs w:val="20"/>
        </w:rPr>
        <w:t xml:space="preserve"> from the Officer.</w:t>
      </w:r>
    </w:p>
    <w:p w14:paraId="4B2893A4" w14:textId="77777777" w:rsidR="00E51DF2" w:rsidRDefault="00E51DF2" w:rsidP="00C131AF">
      <w:pPr>
        <w:rPr>
          <w:rFonts w:eastAsia="Times New Roman"/>
          <w:szCs w:val="20"/>
        </w:rPr>
      </w:pPr>
    </w:p>
    <w:p w14:paraId="76A43F9D" w14:textId="4A1F58B5" w:rsidR="00E51DF2" w:rsidRDefault="00E51DF2" w:rsidP="00C131AF">
      <w:pPr>
        <w:rPr>
          <w:rFonts w:eastAsia="Times New Roman"/>
          <w:szCs w:val="20"/>
        </w:rPr>
      </w:pPr>
      <w:r>
        <w:rPr>
          <w:rFonts w:eastAsia="Times New Roman"/>
          <w:szCs w:val="20"/>
        </w:rPr>
        <w:t xml:space="preserve">The Head of Finance advised that the purpose of that provision was to manage the level of subsidy coming in from the District Rate and ensure that managers were </w:t>
      </w:r>
      <w:r>
        <w:rPr>
          <w:rFonts w:eastAsia="Times New Roman"/>
          <w:szCs w:val="20"/>
        </w:rPr>
        <w:lastRenderedPageBreak/>
        <w:t>keeping that subsidy within a reasonable level. The</w:t>
      </w:r>
      <w:r w:rsidR="00CD28EA">
        <w:rPr>
          <w:rFonts w:eastAsia="Times New Roman"/>
          <w:szCs w:val="20"/>
        </w:rPr>
        <w:t>re was</w:t>
      </w:r>
      <w:r>
        <w:rPr>
          <w:rFonts w:eastAsia="Times New Roman"/>
          <w:szCs w:val="20"/>
        </w:rPr>
        <w:t xml:space="preserve"> provision within the policy for deviations and if </w:t>
      </w:r>
      <w:r w:rsidR="00CD28EA">
        <w:rPr>
          <w:rFonts w:eastAsia="Times New Roman"/>
          <w:szCs w:val="20"/>
        </w:rPr>
        <w:t xml:space="preserve">a deviation was deemed </w:t>
      </w:r>
      <w:r>
        <w:rPr>
          <w:rFonts w:eastAsia="Times New Roman"/>
          <w:szCs w:val="20"/>
        </w:rPr>
        <w:t xml:space="preserve">excessive then there would </w:t>
      </w:r>
      <w:r w:rsidR="00CD28EA">
        <w:rPr>
          <w:rFonts w:eastAsia="Times New Roman"/>
          <w:szCs w:val="20"/>
        </w:rPr>
        <w:t xml:space="preserve">be </w:t>
      </w:r>
      <w:r>
        <w:rPr>
          <w:rFonts w:eastAsia="Times New Roman"/>
          <w:szCs w:val="20"/>
        </w:rPr>
        <w:t>requirements for officers to bring a report to the Committee to explain the reasoning.</w:t>
      </w:r>
    </w:p>
    <w:p w14:paraId="4CEC02C5" w14:textId="77777777" w:rsidR="00E51DF2" w:rsidRDefault="00E51DF2" w:rsidP="00C131AF">
      <w:pPr>
        <w:rPr>
          <w:rFonts w:eastAsia="Times New Roman"/>
          <w:szCs w:val="20"/>
        </w:rPr>
      </w:pPr>
    </w:p>
    <w:p w14:paraId="6DD31DD8" w14:textId="34CF74CC" w:rsidR="000B595A" w:rsidRDefault="000B595A" w:rsidP="00C131AF">
      <w:pPr>
        <w:rPr>
          <w:rFonts w:eastAsia="Times New Roman"/>
          <w:szCs w:val="20"/>
        </w:rPr>
      </w:pPr>
      <w:r>
        <w:rPr>
          <w:rFonts w:eastAsia="Times New Roman"/>
          <w:szCs w:val="20"/>
        </w:rPr>
        <w:t xml:space="preserve">Responding </w:t>
      </w:r>
      <w:r w:rsidR="002B0CE4">
        <w:rPr>
          <w:rFonts w:eastAsia="Times New Roman"/>
          <w:szCs w:val="20"/>
        </w:rPr>
        <w:t xml:space="preserve">to </w:t>
      </w:r>
      <w:r w:rsidR="00593C0A">
        <w:rPr>
          <w:rFonts w:eastAsia="Times New Roman"/>
          <w:szCs w:val="20"/>
        </w:rPr>
        <w:t xml:space="preserve">queries </w:t>
      </w:r>
      <w:r>
        <w:rPr>
          <w:rFonts w:eastAsia="Times New Roman"/>
          <w:szCs w:val="20"/>
        </w:rPr>
        <w:t xml:space="preserve">from </w:t>
      </w:r>
      <w:r w:rsidR="00E51DF2">
        <w:rPr>
          <w:rFonts w:eastAsia="Times New Roman"/>
          <w:szCs w:val="20"/>
        </w:rPr>
        <w:t>Alderman McIlveen</w:t>
      </w:r>
      <w:r>
        <w:rPr>
          <w:rFonts w:eastAsia="Times New Roman"/>
          <w:szCs w:val="20"/>
        </w:rPr>
        <w:t>, the Head of Finance confirmed that this would be a new policy rather than an amendment to an existing one.</w:t>
      </w:r>
    </w:p>
    <w:p w14:paraId="70B503BF" w14:textId="77777777" w:rsidR="000B595A" w:rsidRDefault="000B595A" w:rsidP="00C131AF">
      <w:pPr>
        <w:rPr>
          <w:rFonts w:eastAsia="Times New Roman"/>
          <w:szCs w:val="20"/>
        </w:rPr>
      </w:pPr>
    </w:p>
    <w:p w14:paraId="303C5910" w14:textId="354EDAAE" w:rsidR="00E51DF2" w:rsidRDefault="00E51DF2" w:rsidP="00C131AF">
      <w:pPr>
        <w:rPr>
          <w:rFonts w:eastAsia="Times New Roman"/>
          <w:szCs w:val="20"/>
        </w:rPr>
      </w:pPr>
      <w:r>
        <w:rPr>
          <w:rFonts w:eastAsia="Times New Roman"/>
          <w:szCs w:val="20"/>
        </w:rPr>
        <w:t xml:space="preserve">Previously all charging policies had come before </w:t>
      </w:r>
      <w:r w:rsidR="000B595A">
        <w:rPr>
          <w:rFonts w:eastAsia="Times New Roman"/>
          <w:szCs w:val="20"/>
        </w:rPr>
        <w:t xml:space="preserve">the </w:t>
      </w:r>
      <w:r>
        <w:rPr>
          <w:rFonts w:eastAsia="Times New Roman"/>
          <w:szCs w:val="20"/>
        </w:rPr>
        <w:t xml:space="preserve">Committee regardless of how minor the variations were. The purpose of this policy was to provide a framework in which </w:t>
      </w:r>
      <w:r w:rsidR="00A07F1F">
        <w:rPr>
          <w:rFonts w:eastAsia="Times New Roman"/>
          <w:szCs w:val="20"/>
        </w:rPr>
        <w:t>officers</w:t>
      </w:r>
      <w:r>
        <w:rPr>
          <w:rFonts w:eastAsia="Times New Roman"/>
          <w:szCs w:val="20"/>
        </w:rPr>
        <w:t xml:space="preserve"> could operate</w:t>
      </w:r>
      <w:r w:rsidR="00A07F1F">
        <w:rPr>
          <w:rFonts w:eastAsia="Times New Roman"/>
          <w:szCs w:val="20"/>
        </w:rPr>
        <w:t xml:space="preserve"> and therefore </w:t>
      </w:r>
      <w:r w:rsidR="000B595A">
        <w:rPr>
          <w:rFonts w:eastAsia="Times New Roman"/>
          <w:szCs w:val="20"/>
        </w:rPr>
        <w:t xml:space="preserve">this would </w:t>
      </w:r>
      <w:r w:rsidR="00A07F1F">
        <w:rPr>
          <w:rFonts w:eastAsia="Times New Roman"/>
          <w:szCs w:val="20"/>
        </w:rPr>
        <w:t xml:space="preserve">delegate decision making to officer level. Minor deviations would be referred to a Director, and </w:t>
      </w:r>
      <w:r w:rsidR="000B595A">
        <w:rPr>
          <w:rFonts w:eastAsia="Times New Roman"/>
          <w:szCs w:val="20"/>
        </w:rPr>
        <w:t>significant</w:t>
      </w:r>
      <w:r w:rsidR="00A07F1F">
        <w:rPr>
          <w:rFonts w:eastAsia="Times New Roman"/>
          <w:szCs w:val="20"/>
        </w:rPr>
        <w:t xml:space="preserve"> deviations, exceeding 25% of prices, would be brought to Committee for Member approval.</w:t>
      </w:r>
    </w:p>
    <w:p w14:paraId="05ADCD07" w14:textId="77777777" w:rsidR="00E51DF2" w:rsidRDefault="00E51DF2" w:rsidP="00C131AF">
      <w:pPr>
        <w:rPr>
          <w:rFonts w:eastAsia="Times New Roman"/>
          <w:szCs w:val="20"/>
        </w:rPr>
      </w:pPr>
    </w:p>
    <w:p w14:paraId="517DD1FD" w14:textId="533F732E" w:rsidR="000B595A" w:rsidRDefault="00A07F1F" w:rsidP="00C131AF">
      <w:pPr>
        <w:rPr>
          <w:rFonts w:eastAsia="Times New Roman"/>
          <w:szCs w:val="20"/>
        </w:rPr>
      </w:pPr>
      <w:r>
        <w:rPr>
          <w:rFonts w:eastAsia="Times New Roman"/>
          <w:szCs w:val="20"/>
        </w:rPr>
        <w:t xml:space="preserve">Alderman McIlveen </w:t>
      </w:r>
      <w:r w:rsidR="000B595A">
        <w:rPr>
          <w:rFonts w:eastAsia="Times New Roman"/>
          <w:szCs w:val="20"/>
        </w:rPr>
        <w:t>asked</w:t>
      </w:r>
      <w:r>
        <w:rPr>
          <w:rFonts w:eastAsia="Times New Roman"/>
          <w:szCs w:val="20"/>
        </w:rPr>
        <w:t xml:space="preserve"> how Members would bring price changes</w:t>
      </w:r>
      <w:r w:rsidR="000B595A">
        <w:rPr>
          <w:rFonts w:eastAsia="Times New Roman"/>
          <w:szCs w:val="20"/>
        </w:rPr>
        <w:t xml:space="preserve"> outside of the proposed </w:t>
      </w:r>
      <w:r w:rsidR="00593C0A">
        <w:rPr>
          <w:rFonts w:eastAsia="Times New Roman"/>
          <w:szCs w:val="20"/>
        </w:rPr>
        <w:t>officer managed framework arrangement</w:t>
      </w:r>
      <w:r w:rsidR="000B595A">
        <w:rPr>
          <w:rFonts w:eastAsia="Times New Roman"/>
          <w:szCs w:val="20"/>
        </w:rPr>
        <w:t xml:space="preserve"> and it was advised that Members would have the opportunity to do this in the rate setting process.</w:t>
      </w:r>
    </w:p>
    <w:p w14:paraId="7F0EA3F5" w14:textId="77777777" w:rsidR="000B595A" w:rsidRDefault="000B595A" w:rsidP="00C131AF">
      <w:pPr>
        <w:rPr>
          <w:rFonts w:eastAsia="Times New Roman"/>
          <w:szCs w:val="20"/>
        </w:rPr>
      </w:pPr>
    </w:p>
    <w:p w14:paraId="1080CAC9" w14:textId="3D77F014" w:rsidR="00A07F1F" w:rsidRDefault="000B595A" w:rsidP="00C131AF">
      <w:pPr>
        <w:rPr>
          <w:rFonts w:eastAsia="Times New Roman"/>
          <w:szCs w:val="20"/>
        </w:rPr>
      </w:pPr>
      <w:r>
        <w:rPr>
          <w:rFonts w:eastAsia="Times New Roman"/>
          <w:szCs w:val="20"/>
        </w:rPr>
        <w:t xml:space="preserve">Alderman McIlveen recalled Members, </w:t>
      </w:r>
      <w:r w:rsidR="00593C0A">
        <w:rPr>
          <w:rFonts w:eastAsia="Times New Roman"/>
          <w:szCs w:val="20"/>
        </w:rPr>
        <w:t>albeit</w:t>
      </w:r>
      <w:r>
        <w:rPr>
          <w:rFonts w:eastAsia="Times New Roman"/>
          <w:szCs w:val="20"/>
        </w:rPr>
        <w:t xml:space="preserve"> not</w:t>
      </w:r>
      <w:r w:rsidR="002B0CE4">
        <w:rPr>
          <w:rFonts w:eastAsia="Times New Roman"/>
          <w:szCs w:val="20"/>
        </w:rPr>
        <w:t xml:space="preserve"> supported by</w:t>
      </w:r>
      <w:r>
        <w:rPr>
          <w:rFonts w:eastAsia="Times New Roman"/>
          <w:szCs w:val="20"/>
        </w:rPr>
        <w:t xml:space="preserve"> his own Party, agreeing to changing bin pricing </w:t>
      </w:r>
      <w:r w:rsidR="00593C0A">
        <w:rPr>
          <w:rFonts w:eastAsia="Times New Roman"/>
          <w:szCs w:val="20"/>
        </w:rPr>
        <w:t>mid-year</w:t>
      </w:r>
      <w:r>
        <w:rPr>
          <w:rFonts w:eastAsia="Times New Roman"/>
          <w:szCs w:val="20"/>
        </w:rPr>
        <w:t xml:space="preserve"> and was concerned of </w:t>
      </w:r>
      <w:r w:rsidR="00593C0A">
        <w:rPr>
          <w:rFonts w:eastAsia="Times New Roman"/>
          <w:szCs w:val="20"/>
        </w:rPr>
        <w:t xml:space="preserve">potential </w:t>
      </w:r>
      <w:r>
        <w:rPr>
          <w:rFonts w:eastAsia="Times New Roman"/>
          <w:szCs w:val="20"/>
        </w:rPr>
        <w:t xml:space="preserve">restrictions </w:t>
      </w:r>
      <w:r w:rsidR="00593C0A">
        <w:rPr>
          <w:rFonts w:eastAsia="Times New Roman"/>
          <w:szCs w:val="20"/>
        </w:rPr>
        <w:t xml:space="preserve">that </w:t>
      </w:r>
      <w:r>
        <w:rPr>
          <w:rFonts w:eastAsia="Times New Roman"/>
          <w:szCs w:val="20"/>
        </w:rPr>
        <w:t xml:space="preserve">this policy could bring in similar circumstances. </w:t>
      </w:r>
      <w:r w:rsidR="00A07F1F">
        <w:rPr>
          <w:rFonts w:eastAsia="Times New Roman"/>
          <w:szCs w:val="20"/>
        </w:rPr>
        <w:t>On reflection he withdrew his seconding of the proposal.</w:t>
      </w:r>
    </w:p>
    <w:p w14:paraId="14A94742" w14:textId="77777777" w:rsidR="00A07F1F" w:rsidRDefault="00A07F1F" w:rsidP="00C131AF">
      <w:pPr>
        <w:rPr>
          <w:rFonts w:eastAsia="Times New Roman"/>
          <w:szCs w:val="20"/>
        </w:rPr>
      </w:pPr>
    </w:p>
    <w:p w14:paraId="77A2145C" w14:textId="5738126F" w:rsidR="00F3236F" w:rsidRDefault="002F050B" w:rsidP="00C131AF">
      <w:pPr>
        <w:rPr>
          <w:rFonts w:eastAsia="Times New Roman"/>
          <w:szCs w:val="20"/>
        </w:rPr>
      </w:pPr>
      <w:r>
        <w:rPr>
          <w:rFonts w:eastAsia="Times New Roman"/>
          <w:szCs w:val="20"/>
        </w:rPr>
        <w:t xml:space="preserve">While recognising the importance of discounts for non-commercial use, </w:t>
      </w:r>
      <w:r w:rsidR="00A07F1F">
        <w:rPr>
          <w:rFonts w:eastAsia="Times New Roman"/>
          <w:szCs w:val="20"/>
        </w:rPr>
        <w:t>Councillor</w:t>
      </w:r>
      <w:r w:rsidR="00593C0A">
        <w:rPr>
          <w:rFonts w:eastAsia="Times New Roman"/>
          <w:szCs w:val="20"/>
        </w:rPr>
        <w:t xml:space="preserve"> W</w:t>
      </w:r>
      <w:r w:rsidR="00A07F1F">
        <w:rPr>
          <w:rFonts w:eastAsia="Times New Roman"/>
          <w:szCs w:val="20"/>
        </w:rPr>
        <w:t xml:space="preserve"> Irvine</w:t>
      </w:r>
      <w:r w:rsidR="00F3236F">
        <w:rPr>
          <w:rFonts w:eastAsia="Times New Roman"/>
          <w:szCs w:val="20"/>
        </w:rPr>
        <w:t xml:space="preserve"> raised concerns about separate pricing structures for </w:t>
      </w:r>
      <w:r>
        <w:rPr>
          <w:rFonts w:eastAsia="Times New Roman"/>
          <w:szCs w:val="20"/>
        </w:rPr>
        <w:t>room</w:t>
      </w:r>
      <w:r w:rsidR="00F3236F">
        <w:rPr>
          <w:rFonts w:eastAsia="Times New Roman"/>
          <w:szCs w:val="20"/>
        </w:rPr>
        <w:t xml:space="preserve"> and equipment </w:t>
      </w:r>
      <w:r w:rsidR="00593C0A">
        <w:rPr>
          <w:rFonts w:eastAsia="Times New Roman"/>
          <w:szCs w:val="20"/>
        </w:rPr>
        <w:t xml:space="preserve">hire </w:t>
      </w:r>
      <w:r w:rsidR="00F3236F">
        <w:rPr>
          <w:rFonts w:eastAsia="Times New Roman"/>
          <w:szCs w:val="20"/>
        </w:rPr>
        <w:t>charges which he was aware resulted in unexpected charges for many</w:t>
      </w:r>
      <w:r>
        <w:rPr>
          <w:rFonts w:eastAsia="Times New Roman"/>
          <w:szCs w:val="20"/>
        </w:rPr>
        <w:t xml:space="preserve"> of those particular</w:t>
      </w:r>
      <w:r w:rsidR="00F3236F">
        <w:rPr>
          <w:rFonts w:eastAsia="Times New Roman"/>
          <w:szCs w:val="20"/>
        </w:rPr>
        <w:t xml:space="preserve"> groups. He would have liked to see those pricing </w:t>
      </w:r>
      <w:r>
        <w:rPr>
          <w:rFonts w:eastAsia="Times New Roman"/>
          <w:szCs w:val="20"/>
        </w:rPr>
        <w:t>schedules</w:t>
      </w:r>
      <w:r w:rsidR="00F3236F">
        <w:rPr>
          <w:rFonts w:eastAsia="Times New Roman"/>
          <w:szCs w:val="20"/>
        </w:rPr>
        <w:t xml:space="preserve"> linked together</w:t>
      </w:r>
      <w:r w:rsidR="00593C0A">
        <w:rPr>
          <w:rFonts w:eastAsia="Times New Roman"/>
          <w:szCs w:val="20"/>
        </w:rPr>
        <w:t xml:space="preserve"> to avoid that.</w:t>
      </w:r>
    </w:p>
    <w:p w14:paraId="1BE136C8" w14:textId="77777777" w:rsidR="00F3236F" w:rsidRDefault="00F3236F" w:rsidP="00C131AF">
      <w:pPr>
        <w:rPr>
          <w:rFonts w:eastAsia="Times New Roman"/>
          <w:szCs w:val="20"/>
        </w:rPr>
      </w:pPr>
    </w:p>
    <w:p w14:paraId="4236273D" w14:textId="5E7895F1" w:rsidR="00F3236F" w:rsidRDefault="00F3236F" w:rsidP="00C131AF">
      <w:pPr>
        <w:rPr>
          <w:rFonts w:eastAsia="Times New Roman"/>
          <w:szCs w:val="20"/>
        </w:rPr>
      </w:pPr>
      <w:r>
        <w:rPr>
          <w:rFonts w:eastAsia="Times New Roman"/>
          <w:szCs w:val="20"/>
        </w:rPr>
        <w:t xml:space="preserve">The Head of Finance </w:t>
      </w:r>
      <w:r w:rsidR="000B595A">
        <w:rPr>
          <w:rFonts w:eastAsia="Times New Roman"/>
          <w:szCs w:val="20"/>
        </w:rPr>
        <w:t xml:space="preserve">said he </w:t>
      </w:r>
      <w:r>
        <w:rPr>
          <w:rFonts w:eastAsia="Times New Roman"/>
          <w:szCs w:val="20"/>
        </w:rPr>
        <w:t>would not expect Council officers to levy an unexpected charge in the way outlined by Councillor</w:t>
      </w:r>
      <w:r w:rsidR="00593C0A">
        <w:rPr>
          <w:rFonts w:eastAsia="Times New Roman"/>
          <w:szCs w:val="20"/>
        </w:rPr>
        <w:t xml:space="preserve"> W</w:t>
      </w:r>
      <w:r>
        <w:rPr>
          <w:rFonts w:eastAsia="Times New Roman"/>
          <w:szCs w:val="20"/>
        </w:rPr>
        <w:t xml:space="preserve"> Irvine and would expect officers to be mindful of the full charges at the time of taking the booking. The point of the policy was to ensure non-commercial use received a discount and it was not to penalise anyone or present them with hidden charges.</w:t>
      </w:r>
    </w:p>
    <w:p w14:paraId="718D5B5A" w14:textId="3DA844A1" w:rsidR="00F3236F" w:rsidRDefault="00F3236F" w:rsidP="00C131AF">
      <w:pPr>
        <w:rPr>
          <w:rFonts w:eastAsia="Times New Roman"/>
          <w:szCs w:val="20"/>
        </w:rPr>
      </w:pPr>
    </w:p>
    <w:p w14:paraId="400D0149" w14:textId="5EDFC1CA" w:rsidR="00C131AF" w:rsidRDefault="000B595A" w:rsidP="00C131AF">
      <w:pPr>
        <w:rPr>
          <w:rFonts w:eastAsia="Times New Roman"/>
          <w:szCs w:val="20"/>
        </w:rPr>
      </w:pPr>
      <w:r>
        <w:rPr>
          <w:rFonts w:eastAsia="Times New Roman"/>
          <w:szCs w:val="20"/>
        </w:rPr>
        <w:t>Responding to a query from Councillor McRandal, the officer confirmed that the policy did not apply to pricing</w:t>
      </w:r>
      <w:r w:rsidR="002F050B">
        <w:rPr>
          <w:rFonts w:eastAsia="Times New Roman"/>
          <w:szCs w:val="20"/>
        </w:rPr>
        <w:t xml:space="preserve"> schedules</w:t>
      </w:r>
      <w:r>
        <w:rPr>
          <w:rFonts w:eastAsia="Times New Roman"/>
          <w:szCs w:val="20"/>
        </w:rPr>
        <w:t xml:space="preserve"> </w:t>
      </w:r>
      <w:r w:rsidR="009B42F4">
        <w:rPr>
          <w:rFonts w:eastAsia="Times New Roman"/>
          <w:szCs w:val="20"/>
        </w:rPr>
        <w:t>of outsourced services and that would be covered in the relevant operator agreement</w:t>
      </w:r>
      <w:r w:rsidR="002F050B">
        <w:rPr>
          <w:rFonts w:eastAsia="Times New Roman"/>
          <w:szCs w:val="20"/>
        </w:rPr>
        <w:t>.</w:t>
      </w:r>
    </w:p>
    <w:p w14:paraId="7F23FB95" w14:textId="77777777" w:rsidR="009B42F4" w:rsidRDefault="009B42F4" w:rsidP="00C131AF">
      <w:pPr>
        <w:rPr>
          <w:rFonts w:eastAsia="Times New Roman"/>
          <w:szCs w:val="20"/>
        </w:rPr>
      </w:pPr>
    </w:p>
    <w:p w14:paraId="5DF065E2" w14:textId="2213CC81" w:rsidR="009B42F4" w:rsidRDefault="009B42F4" w:rsidP="00C131AF">
      <w:pPr>
        <w:rPr>
          <w:rFonts w:eastAsia="Times New Roman"/>
          <w:szCs w:val="20"/>
        </w:rPr>
      </w:pPr>
      <w:r>
        <w:rPr>
          <w:rFonts w:eastAsia="Times New Roman"/>
          <w:szCs w:val="20"/>
        </w:rPr>
        <w:t xml:space="preserve">Councillor McAlpine noted that </w:t>
      </w:r>
      <w:r w:rsidR="002F050B">
        <w:rPr>
          <w:rFonts w:eastAsia="Times New Roman"/>
          <w:szCs w:val="20"/>
        </w:rPr>
        <w:t>Appendix 3</w:t>
      </w:r>
      <w:r>
        <w:rPr>
          <w:rFonts w:eastAsia="Times New Roman"/>
          <w:szCs w:val="20"/>
        </w:rPr>
        <w:t xml:space="preserve"> listed facilities that were </w:t>
      </w:r>
      <w:r w:rsidR="002F050B">
        <w:rPr>
          <w:rFonts w:eastAsia="Times New Roman"/>
          <w:szCs w:val="20"/>
        </w:rPr>
        <w:t>no longer</w:t>
      </w:r>
      <w:r>
        <w:rPr>
          <w:rFonts w:eastAsia="Times New Roman"/>
          <w:szCs w:val="20"/>
        </w:rPr>
        <w:t xml:space="preserve"> in operation and</w:t>
      </w:r>
      <w:r w:rsidR="002B0CE4">
        <w:rPr>
          <w:rFonts w:eastAsia="Times New Roman"/>
          <w:szCs w:val="20"/>
        </w:rPr>
        <w:t xml:space="preserve"> the</w:t>
      </w:r>
      <w:r>
        <w:rPr>
          <w:rFonts w:eastAsia="Times New Roman"/>
          <w:szCs w:val="20"/>
        </w:rPr>
        <w:t xml:space="preserve"> officer advised that </w:t>
      </w:r>
      <w:r w:rsidR="002F050B">
        <w:rPr>
          <w:rFonts w:eastAsia="Times New Roman"/>
          <w:szCs w:val="20"/>
        </w:rPr>
        <w:t>an up-to-date</w:t>
      </w:r>
      <w:r>
        <w:rPr>
          <w:rFonts w:eastAsia="Times New Roman"/>
          <w:szCs w:val="20"/>
        </w:rPr>
        <w:t xml:space="preserve"> schedule would follow.</w:t>
      </w:r>
    </w:p>
    <w:p w14:paraId="162825D7" w14:textId="77777777" w:rsidR="009B42F4" w:rsidRDefault="009B42F4" w:rsidP="00C131AF">
      <w:pPr>
        <w:rPr>
          <w:rFonts w:eastAsia="Times New Roman"/>
          <w:szCs w:val="20"/>
        </w:rPr>
      </w:pPr>
    </w:p>
    <w:p w14:paraId="4D234426" w14:textId="5FF19EC5" w:rsidR="009B42F4" w:rsidRDefault="009B42F4" w:rsidP="00C131AF">
      <w:pPr>
        <w:rPr>
          <w:rFonts w:eastAsia="Times New Roman"/>
          <w:szCs w:val="20"/>
        </w:rPr>
      </w:pPr>
      <w:r>
        <w:rPr>
          <w:rFonts w:eastAsia="Times New Roman"/>
          <w:szCs w:val="20"/>
        </w:rPr>
        <w:t xml:space="preserve">Councillor Gilmour appreciated the importance of having a policy in relation to cash handling, recalling </w:t>
      </w:r>
      <w:r w:rsidR="002F050B">
        <w:rPr>
          <w:rFonts w:eastAsia="Times New Roman"/>
          <w:szCs w:val="20"/>
        </w:rPr>
        <w:t>previous audit recommendations. However</w:t>
      </w:r>
      <w:r>
        <w:rPr>
          <w:rFonts w:eastAsia="Times New Roman"/>
          <w:szCs w:val="20"/>
        </w:rPr>
        <w:t xml:space="preserve"> she was not comfortable with passing over the responsibility of </w:t>
      </w:r>
      <w:r w:rsidR="002F050B">
        <w:rPr>
          <w:rFonts w:eastAsia="Times New Roman"/>
          <w:szCs w:val="20"/>
        </w:rPr>
        <w:t>price setting</w:t>
      </w:r>
      <w:r>
        <w:rPr>
          <w:rFonts w:eastAsia="Times New Roman"/>
          <w:szCs w:val="20"/>
        </w:rPr>
        <w:t xml:space="preserve"> to officers as Members were </w:t>
      </w:r>
      <w:r w:rsidR="003367CF">
        <w:rPr>
          <w:rFonts w:eastAsia="Times New Roman"/>
          <w:szCs w:val="20"/>
        </w:rPr>
        <w:t xml:space="preserve">ultimately </w:t>
      </w:r>
      <w:r>
        <w:rPr>
          <w:rFonts w:eastAsia="Times New Roman"/>
          <w:szCs w:val="20"/>
        </w:rPr>
        <w:t xml:space="preserve">accountable to the rate payer. </w:t>
      </w:r>
      <w:r w:rsidR="003367CF">
        <w:rPr>
          <w:rFonts w:eastAsia="Times New Roman"/>
          <w:szCs w:val="20"/>
        </w:rPr>
        <w:t>For those reasons she</w:t>
      </w:r>
      <w:r>
        <w:rPr>
          <w:rFonts w:eastAsia="Times New Roman"/>
          <w:szCs w:val="20"/>
        </w:rPr>
        <w:t xml:space="preserve"> was unable to support the recommendation.</w:t>
      </w:r>
    </w:p>
    <w:p w14:paraId="31314843" w14:textId="77777777" w:rsidR="009B42F4" w:rsidRDefault="009B42F4" w:rsidP="00C131AF">
      <w:pPr>
        <w:rPr>
          <w:rFonts w:eastAsia="Times New Roman"/>
          <w:szCs w:val="20"/>
        </w:rPr>
      </w:pPr>
    </w:p>
    <w:p w14:paraId="1021E8E4" w14:textId="47302791" w:rsidR="009B42F4" w:rsidRDefault="009B42F4" w:rsidP="00C131AF">
      <w:pPr>
        <w:rPr>
          <w:rFonts w:eastAsia="Times New Roman"/>
          <w:szCs w:val="20"/>
        </w:rPr>
      </w:pPr>
      <w:r>
        <w:rPr>
          <w:rFonts w:eastAsia="Times New Roman"/>
          <w:szCs w:val="20"/>
        </w:rPr>
        <w:t>The Director</w:t>
      </w:r>
      <w:r w:rsidR="003367CF">
        <w:rPr>
          <w:rFonts w:eastAsia="Times New Roman"/>
          <w:szCs w:val="20"/>
        </w:rPr>
        <w:t xml:space="preserve"> of Corporate Services</w:t>
      </w:r>
      <w:r>
        <w:rPr>
          <w:rFonts w:eastAsia="Times New Roman"/>
          <w:szCs w:val="20"/>
        </w:rPr>
        <w:t xml:space="preserve"> explained the policy was to provide lead officers with greater agility around market factors such as inflation and also to address some </w:t>
      </w:r>
      <w:r>
        <w:rPr>
          <w:rFonts w:eastAsia="Times New Roman"/>
          <w:szCs w:val="20"/>
        </w:rPr>
        <w:lastRenderedPageBreak/>
        <w:t xml:space="preserve">of the issues arising from audit recommendations. He felt that some of the wording in the policy could be changed because he felt that discussion was straying away from the intent of the policy and it was being wrongly interpretated. He asked </w:t>
      </w:r>
      <w:r w:rsidR="003367CF">
        <w:rPr>
          <w:rFonts w:eastAsia="Times New Roman"/>
          <w:szCs w:val="20"/>
        </w:rPr>
        <w:t>if the</w:t>
      </w:r>
      <w:r>
        <w:rPr>
          <w:rFonts w:eastAsia="Times New Roman"/>
          <w:szCs w:val="20"/>
        </w:rPr>
        <w:t xml:space="preserve"> Committee </w:t>
      </w:r>
      <w:r w:rsidR="003367CF">
        <w:rPr>
          <w:rFonts w:eastAsia="Times New Roman"/>
          <w:szCs w:val="20"/>
        </w:rPr>
        <w:t xml:space="preserve">would be minded </w:t>
      </w:r>
      <w:r>
        <w:rPr>
          <w:rFonts w:eastAsia="Times New Roman"/>
          <w:szCs w:val="20"/>
        </w:rPr>
        <w:t>to defer the matter to allow some of those issues to be addressed in a new report which would be brought to the next full Council meeting.</w:t>
      </w:r>
    </w:p>
    <w:p w14:paraId="0113BF03" w14:textId="77777777" w:rsidR="009B42F4" w:rsidRDefault="009B42F4" w:rsidP="00C131AF">
      <w:pPr>
        <w:rPr>
          <w:rFonts w:eastAsia="Times New Roman"/>
          <w:szCs w:val="20"/>
        </w:rPr>
      </w:pPr>
    </w:p>
    <w:p w14:paraId="4EB860DE" w14:textId="0BAAC626" w:rsidR="009B42F4" w:rsidRDefault="009B42F4" w:rsidP="00C131AF">
      <w:pPr>
        <w:rPr>
          <w:rFonts w:eastAsia="Times New Roman"/>
          <w:szCs w:val="20"/>
        </w:rPr>
      </w:pPr>
      <w:r>
        <w:rPr>
          <w:rFonts w:eastAsia="Times New Roman"/>
          <w:szCs w:val="20"/>
        </w:rPr>
        <w:t>Members indicated their agreement to that approach.</w:t>
      </w:r>
    </w:p>
    <w:p w14:paraId="10CFEC2C" w14:textId="77777777" w:rsidR="000B595A" w:rsidRDefault="000B595A" w:rsidP="00C131AF">
      <w:pPr>
        <w:rPr>
          <w:rFonts w:cs="Arial"/>
          <w:szCs w:val="24"/>
        </w:rPr>
      </w:pPr>
    </w:p>
    <w:p w14:paraId="5D03011D" w14:textId="14563FCD" w:rsidR="00462A86" w:rsidRPr="00462A86" w:rsidRDefault="00700961" w:rsidP="00F45AA5">
      <w:pPr>
        <w:pStyle w:val="Normal0"/>
      </w:pPr>
      <w:bookmarkStart w:id="16" w:name="_Hlk138062341"/>
      <w:r w:rsidRPr="007F0DD5">
        <w:rPr>
          <w:b/>
          <w:bCs/>
          <w:sz w:val="24"/>
          <w:lang w:eastAsia="en-US"/>
        </w:rPr>
        <w:t>AGREED</w:t>
      </w:r>
      <w:r w:rsidR="005A5643">
        <w:rPr>
          <w:b/>
          <w:bCs/>
          <w:sz w:val="24"/>
          <w:lang w:eastAsia="en-US"/>
        </w:rPr>
        <w:t>, to defer the item to full Council meeting on 5 July 2023.</w:t>
      </w:r>
    </w:p>
    <w:bookmarkEnd w:id="16"/>
    <w:p w14:paraId="32FCB224" w14:textId="77777777" w:rsidR="0033058C" w:rsidRDefault="0033058C" w:rsidP="00147812">
      <w:pPr>
        <w:pStyle w:val="Normal0"/>
        <w:rPr>
          <w:noProof/>
        </w:rPr>
      </w:pPr>
    </w:p>
    <w:p w14:paraId="234AE4A6" w14:textId="2778E988" w:rsidR="0033058C" w:rsidRPr="00594424" w:rsidRDefault="00393882" w:rsidP="00147812">
      <w:pPr>
        <w:pStyle w:val="Heading1"/>
        <w:ind w:left="720" w:hanging="720"/>
        <w:rPr>
          <w:szCs w:val="28"/>
          <w:u w:val="single"/>
        </w:rPr>
      </w:pPr>
      <w:r>
        <w:t>5</w:t>
      </w:r>
      <w:r w:rsidR="0027377A">
        <w:t>.</w:t>
      </w:r>
      <w:r w:rsidR="0033058C" w:rsidRPr="006E1044">
        <w:t xml:space="preserve">  </w:t>
      </w:r>
      <w:r w:rsidR="0033058C" w:rsidRPr="006E1044">
        <w:tab/>
      </w:r>
      <w:r w:rsidR="000D47FA">
        <w:rPr>
          <w:rFonts w:cs="Arial"/>
          <w:szCs w:val="28"/>
          <w:u w:val="single"/>
        </w:rPr>
        <w:t>RESERVES POLICY (file fin58)</w:t>
      </w:r>
    </w:p>
    <w:p w14:paraId="2A42589F" w14:textId="09BE9D8D" w:rsidR="0033058C" w:rsidRDefault="0033058C" w:rsidP="00147812">
      <w:pPr>
        <w:contextualSpacing/>
        <w:rPr>
          <w:rFonts w:cs="Arial"/>
          <w:szCs w:val="24"/>
        </w:rPr>
      </w:pPr>
      <w:r>
        <w:rPr>
          <w:rFonts w:cs="Arial"/>
          <w:szCs w:val="24"/>
        </w:rPr>
        <w:tab/>
        <w:t>(</w:t>
      </w:r>
      <w:r w:rsidR="00ED211A">
        <w:rPr>
          <w:rFonts w:cs="Arial"/>
          <w:szCs w:val="24"/>
        </w:rPr>
        <w:t>Appendix</w:t>
      </w:r>
      <w:r w:rsidR="00124D06">
        <w:rPr>
          <w:rFonts w:cs="Arial"/>
          <w:szCs w:val="24"/>
        </w:rPr>
        <w:t xml:space="preserve"> </w:t>
      </w:r>
      <w:r w:rsidR="0050107E">
        <w:rPr>
          <w:rFonts w:cs="Arial"/>
          <w:szCs w:val="24"/>
        </w:rPr>
        <w:t>VIII</w:t>
      </w:r>
      <w:r w:rsidR="00ED211A">
        <w:rPr>
          <w:rFonts w:cs="Arial"/>
          <w:szCs w:val="24"/>
        </w:rPr>
        <w:t>)</w:t>
      </w:r>
    </w:p>
    <w:p w14:paraId="403B2970" w14:textId="77777777" w:rsidR="00393882" w:rsidRDefault="00393882" w:rsidP="00147812">
      <w:pPr>
        <w:contextualSpacing/>
        <w:rPr>
          <w:rFonts w:cs="Arial"/>
          <w:szCs w:val="24"/>
        </w:rPr>
      </w:pPr>
    </w:p>
    <w:p w14:paraId="186FE34F" w14:textId="72980AC3" w:rsidR="000D47FA" w:rsidRPr="000D47FA" w:rsidRDefault="0083612D" w:rsidP="000D47FA">
      <w:pPr>
        <w:rPr>
          <w:rFonts w:eastAsia="Times New Roman"/>
          <w:szCs w:val="20"/>
        </w:rPr>
      </w:pPr>
      <w:bookmarkStart w:id="17" w:name="_Hlk129090601"/>
      <w:bookmarkStart w:id="18" w:name="_Hlk138061920"/>
      <w:bookmarkStart w:id="19" w:name="_Hlk129091519"/>
      <w:r w:rsidRPr="00F92E25">
        <w:rPr>
          <w:rFonts w:cs="Arial"/>
          <w:bCs/>
          <w:caps/>
          <w:szCs w:val="24"/>
        </w:rPr>
        <w:t>Previously circulated:-</w:t>
      </w:r>
      <w:r w:rsidRPr="00F92E25">
        <w:rPr>
          <w:rFonts w:cs="Arial"/>
          <w:bCs/>
          <w:szCs w:val="24"/>
        </w:rPr>
        <w:t xml:space="preserve"> </w:t>
      </w:r>
      <w:bookmarkStart w:id="20" w:name="_Hlk138061889"/>
      <w:bookmarkEnd w:id="17"/>
      <w:r w:rsidRPr="00F92E25">
        <w:rPr>
          <w:rFonts w:cs="Arial"/>
          <w:bCs/>
          <w:szCs w:val="24"/>
        </w:rPr>
        <w:t xml:space="preserve">Report from the </w:t>
      </w:r>
      <w:r w:rsidRPr="0027377A">
        <w:rPr>
          <w:rFonts w:cs="Arial"/>
          <w:szCs w:val="24"/>
        </w:rPr>
        <w:t xml:space="preserve">Director of </w:t>
      </w:r>
      <w:r>
        <w:rPr>
          <w:rFonts w:cs="Arial"/>
          <w:szCs w:val="24"/>
        </w:rPr>
        <w:t xml:space="preserve"> </w:t>
      </w:r>
      <w:r w:rsidR="00393882">
        <w:rPr>
          <w:rFonts w:cs="Arial"/>
          <w:szCs w:val="24"/>
        </w:rPr>
        <w:t xml:space="preserve">Corporate Services </w:t>
      </w:r>
      <w:bookmarkEnd w:id="20"/>
      <w:r w:rsidR="000D47FA">
        <w:rPr>
          <w:rFonts w:cs="Arial"/>
          <w:szCs w:val="24"/>
        </w:rPr>
        <w:t xml:space="preserve">stating that </w:t>
      </w:r>
      <w:bookmarkEnd w:id="18"/>
      <w:r w:rsidR="000D47FA">
        <w:rPr>
          <w:rFonts w:cs="Arial"/>
          <w:szCs w:val="24"/>
        </w:rPr>
        <w:t>i</w:t>
      </w:r>
      <w:r w:rsidR="000D47FA" w:rsidRPr="000D47FA">
        <w:rPr>
          <w:rFonts w:eastAsia="Times New Roman"/>
          <w:szCs w:val="20"/>
        </w:rPr>
        <w:t>n line with good practice, it was appropriate for the Council to have a formal reserves policy. This draft policy sought to formalise and review existing practices.</w:t>
      </w:r>
    </w:p>
    <w:p w14:paraId="17700201" w14:textId="77777777" w:rsidR="000D47FA" w:rsidRPr="000D47FA" w:rsidRDefault="000D47FA" w:rsidP="000D47FA">
      <w:pPr>
        <w:rPr>
          <w:rFonts w:eastAsia="Times New Roman"/>
          <w:szCs w:val="20"/>
        </w:rPr>
      </w:pPr>
    </w:p>
    <w:p w14:paraId="3F098B99" w14:textId="77777777" w:rsidR="000D47FA" w:rsidRPr="000D47FA" w:rsidRDefault="000D47FA" w:rsidP="000D47FA">
      <w:pPr>
        <w:rPr>
          <w:rFonts w:eastAsia="Times New Roman"/>
          <w:szCs w:val="20"/>
        </w:rPr>
      </w:pPr>
      <w:r w:rsidRPr="000D47FA">
        <w:rPr>
          <w:rFonts w:eastAsia="Times New Roman"/>
          <w:szCs w:val="20"/>
        </w:rPr>
        <w:t>It was expected that this would require review as part of the next Estimates process.</w:t>
      </w:r>
    </w:p>
    <w:p w14:paraId="6C3D3F00" w14:textId="77777777" w:rsidR="000D47FA" w:rsidRPr="000D47FA" w:rsidRDefault="000D47FA" w:rsidP="000D47FA">
      <w:pPr>
        <w:rPr>
          <w:rFonts w:eastAsia="Times New Roman"/>
          <w:szCs w:val="20"/>
        </w:rPr>
      </w:pPr>
    </w:p>
    <w:p w14:paraId="04A6DBB7" w14:textId="77777777" w:rsidR="000D47FA" w:rsidRPr="000D47FA" w:rsidRDefault="000D47FA" w:rsidP="000D47FA">
      <w:pPr>
        <w:rPr>
          <w:rFonts w:eastAsia="Times New Roman"/>
          <w:szCs w:val="20"/>
        </w:rPr>
      </w:pPr>
      <w:r w:rsidRPr="000D47FA">
        <w:rPr>
          <w:rFonts w:eastAsia="Times New Roman"/>
          <w:szCs w:val="20"/>
        </w:rPr>
        <w:t>The key points to note were:</w:t>
      </w:r>
    </w:p>
    <w:p w14:paraId="1047A093" w14:textId="77777777" w:rsidR="000D47FA" w:rsidRPr="000D47FA" w:rsidRDefault="000D47FA" w:rsidP="000D47FA">
      <w:pPr>
        <w:rPr>
          <w:rFonts w:eastAsia="Times New Roman"/>
          <w:szCs w:val="20"/>
        </w:rPr>
      </w:pPr>
    </w:p>
    <w:p w14:paraId="26E7D782" w14:textId="77777777" w:rsidR="000D47FA" w:rsidRPr="000D47FA" w:rsidRDefault="000D47FA" w:rsidP="00CF34D3">
      <w:pPr>
        <w:numPr>
          <w:ilvl w:val="0"/>
          <w:numId w:val="7"/>
        </w:numPr>
        <w:spacing w:after="120"/>
        <w:ind w:left="714" w:hanging="357"/>
        <w:rPr>
          <w:rFonts w:eastAsia="Times New Roman"/>
          <w:szCs w:val="20"/>
        </w:rPr>
      </w:pPr>
      <w:r w:rsidRPr="000D47FA">
        <w:rPr>
          <w:rFonts w:eastAsia="Times New Roman"/>
          <w:szCs w:val="20"/>
        </w:rPr>
        <w:t>A more detailed definition of the minimum General Fund balance target including increasing the target balance from 7% to 7.5%.</w:t>
      </w:r>
    </w:p>
    <w:p w14:paraId="2743613B" w14:textId="77777777" w:rsidR="000D47FA" w:rsidRPr="000D47FA" w:rsidRDefault="000D47FA" w:rsidP="00CF34D3">
      <w:pPr>
        <w:numPr>
          <w:ilvl w:val="0"/>
          <w:numId w:val="7"/>
        </w:numPr>
        <w:spacing w:after="120"/>
        <w:ind w:left="714" w:hanging="357"/>
        <w:rPr>
          <w:rFonts w:eastAsia="Times New Roman"/>
          <w:szCs w:val="20"/>
        </w:rPr>
      </w:pPr>
      <w:r w:rsidRPr="000D47FA">
        <w:rPr>
          <w:rFonts w:eastAsia="Times New Roman"/>
          <w:szCs w:val="20"/>
        </w:rPr>
        <w:t>Rules on the use of the General Fund to cover unbudgeted expenditure.</w:t>
      </w:r>
    </w:p>
    <w:p w14:paraId="5EF5E774" w14:textId="77777777" w:rsidR="000D47FA" w:rsidRPr="000D47FA" w:rsidRDefault="000D47FA" w:rsidP="00CF34D3">
      <w:pPr>
        <w:numPr>
          <w:ilvl w:val="0"/>
          <w:numId w:val="7"/>
        </w:numPr>
        <w:spacing w:after="120"/>
        <w:ind w:left="714" w:hanging="357"/>
        <w:rPr>
          <w:rFonts w:eastAsia="Times New Roman"/>
          <w:szCs w:val="20"/>
        </w:rPr>
      </w:pPr>
      <w:r w:rsidRPr="000D47FA">
        <w:rPr>
          <w:rFonts w:eastAsia="Times New Roman"/>
          <w:szCs w:val="20"/>
        </w:rPr>
        <w:t>A more detailed definition of the purposes of the Earmarked Fund, including an increased focus on supporting strategic initiatives.</w:t>
      </w:r>
    </w:p>
    <w:p w14:paraId="1ABD30DF" w14:textId="77777777" w:rsidR="000D47FA" w:rsidRPr="000D47FA" w:rsidRDefault="000D47FA" w:rsidP="00CF34D3">
      <w:pPr>
        <w:numPr>
          <w:ilvl w:val="0"/>
          <w:numId w:val="7"/>
        </w:numPr>
        <w:spacing w:after="120"/>
        <w:ind w:left="714" w:hanging="357"/>
        <w:rPr>
          <w:rFonts w:eastAsia="Times New Roman"/>
          <w:szCs w:val="20"/>
        </w:rPr>
      </w:pPr>
      <w:r w:rsidRPr="000D47FA">
        <w:rPr>
          <w:rFonts w:eastAsia="Times New Roman"/>
          <w:szCs w:val="20"/>
        </w:rPr>
        <w:t>Inclusion within Council Processes of the CIPFA guidance regarding the considerations important to determining what reserve balances should be.</w:t>
      </w:r>
    </w:p>
    <w:p w14:paraId="6708ABC8" w14:textId="77777777" w:rsidR="000D47FA" w:rsidRPr="000D47FA" w:rsidRDefault="000D47FA" w:rsidP="00CF34D3">
      <w:pPr>
        <w:numPr>
          <w:ilvl w:val="0"/>
          <w:numId w:val="7"/>
        </w:numPr>
        <w:spacing w:after="120"/>
        <w:ind w:left="714" w:hanging="357"/>
        <w:rPr>
          <w:rFonts w:eastAsia="Times New Roman"/>
          <w:szCs w:val="20"/>
        </w:rPr>
      </w:pPr>
      <w:r w:rsidRPr="000D47FA">
        <w:rPr>
          <w:rFonts w:eastAsia="Times New Roman"/>
          <w:szCs w:val="20"/>
        </w:rPr>
        <w:t>Formal processes for the use of the strategic Earmarked Funds and the Capital Receipts Reserve.</w:t>
      </w:r>
    </w:p>
    <w:p w14:paraId="2D1628DC" w14:textId="77777777" w:rsidR="0050107E" w:rsidRDefault="000D47FA" w:rsidP="0050107E">
      <w:r w:rsidRPr="000D47FA">
        <w:t>The End of Year Outturn report later in the agenda would detail current balances and proposed transfers out of and into these reserves</w:t>
      </w:r>
      <w:r w:rsidRPr="0050107E">
        <w:t>.</w:t>
      </w:r>
      <w:r w:rsidR="0050107E" w:rsidRPr="0050107E">
        <w:t xml:space="preserve"> </w:t>
      </w:r>
    </w:p>
    <w:p w14:paraId="5F021F32" w14:textId="77777777" w:rsidR="0050107E" w:rsidRDefault="0050107E" w:rsidP="0050107E"/>
    <w:p w14:paraId="79C851A1" w14:textId="330D3FDE" w:rsidR="000D47FA" w:rsidRDefault="000D47FA" w:rsidP="00700961">
      <w:r w:rsidRPr="0050107E">
        <w:t xml:space="preserve">RECOMMENDED </w:t>
      </w:r>
      <w:r w:rsidRPr="000D47FA">
        <w:t>that Council approves the draft Reserves Policy.</w:t>
      </w:r>
    </w:p>
    <w:p w14:paraId="7547191F" w14:textId="77777777" w:rsidR="00A7491F" w:rsidRDefault="00A7491F" w:rsidP="00700961"/>
    <w:p w14:paraId="0127ACC3" w14:textId="77777777" w:rsidR="00A7491F" w:rsidRPr="00A7491F" w:rsidRDefault="00A7491F" w:rsidP="00A7491F">
      <w:pPr>
        <w:pStyle w:val="BlockText"/>
        <w:rPr>
          <w:color w:val="auto"/>
        </w:rPr>
      </w:pPr>
      <w:r w:rsidRPr="00A7491F">
        <w:rPr>
          <w:color w:val="auto"/>
        </w:rPr>
        <w:t>Outlining the report, the Director advised the Committee that this was to formalise some of the processes that were in practice along with some elements that were agreed in previous years as part of the guiding principles in the Estimates process.</w:t>
      </w:r>
    </w:p>
    <w:p w14:paraId="6A1B73B4" w14:textId="77777777" w:rsidR="00A7491F" w:rsidRPr="00A7491F" w:rsidRDefault="00A7491F" w:rsidP="00A7491F">
      <w:pPr>
        <w:pStyle w:val="BlockText"/>
        <w:rPr>
          <w:color w:val="auto"/>
        </w:rPr>
      </w:pPr>
    </w:p>
    <w:p w14:paraId="3A32A971" w14:textId="77777777" w:rsidR="00A7491F" w:rsidRPr="00A7491F" w:rsidRDefault="00A7491F" w:rsidP="00A7491F">
      <w:pPr>
        <w:pStyle w:val="BlockText"/>
        <w:rPr>
          <w:color w:val="auto"/>
        </w:rPr>
      </w:pPr>
      <w:r w:rsidRPr="00A7491F">
        <w:rPr>
          <w:color w:val="auto"/>
        </w:rPr>
        <w:t>He explained that a key aim of the recommendation was to increase financial resilience given the high level of inflation and Council having greater ambition around capital investment - there was a desire to increase the general fund to approximately 7.5% of the overall Council expenditure as a target.</w:t>
      </w:r>
    </w:p>
    <w:p w14:paraId="449B2C51" w14:textId="77777777" w:rsidR="00A7491F" w:rsidRPr="00A7491F" w:rsidRDefault="00A7491F" w:rsidP="00A7491F">
      <w:pPr>
        <w:pStyle w:val="BlockText"/>
        <w:rPr>
          <w:color w:val="auto"/>
        </w:rPr>
      </w:pPr>
    </w:p>
    <w:p w14:paraId="0FFFF838" w14:textId="77777777" w:rsidR="00A7491F" w:rsidRPr="00A7491F" w:rsidRDefault="00A7491F" w:rsidP="00A7491F">
      <w:r w:rsidRPr="00A7491F">
        <w:t>This policy also set out rules of how the general fund was used in relation to budgetary expenditure and provided clarity of Member and Officer roles.</w:t>
      </w:r>
    </w:p>
    <w:p w14:paraId="69E2392F" w14:textId="77777777" w:rsidR="00A7491F" w:rsidRPr="00A7491F" w:rsidRDefault="00A7491F" w:rsidP="00A7491F">
      <w:pPr>
        <w:rPr>
          <w:rFonts w:eastAsia="Times New Roman"/>
          <w:szCs w:val="20"/>
        </w:rPr>
      </w:pPr>
    </w:p>
    <w:p w14:paraId="26B8ACCC" w14:textId="77777777" w:rsidR="00A7491F" w:rsidRPr="00A7491F" w:rsidRDefault="00A7491F" w:rsidP="00A7491F">
      <w:pPr>
        <w:rPr>
          <w:rFonts w:eastAsia="Times New Roman"/>
          <w:szCs w:val="20"/>
        </w:rPr>
      </w:pPr>
      <w:r w:rsidRPr="00A7491F">
        <w:rPr>
          <w:rFonts w:eastAsia="Times New Roman"/>
          <w:szCs w:val="20"/>
        </w:rPr>
        <w:lastRenderedPageBreak/>
        <w:t>This was also to provide definition around more strategic purposes such as sustainability, transformation and a tax-based development fund.</w:t>
      </w:r>
    </w:p>
    <w:p w14:paraId="6BFCCB19" w14:textId="77777777" w:rsidR="000D47FA" w:rsidRDefault="000D47FA" w:rsidP="00700961">
      <w:pPr>
        <w:rPr>
          <w:rFonts w:cs="Arial"/>
          <w:szCs w:val="24"/>
        </w:rPr>
      </w:pPr>
    </w:p>
    <w:bookmarkEnd w:id="19"/>
    <w:p w14:paraId="734B2841" w14:textId="34DD90EA" w:rsidR="000D47FA" w:rsidRPr="00462A86" w:rsidRDefault="000D47FA" w:rsidP="000D47FA">
      <w:pPr>
        <w:pStyle w:val="Normal0"/>
      </w:pPr>
      <w:r w:rsidRPr="007F0DD5">
        <w:rPr>
          <w:b/>
          <w:bCs/>
          <w:sz w:val="24"/>
          <w:lang w:eastAsia="en-US"/>
        </w:rPr>
        <w:t xml:space="preserve">AGREED TO RECOMMEND, on the proposal of </w:t>
      </w:r>
      <w:r w:rsidR="005A5643">
        <w:rPr>
          <w:b/>
          <w:bCs/>
          <w:sz w:val="24"/>
          <w:lang w:eastAsia="en-US"/>
        </w:rPr>
        <w:t>Alderman Smith</w:t>
      </w:r>
      <w:r w:rsidRPr="007F0DD5">
        <w:rPr>
          <w:b/>
          <w:bCs/>
          <w:sz w:val="24"/>
          <w:lang w:eastAsia="en-US"/>
        </w:rPr>
        <w:t xml:space="preserve">, seconded by </w:t>
      </w:r>
      <w:r w:rsidR="005A5643">
        <w:rPr>
          <w:b/>
          <w:bCs/>
          <w:sz w:val="24"/>
          <w:lang w:eastAsia="en-US"/>
        </w:rPr>
        <w:t>Councillor McRandal</w:t>
      </w:r>
      <w:r w:rsidRPr="007F0DD5">
        <w:rPr>
          <w:b/>
          <w:bCs/>
          <w:sz w:val="24"/>
          <w:lang w:eastAsia="en-US"/>
        </w:rPr>
        <w:t xml:space="preserve">, that </w:t>
      </w:r>
      <w:r>
        <w:rPr>
          <w:b/>
          <w:bCs/>
          <w:sz w:val="24"/>
          <w:lang w:eastAsia="en-US"/>
        </w:rPr>
        <w:t>the recommendation be adopted.</w:t>
      </w:r>
    </w:p>
    <w:p w14:paraId="761DC873" w14:textId="77777777" w:rsidR="0033058C" w:rsidRDefault="0033058C" w:rsidP="00147812">
      <w:pPr>
        <w:rPr>
          <w:rFonts w:cs="Arial"/>
          <w:szCs w:val="24"/>
        </w:rPr>
      </w:pPr>
    </w:p>
    <w:p w14:paraId="2A50CC2E" w14:textId="29A0085A" w:rsidR="0033058C" w:rsidRPr="006E1044" w:rsidRDefault="00393882" w:rsidP="00147812">
      <w:pPr>
        <w:pStyle w:val="Heading1"/>
        <w:ind w:left="567" w:hanging="567"/>
      </w:pPr>
      <w:r>
        <w:rPr>
          <w:noProof/>
        </w:rPr>
        <w:t>6</w:t>
      </w:r>
      <w:r w:rsidR="0027377A">
        <w:rPr>
          <w:noProof/>
        </w:rPr>
        <w:t>.</w:t>
      </w:r>
      <w:r w:rsidR="0033058C">
        <w:rPr>
          <w:noProof/>
        </w:rPr>
        <w:t xml:space="preserve"> </w:t>
      </w:r>
      <w:r w:rsidR="0027377A">
        <w:rPr>
          <w:noProof/>
        </w:rPr>
        <w:tab/>
      </w:r>
      <w:r w:rsidR="0050107E" w:rsidRPr="0050107E">
        <w:rPr>
          <w:rFonts w:cs="Arial"/>
          <w:szCs w:val="28"/>
          <w:u w:val="single"/>
        </w:rPr>
        <w:t>Final Outturn and Reserves 2022/23</w:t>
      </w:r>
      <w:r w:rsidR="0050107E">
        <w:rPr>
          <w:rFonts w:cs="Arial"/>
          <w:szCs w:val="28"/>
          <w:u w:val="single"/>
        </w:rPr>
        <w:t xml:space="preserve"> (FILE FIN49)</w:t>
      </w:r>
    </w:p>
    <w:p w14:paraId="10CC67CC" w14:textId="52A94807" w:rsidR="00124D06" w:rsidRDefault="00124D06" w:rsidP="00124D06">
      <w:pPr>
        <w:pStyle w:val="ListParagraph"/>
        <w:ind w:left="567"/>
        <w:contextualSpacing/>
        <w:rPr>
          <w:rFonts w:cs="Arial"/>
          <w:bCs/>
          <w:caps/>
          <w:szCs w:val="24"/>
        </w:rPr>
      </w:pPr>
      <w:r w:rsidRPr="00124D06">
        <w:rPr>
          <w:rFonts w:ascii="Arial" w:hAnsi="Arial" w:cs="Arial"/>
          <w:sz w:val="24"/>
          <w:szCs w:val="24"/>
        </w:rPr>
        <w:t xml:space="preserve">(Appendix </w:t>
      </w:r>
      <w:r w:rsidR="0050107E">
        <w:rPr>
          <w:rFonts w:ascii="Arial" w:hAnsi="Arial" w:cs="Arial"/>
          <w:sz w:val="24"/>
          <w:szCs w:val="24"/>
        </w:rPr>
        <w:t>IX</w:t>
      </w:r>
      <w:r w:rsidRPr="00124D06">
        <w:rPr>
          <w:rFonts w:ascii="Arial" w:hAnsi="Arial" w:cs="Arial"/>
          <w:sz w:val="24"/>
          <w:szCs w:val="24"/>
        </w:rPr>
        <w:t>)</w:t>
      </w:r>
      <w:bookmarkStart w:id="21" w:name="_Hlk129091591"/>
    </w:p>
    <w:p w14:paraId="59BAC3FB" w14:textId="77777777" w:rsidR="00124D06" w:rsidRDefault="00124D06" w:rsidP="00F45AA5">
      <w:pPr>
        <w:rPr>
          <w:rFonts w:cs="Arial"/>
          <w:bCs/>
          <w:caps/>
          <w:szCs w:val="24"/>
        </w:rPr>
      </w:pPr>
    </w:p>
    <w:p w14:paraId="6B1FA720" w14:textId="63BC3E90" w:rsidR="003F68EC" w:rsidRPr="003F68EC" w:rsidRDefault="00F45AA5" w:rsidP="003F68EC">
      <w:pPr>
        <w:rPr>
          <w:rFonts w:eastAsia="Times New Roman"/>
          <w:szCs w:val="20"/>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w:t>
      </w:r>
      <w:r w:rsidR="003F68EC">
        <w:rPr>
          <w:rFonts w:cs="Arial"/>
          <w:szCs w:val="24"/>
        </w:rPr>
        <w:t xml:space="preserve"> stating that </w:t>
      </w:r>
      <w:bookmarkEnd w:id="21"/>
      <w:r w:rsidR="003F68EC">
        <w:rPr>
          <w:rFonts w:cs="Arial"/>
          <w:szCs w:val="24"/>
        </w:rPr>
        <w:t>i</w:t>
      </w:r>
      <w:r w:rsidR="003F68EC" w:rsidRPr="003F68EC">
        <w:rPr>
          <w:rFonts w:eastAsia="Times New Roman"/>
          <w:szCs w:val="20"/>
        </w:rPr>
        <w:t>n line with the Reserves Policy considered earlier in the agenda, this report set out the summary corporate budgetary performance for the last financial year and the movements in reserves that were considered appropriate in order to ensure the Council retained adequate reserves for future years.</w:t>
      </w:r>
    </w:p>
    <w:p w14:paraId="385B5C14" w14:textId="77777777" w:rsidR="003F68EC" w:rsidRPr="003F68EC" w:rsidRDefault="003F68EC" w:rsidP="003F68EC">
      <w:pPr>
        <w:ind w:right="141"/>
        <w:jc w:val="both"/>
        <w:rPr>
          <w:rFonts w:eastAsia="Times New Roman"/>
          <w:szCs w:val="20"/>
        </w:rPr>
      </w:pPr>
    </w:p>
    <w:p w14:paraId="23E84302" w14:textId="77777777" w:rsidR="003F68EC" w:rsidRPr="003F68EC" w:rsidRDefault="003F68EC" w:rsidP="003F68EC">
      <w:pPr>
        <w:ind w:right="141"/>
        <w:jc w:val="both"/>
        <w:rPr>
          <w:rFonts w:eastAsia="Times New Roman"/>
          <w:szCs w:val="20"/>
        </w:rPr>
      </w:pPr>
    </w:p>
    <w:tbl>
      <w:tblPr>
        <w:tblStyle w:val="GridTable4-Accent5"/>
        <w:tblW w:w="0" w:type="auto"/>
        <w:tblLayout w:type="fixed"/>
        <w:tblLook w:val="0420" w:firstRow="1" w:lastRow="0" w:firstColumn="0" w:lastColumn="0" w:noHBand="0" w:noVBand="1"/>
      </w:tblPr>
      <w:tblGrid>
        <w:gridCol w:w="3197"/>
        <w:gridCol w:w="1454"/>
        <w:gridCol w:w="1455"/>
        <w:gridCol w:w="1455"/>
        <w:gridCol w:w="1455"/>
      </w:tblGrid>
      <w:tr w:rsidR="003F68EC" w:rsidRPr="003F68EC" w14:paraId="0F663C60" w14:textId="77777777" w:rsidTr="003F68EC">
        <w:trPr>
          <w:cnfStyle w:val="100000000000" w:firstRow="1" w:lastRow="0" w:firstColumn="0" w:lastColumn="0" w:oddVBand="0" w:evenVBand="0" w:oddHBand="0" w:evenHBand="0" w:firstRowFirstColumn="0" w:firstRowLastColumn="0" w:lastRowFirstColumn="0" w:lastRowLastColumn="0"/>
          <w:tblHeader/>
        </w:trPr>
        <w:tc>
          <w:tcPr>
            <w:tcW w:w="3197" w:type="dxa"/>
          </w:tcPr>
          <w:p w14:paraId="205F721B" w14:textId="77777777" w:rsidR="003F68EC" w:rsidRPr="003F68EC" w:rsidRDefault="003F68EC" w:rsidP="003F68EC">
            <w:pPr>
              <w:spacing w:line="259" w:lineRule="auto"/>
              <w:rPr>
                <w:rFonts w:eastAsia="Times New Roman"/>
                <w:color w:val="FFFFFF"/>
              </w:rPr>
            </w:pPr>
          </w:p>
        </w:tc>
        <w:tc>
          <w:tcPr>
            <w:tcW w:w="1454" w:type="dxa"/>
          </w:tcPr>
          <w:p w14:paraId="08A92923" w14:textId="77777777" w:rsidR="003F68EC" w:rsidRPr="003F68EC" w:rsidRDefault="003F68EC" w:rsidP="003F68EC">
            <w:pPr>
              <w:spacing w:line="259" w:lineRule="auto"/>
              <w:jc w:val="center"/>
              <w:rPr>
                <w:rFonts w:eastAsia="Times New Roman"/>
                <w:color w:val="FFFFFF"/>
              </w:rPr>
            </w:pPr>
            <w:r w:rsidRPr="003F68EC">
              <w:rPr>
                <w:rFonts w:eastAsia="Times New Roman"/>
                <w:color w:val="FFFFFF"/>
              </w:rPr>
              <w:t>Variances</w:t>
            </w:r>
          </w:p>
          <w:p w14:paraId="5C9BE773" w14:textId="77777777" w:rsidR="003F68EC" w:rsidRPr="003F68EC" w:rsidRDefault="003F68EC" w:rsidP="003F68EC">
            <w:pPr>
              <w:spacing w:line="259" w:lineRule="auto"/>
              <w:jc w:val="center"/>
              <w:rPr>
                <w:rFonts w:eastAsia="Times New Roman"/>
                <w:color w:val="FFFFFF"/>
              </w:rPr>
            </w:pPr>
          </w:p>
          <w:p w14:paraId="640B0868" w14:textId="77777777" w:rsidR="003F68EC" w:rsidRPr="003F68EC" w:rsidRDefault="003F68EC" w:rsidP="003F68EC">
            <w:pPr>
              <w:spacing w:line="259" w:lineRule="auto"/>
              <w:jc w:val="right"/>
              <w:rPr>
                <w:rFonts w:eastAsia="Times New Roman"/>
                <w:color w:val="FFFFFF"/>
              </w:rPr>
            </w:pPr>
            <w:r w:rsidRPr="003F68EC">
              <w:rPr>
                <w:rFonts w:eastAsia="Times New Roman"/>
                <w:color w:val="FFFFFF"/>
              </w:rPr>
              <w:t>£’000</w:t>
            </w:r>
          </w:p>
        </w:tc>
        <w:tc>
          <w:tcPr>
            <w:tcW w:w="1455" w:type="dxa"/>
          </w:tcPr>
          <w:p w14:paraId="164E71A0" w14:textId="77777777" w:rsidR="003F68EC" w:rsidRPr="003F68EC" w:rsidRDefault="003F68EC" w:rsidP="003F68EC">
            <w:pPr>
              <w:spacing w:line="259" w:lineRule="auto"/>
              <w:jc w:val="right"/>
              <w:rPr>
                <w:rFonts w:eastAsia="Times New Roman"/>
                <w:color w:val="FFFFFF"/>
              </w:rPr>
            </w:pPr>
            <w:r w:rsidRPr="003F68EC">
              <w:rPr>
                <w:rFonts w:eastAsia="Times New Roman"/>
                <w:color w:val="FFFFFF"/>
              </w:rPr>
              <w:t>Funds Released</w:t>
            </w:r>
          </w:p>
          <w:p w14:paraId="5A69B38E" w14:textId="77777777" w:rsidR="003F68EC" w:rsidRPr="003F68EC" w:rsidRDefault="003F68EC" w:rsidP="003F68EC">
            <w:pPr>
              <w:spacing w:line="259" w:lineRule="auto"/>
              <w:jc w:val="right"/>
              <w:rPr>
                <w:rFonts w:eastAsia="Times New Roman"/>
                <w:color w:val="FFFFFF"/>
              </w:rPr>
            </w:pPr>
            <w:r w:rsidRPr="003F68EC">
              <w:rPr>
                <w:rFonts w:eastAsia="Times New Roman"/>
                <w:color w:val="FFFFFF"/>
              </w:rPr>
              <w:t>£’000</w:t>
            </w:r>
          </w:p>
        </w:tc>
        <w:tc>
          <w:tcPr>
            <w:tcW w:w="1455" w:type="dxa"/>
          </w:tcPr>
          <w:p w14:paraId="241A43C7" w14:textId="77777777" w:rsidR="003F68EC" w:rsidRPr="003F68EC" w:rsidRDefault="003F68EC" w:rsidP="003F68EC">
            <w:pPr>
              <w:spacing w:line="259" w:lineRule="auto"/>
              <w:jc w:val="right"/>
              <w:rPr>
                <w:rFonts w:eastAsia="Times New Roman"/>
                <w:color w:val="FFFFFF"/>
              </w:rPr>
            </w:pPr>
            <w:r w:rsidRPr="003F68EC">
              <w:rPr>
                <w:rFonts w:eastAsia="Times New Roman"/>
                <w:color w:val="FFFFFF"/>
              </w:rPr>
              <w:t>Funds Provided</w:t>
            </w:r>
          </w:p>
          <w:p w14:paraId="1EA6E011" w14:textId="77777777" w:rsidR="003F68EC" w:rsidRPr="003F68EC" w:rsidRDefault="003F68EC" w:rsidP="003F68EC">
            <w:pPr>
              <w:spacing w:line="259" w:lineRule="auto"/>
              <w:jc w:val="right"/>
              <w:rPr>
                <w:rFonts w:eastAsia="Times New Roman"/>
                <w:color w:val="FFFFFF"/>
              </w:rPr>
            </w:pPr>
            <w:r w:rsidRPr="003F68EC">
              <w:rPr>
                <w:rFonts w:eastAsia="Times New Roman"/>
                <w:color w:val="FFFFFF"/>
              </w:rPr>
              <w:t>£’000</w:t>
            </w:r>
          </w:p>
        </w:tc>
        <w:tc>
          <w:tcPr>
            <w:tcW w:w="1455" w:type="dxa"/>
          </w:tcPr>
          <w:p w14:paraId="02EEBD8D" w14:textId="77777777" w:rsidR="003F68EC" w:rsidRPr="003F68EC" w:rsidRDefault="003F68EC" w:rsidP="003F68EC">
            <w:pPr>
              <w:spacing w:line="259" w:lineRule="auto"/>
              <w:jc w:val="right"/>
              <w:rPr>
                <w:rFonts w:eastAsia="Times New Roman"/>
                <w:color w:val="FFFFFF"/>
              </w:rPr>
            </w:pPr>
            <w:r w:rsidRPr="003F68EC">
              <w:rPr>
                <w:rFonts w:eastAsia="Times New Roman"/>
                <w:color w:val="FFFFFF"/>
              </w:rPr>
              <w:t>Final Variances</w:t>
            </w:r>
          </w:p>
          <w:p w14:paraId="1BEA87BE" w14:textId="77777777" w:rsidR="003F68EC" w:rsidRPr="003F68EC" w:rsidRDefault="003F68EC" w:rsidP="003F68EC">
            <w:pPr>
              <w:spacing w:line="259" w:lineRule="auto"/>
              <w:jc w:val="right"/>
              <w:rPr>
                <w:rFonts w:eastAsia="Times New Roman"/>
                <w:color w:val="FFFFFF"/>
              </w:rPr>
            </w:pPr>
            <w:r w:rsidRPr="003F68EC">
              <w:rPr>
                <w:rFonts w:eastAsia="Times New Roman"/>
                <w:color w:val="FFFFFF"/>
              </w:rPr>
              <w:t>£’000</w:t>
            </w:r>
          </w:p>
        </w:tc>
      </w:tr>
      <w:tr w:rsidR="003F68EC" w:rsidRPr="003F68EC" w14:paraId="224D7A11" w14:textId="77777777" w:rsidTr="003F68EC">
        <w:trPr>
          <w:cnfStyle w:val="000000100000" w:firstRow="0" w:lastRow="0" w:firstColumn="0" w:lastColumn="0" w:oddVBand="0" w:evenVBand="0" w:oddHBand="1" w:evenHBand="0" w:firstRowFirstColumn="0" w:firstRowLastColumn="0" w:lastRowFirstColumn="0" w:lastRowLastColumn="0"/>
        </w:trPr>
        <w:tc>
          <w:tcPr>
            <w:tcW w:w="3197" w:type="dxa"/>
          </w:tcPr>
          <w:p w14:paraId="6026E9C4" w14:textId="77777777" w:rsidR="003F68EC" w:rsidRPr="003F68EC" w:rsidRDefault="003F68EC" w:rsidP="003F68EC">
            <w:pPr>
              <w:spacing w:line="259" w:lineRule="auto"/>
              <w:rPr>
                <w:rFonts w:eastAsia="Times New Roman"/>
              </w:rPr>
            </w:pPr>
            <w:r w:rsidRPr="003F68EC">
              <w:rPr>
                <w:rFonts w:eastAsia="Times New Roman"/>
              </w:rPr>
              <w:t>National Pay Award</w:t>
            </w:r>
          </w:p>
        </w:tc>
        <w:tc>
          <w:tcPr>
            <w:tcW w:w="1454" w:type="dxa"/>
          </w:tcPr>
          <w:p w14:paraId="4FE2FB90" w14:textId="77777777" w:rsidR="003F68EC" w:rsidRPr="003F68EC" w:rsidRDefault="003F68EC" w:rsidP="003F68EC">
            <w:pPr>
              <w:spacing w:line="259" w:lineRule="auto"/>
              <w:jc w:val="right"/>
              <w:rPr>
                <w:rFonts w:eastAsia="Times New Roman"/>
              </w:rPr>
            </w:pPr>
            <w:r w:rsidRPr="003F68EC">
              <w:rPr>
                <w:rFonts w:eastAsia="Times New Roman"/>
              </w:rPr>
              <w:t>1,798 </w:t>
            </w:r>
          </w:p>
        </w:tc>
        <w:tc>
          <w:tcPr>
            <w:tcW w:w="1455" w:type="dxa"/>
          </w:tcPr>
          <w:p w14:paraId="51D9AAB6" w14:textId="77777777" w:rsidR="003F68EC" w:rsidRPr="003F68EC" w:rsidRDefault="003F68EC" w:rsidP="003F68EC">
            <w:pPr>
              <w:spacing w:line="259" w:lineRule="auto"/>
              <w:jc w:val="right"/>
              <w:rPr>
                <w:rFonts w:eastAsia="Times New Roman"/>
              </w:rPr>
            </w:pPr>
            <w:r w:rsidRPr="003F68EC">
              <w:rPr>
                <w:rFonts w:eastAsia="Times New Roman"/>
              </w:rPr>
              <w:t>1,798 </w:t>
            </w:r>
          </w:p>
        </w:tc>
        <w:tc>
          <w:tcPr>
            <w:tcW w:w="1455" w:type="dxa"/>
          </w:tcPr>
          <w:p w14:paraId="2676FB6F" w14:textId="77777777" w:rsidR="003F68EC" w:rsidRPr="003F68EC" w:rsidRDefault="003F68EC" w:rsidP="003F68EC">
            <w:pPr>
              <w:spacing w:line="259" w:lineRule="auto"/>
              <w:jc w:val="right"/>
              <w:rPr>
                <w:rFonts w:eastAsia="Times New Roman"/>
              </w:rPr>
            </w:pPr>
            <w:r w:rsidRPr="003F68EC">
              <w:rPr>
                <w:rFonts w:eastAsia="Times New Roman"/>
              </w:rPr>
              <w:t>250</w:t>
            </w:r>
          </w:p>
        </w:tc>
        <w:tc>
          <w:tcPr>
            <w:tcW w:w="1455" w:type="dxa"/>
          </w:tcPr>
          <w:p w14:paraId="3D9899B5" w14:textId="77777777" w:rsidR="003F68EC" w:rsidRPr="003F68EC" w:rsidRDefault="003F68EC" w:rsidP="003F68EC">
            <w:pPr>
              <w:spacing w:line="259" w:lineRule="auto"/>
              <w:jc w:val="right"/>
              <w:rPr>
                <w:rFonts w:eastAsia="Times New Roman"/>
              </w:rPr>
            </w:pPr>
            <w:r w:rsidRPr="003F68EC">
              <w:rPr>
                <w:rFonts w:eastAsia="Times New Roman"/>
              </w:rPr>
              <w:t>250 </w:t>
            </w:r>
          </w:p>
        </w:tc>
      </w:tr>
      <w:tr w:rsidR="003F68EC" w:rsidRPr="003F68EC" w14:paraId="0203CAC6" w14:textId="77777777" w:rsidTr="007311E5">
        <w:tc>
          <w:tcPr>
            <w:tcW w:w="3197" w:type="dxa"/>
          </w:tcPr>
          <w:p w14:paraId="11509254" w14:textId="77777777" w:rsidR="003F68EC" w:rsidRPr="003F68EC" w:rsidRDefault="003F68EC" w:rsidP="003F68EC">
            <w:pPr>
              <w:spacing w:line="259" w:lineRule="auto"/>
              <w:rPr>
                <w:rFonts w:eastAsia="Times New Roman"/>
              </w:rPr>
            </w:pPr>
            <w:r w:rsidRPr="003F68EC">
              <w:rPr>
                <w:rFonts w:eastAsia="Times New Roman"/>
              </w:rPr>
              <w:t>Local Pay Award</w:t>
            </w:r>
          </w:p>
        </w:tc>
        <w:tc>
          <w:tcPr>
            <w:tcW w:w="1454" w:type="dxa"/>
          </w:tcPr>
          <w:p w14:paraId="5B0A642D" w14:textId="77777777" w:rsidR="003F68EC" w:rsidRPr="003F68EC" w:rsidRDefault="003F68EC" w:rsidP="003F68EC">
            <w:pPr>
              <w:spacing w:line="259" w:lineRule="auto"/>
              <w:jc w:val="right"/>
              <w:rPr>
                <w:rFonts w:eastAsia="Times New Roman"/>
              </w:rPr>
            </w:pPr>
            <w:r w:rsidRPr="003F68EC">
              <w:rPr>
                <w:rFonts w:eastAsia="Times New Roman"/>
              </w:rPr>
              <w:t>1,718 </w:t>
            </w:r>
          </w:p>
        </w:tc>
        <w:tc>
          <w:tcPr>
            <w:tcW w:w="1455" w:type="dxa"/>
          </w:tcPr>
          <w:p w14:paraId="38B1ED03" w14:textId="77777777" w:rsidR="003F68EC" w:rsidRPr="003F68EC" w:rsidRDefault="003F68EC" w:rsidP="003F68EC">
            <w:pPr>
              <w:spacing w:line="259" w:lineRule="auto"/>
              <w:jc w:val="right"/>
              <w:rPr>
                <w:rFonts w:eastAsia="Times New Roman"/>
              </w:rPr>
            </w:pPr>
            <w:r w:rsidRPr="003F68EC">
              <w:rPr>
                <w:rFonts w:eastAsia="Times New Roman"/>
              </w:rPr>
              <w:t>1,718 </w:t>
            </w:r>
          </w:p>
        </w:tc>
        <w:tc>
          <w:tcPr>
            <w:tcW w:w="1455" w:type="dxa"/>
          </w:tcPr>
          <w:p w14:paraId="1CDE5DB0" w14:textId="77777777" w:rsidR="003F68EC" w:rsidRPr="003F68EC" w:rsidRDefault="003F68EC" w:rsidP="003F68EC">
            <w:pPr>
              <w:spacing w:line="259" w:lineRule="auto"/>
              <w:jc w:val="right"/>
              <w:rPr>
                <w:rFonts w:eastAsia="Times New Roman"/>
              </w:rPr>
            </w:pPr>
            <w:r w:rsidRPr="003F68EC">
              <w:rPr>
                <w:rFonts w:eastAsia="Times New Roman"/>
              </w:rPr>
              <w:t>0</w:t>
            </w:r>
          </w:p>
        </w:tc>
        <w:tc>
          <w:tcPr>
            <w:tcW w:w="1455" w:type="dxa"/>
          </w:tcPr>
          <w:p w14:paraId="19BCFB5C" w14:textId="77777777" w:rsidR="003F68EC" w:rsidRPr="003F68EC" w:rsidRDefault="003F68EC" w:rsidP="003F68EC">
            <w:pPr>
              <w:spacing w:line="259" w:lineRule="auto"/>
              <w:jc w:val="right"/>
              <w:rPr>
                <w:rFonts w:eastAsia="Times New Roman"/>
              </w:rPr>
            </w:pPr>
            <w:r w:rsidRPr="003F68EC">
              <w:rPr>
                <w:rFonts w:eastAsia="Times New Roman"/>
              </w:rPr>
              <w:t> 0 </w:t>
            </w:r>
          </w:p>
        </w:tc>
      </w:tr>
      <w:tr w:rsidR="003F68EC" w:rsidRPr="003F68EC" w14:paraId="7A411FAA" w14:textId="77777777" w:rsidTr="003F68EC">
        <w:trPr>
          <w:cnfStyle w:val="000000100000" w:firstRow="0" w:lastRow="0" w:firstColumn="0" w:lastColumn="0" w:oddVBand="0" w:evenVBand="0" w:oddHBand="1" w:evenHBand="0" w:firstRowFirstColumn="0" w:firstRowLastColumn="0" w:lastRowFirstColumn="0" w:lastRowLastColumn="0"/>
        </w:trPr>
        <w:tc>
          <w:tcPr>
            <w:tcW w:w="3197" w:type="dxa"/>
          </w:tcPr>
          <w:p w14:paraId="6686B2F1" w14:textId="77777777" w:rsidR="003F68EC" w:rsidRPr="003F68EC" w:rsidRDefault="003F68EC" w:rsidP="003F68EC">
            <w:pPr>
              <w:spacing w:line="259" w:lineRule="auto"/>
              <w:rPr>
                <w:rFonts w:eastAsia="Times New Roman"/>
              </w:rPr>
            </w:pPr>
            <w:r w:rsidRPr="003F68EC">
              <w:rPr>
                <w:rFonts w:eastAsia="Times New Roman"/>
              </w:rPr>
              <w:t>Vacancies</w:t>
            </w:r>
          </w:p>
        </w:tc>
        <w:tc>
          <w:tcPr>
            <w:tcW w:w="1454" w:type="dxa"/>
          </w:tcPr>
          <w:p w14:paraId="588BBD6A" w14:textId="77777777" w:rsidR="003F68EC" w:rsidRPr="003F68EC" w:rsidRDefault="003F68EC" w:rsidP="003F68EC">
            <w:pPr>
              <w:spacing w:line="259" w:lineRule="auto"/>
              <w:jc w:val="right"/>
              <w:rPr>
                <w:rFonts w:eastAsia="Times New Roman"/>
              </w:rPr>
            </w:pPr>
            <w:r w:rsidRPr="003F68EC">
              <w:rPr>
                <w:rFonts w:eastAsia="Times New Roman"/>
              </w:rPr>
              <w:t>(1,034)</w:t>
            </w:r>
          </w:p>
        </w:tc>
        <w:tc>
          <w:tcPr>
            <w:tcW w:w="1455" w:type="dxa"/>
          </w:tcPr>
          <w:p w14:paraId="03EE71A4" w14:textId="77777777" w:rsidR="003F68EC" w:rsidRPr="003F68EC" w:rsidRDefault="003F68EC" w:rsidP="003F68EC">
            <w:pPr>
              <w:spacing w:line="259" w:lineRule="auto"/>
              <w:jc w:val="right"/>
              <w:rPr>
                <w:rFonts w:eastAsia="Times New Roman"/>
              </w:rPr>
            </w:pPr>
            <w:r w:rsidRPr="003F68EC">
              <w:rPr>
                <w:rFonts w:eastAsia="Times New Roman"/>
              </w:rPr>
              <w:t>0 </w:t>
            </w:r>
          </w:p>
        </w:tc>
        <w:tc>
          <w:tcPr>
            <w:tcW w:w="1455" w:type="dxa"/>
          </w:tcPr>
          <w:p w14:paraId="6D8A43CB" w14:textId="77777777" w:rsidR="003F68EC" w:rsidRPr="003F68EC" w:rsidRDefault="003F68EC" w:rsidP="003F68EC">
            <w:pPr>
              <w:spacing w:line="259" w:lineRule="auto"/>
              <w:jc w:val="right"/>
              <w:rPr>
                <w:rFonts w:eastAsia="Times New Roman"/>
              </w:rPr>
            </w:pPr>
            <w:r w:rsidRPr="003F68EC">
              <w:rPr>
                <w:rFonts w:eastAsia="Times New Roman"/>
              </w:rPr>
              <w:t>0</w:t>
            </w:r>
          </w:p>
        </w:tc>
        <w:tc>
          <w:tcPr>
            <w:tcW w:w="1455" w:type="dxa"/>
          </w:tcPr>
          <w:p w14:paraId="6C57AAD2" w14:textId="77777777" w:rsidR="003F68EC" w:rsidRPr="003F68EC" w:rsidRDefault="003F68EC" w:rsidP="003F68EC">
            <w:pPr>
              <w:spacing w:line="259" w:lineRule="auto"/>
              <w:jc w:val="right"/>
              <w:rPr>
                <w:rFonts w:eastAsia="Times New Roman"/>
              </w:rPr>
            </w:pPr>
            <w:r w:rsidRPr="003F68EC">
              <w:rPr>
                <w:rFonts w:eastAsia="Times New Roman"/>
              </w:rPr>
              <w:t>(1,034)</w:t>
            </w:r>
          </w:p>
        </w:tc>
      </w:tr>
      <w:tr w:rsidR="003F68EC" w:rsidRPr="003F68EC" w14:paraId="17308188" w14:textId="77777777" w:rsidTr="007311E5">
        <w:tc>
          <w:tcPr>
            <w:tcW w:w="3197" w:type="dxa"/>
          </w:tcPr>
          <w:p w14:paraId="2F68B3D2" w14:textId="77777777" w:rsidR="003F68EC" w:rsidRPr="003F68EC" w:rsidRDefault="003F68EC" w:rsidP="003F68EC">
            <w:pPr>
              <w:spacing w:line="259" w:lineRule="auto"/>
              <w:rPr>
                <w:rFonts w:eastAsia="Times New Roman"/>
              </w:rPr>
            </w:pPr>
            <w:r w:rsidRPr="003F68EC">
              <w:rPr>
                <w:rFonts w:eastAsia="Times New Roman"/>
              </w:rPr>
              <w:t>Energy</w:t>
            </w:r>
          </w:p>
        </w:tc>
        <w:tc>
          <w:tcPr>
            <w:tcW w:w="1454" w:type="dxa"/>
          </w:tcPr>
          <w:p w14:paraId="5EC74AE4" w14:textId="77777777" w:rsidR="003F68EC" w:rsidRPr="003F68EC" w:rsidRDefault="003F68EC" w:rsidP="003F68EC">
            <w:pPr>
              <w:spacing w:line="259" w:lineRule="auto"/>
              <w:jc w:val="right"/>
              <w:rPr>
                <w:rFonts w:eastAsia="Times New Roman"/>
              </w:rPr>
            </w:pPr>
            <w:r w:rsidRPr="003F68EC">
              <w:rPr>
                <w:rFonts w:eastAsia="Times New Roman"/>
              </w:rPr>
              <w:t>1,631 </w:t>
            </w:r>
          </w:p>
        </w:tc>
        <w:tc>
          <w:tcPr>
            <w:tcW w:w="1455" w:type="dxa"/>
          </w:tcPr>
          <w:p w14:paraId="1E90F13C" w14:textId="77777777" w:rsidR="003F68EC" w:rsidRPr="003F68EC" w:rsidRDefault="003F68EC" w:rsidP="003F68EC">
            <w:pPr>
              <w:spacing w:line="259" w:lineRule="auto"/>
              <w:jc w:val="right"/>
              <w:rPr>
                <w:rFonts w:eastAsia="Times New Roman"/>
              </w:rPr>
            </w:pPr>
            <w:r w:rsidRPr="003F68EC">
              <w:rPr>
                <w:rFonts w:eastAsia="Times New Roman"/>
              </w:rPr>
              <w:t>1,631 </w:t>
            </w:r>
          </w:p>
        </w:tc>
        <w:tc>
          <w:tcPr>
            <w:tcW w:w="1455" w:type="dxa"/>
          </w:tcPr>
          <w:p w14:paraId="39834D8F" w14:textId="77777777" w:rsidR="003F68EC" w:rsidRPr="003F68EC" w:rsidRDefault="003F68EC" w:rsidP="003F68EC">
            <w:pPr>
              <w:spacing w:line="259" w:lineRule="auto"/>
              <w:jc w:val="right"/>
              <w:rPr>
                <w:rFonts w:eastAsia="Times New Roman"/>
              </w:rPr>
            </w:pPr>
            <w:r w:rsidRPr="003F68EC">
              <w:rPr>
                <w:rFonts w:eastAsia="Times New Roman"/>
              </w:rPr>
              <w:t>0</w:t>
            </w:r>
          </w:p>
        </w:tc>
        <w:tc>
          <w:tcPr>
            <w:tcW w:w="1455" w:type="dxa"/>
          </w:tcPr>
          <w:p w14:paraId="7D433AB7" w14:textId="77777777" w:rsidR="003F68EC" w:rsidRPr="003F68EC" w:rsidRDefault="003F68EC" w:rsidP="003F68EC">
            <w:pPr>
              <w:spacing w:line="259" w:lineRule="auto"/>
              <w:jc w:val="right"/>
              <w:rPr>
                <w:rFonts w:eastAsia="Times New Roman"/>
              </w:rPr>
            </w:pPr>
            <w:r w:rsidRPr="003F68EC">
              <w:rPr>
                <w:rFonts w:eastAsia="Times New Roman"/>
              </w:rPr>
              <w:t>0 </w:t>
            </w:r>
          </w:p>
        </w:tc>
      </w:tr>
      <w:tr w:rsidR="003F68EC" w:rsidRPr="003F68EC" w14:paraId="28E3601D" w14:textId="77777777" w:rsidTr="003F68EC">
        <w:trPr>
          <w:cnfStyle w:val="000000100000" w:firstRow="0" w:lastRow="0" w:firstColumn="0" w:lastColumn="0" w:oddVBand="0" w:evenVBand="0" w:oddHBand="1" w:evenHBand="0" w:firstRowFirstColumn="0" w:firstRowLastColumn="0" w:lastRowFirstColumn="0" w:lastRowLastColumn="0"/>
        </w:trPr>
        <w:tc>
          <w:tcPr>
            <w:tcW w:w="3197" w:type="dxa"/>
          </w:tcPr>
          <w:p w14:paraId="3AE60C68" w14:textId="77777777" w:rsidR="003F68EC" w:rsidRPr="003F68EC" w:rsidRDefault="003F68EC" w:rsidP="003F68EC">
            <w:pPr>
              <w:spacing w:line="259" w:lineRule="auto"/>
              <w:rPr>
                <w:rFonts w:eastAsia="Times New Roman"/>
              </w:rPr>
            </w:pPr>
            <w:r w:rsidRPr="003F68EC">
              <w:rPr>
                <w:rFonts w:eastAsia="Times New Roman"/>
              </w:rPr>
              <w:t>North Down Coastal Path</w:t>
            </w:r>
          </w:p>
        </w:tc>
        <w:tc>
          <w:tcPr>
            <w:tcW w:w="1454" w:type="dxa"/>
          </w:tcPr>
          <w:p w14:paraId="2676CEFE" w14:textId="77777777" w:rsidR="003F68EC" w:rsidRPr="003F68EC" w:rsidRDefault="003F68EC" w:rsidP="003F68EC">
            <w:pPr>
              <w:spacing w:line="259" w:lineRule="auto"/>
              <w:jc w:val="right"/>
              <w:rPr>
                <w:rFonts w:eastAsia="Times New Roman"/>
              </w:rPr>
            </w:pPr>
            <w:r w:rsidRPr="003F68EC">
              <w:rPr>
                <w:rFonts w:eastAsia="Times New Roman"/>
              </w:rPr>
              <w:t>184 </w:t>
            </w:r>
          </w:p>
        </w:tc>
        <w:tc>
          <w:tcPr>
            <w:tcW w:w="1455" w:type="dxa"/>
            <w:vAlign w:val="center"/>
          </w:tcPr>
          <w:p w14:paraId="36EFBE9D" w14:textId="77777777" w:rsidR="003F68EC" w:rsidRPr="003F68EC" w:rsidRDefault="003F68EC" w:rsidP="003F68EC">
            <w:pPr>
              <w:spacing w:line="259" w:lineRule="auto"/>
              <w:jc w:val="right"/>
              <w:rPr>
                <w:rFonts w:eastAsia="Times New Roman"/>
              </w:rPr>
            </w:pPr>
            <w:r w:rsidRPr="003F68EC">
              <w:rPr>
                <w:rFonts w:eastAsia="Times New Roman"/>
              </w:rPr>
              <w:t>0 </w:t>
            </w:r>
          </w:p>
        </w:tc>
        <w:tc>
          <w:tcPr>
            <w:tcW w:w="1455" w:type="dxa"/>
          </w:tcPr>
          <w:p w14:paraId="26706CCC" w14:textId="77777777" w:rsidR="003F68EC" w:rsidRPr="003F68EC" w:rsidRDefault="003F68EC" w:rsidP="003F68EC">
            <w:pPr>
              <w:spacing w:line="259" w:lineRule="auto"/>
              <w:jc w:val="right"/>
              <w:rPr>
                <w:rFonts w:eastAsia="Times New Roman"/>
              </w:rPr>
            </w:pPr>
            <w:r w:rsidRPr="003F68EC">
              <w:rPr>
                <w:rFonts w:eastAsia="Times New Roman"/>
              </w:rPr>
              <w:t>0</w:t>
            </w:r>
          </w:p>
        </w:tc>
        <w:tc>
          <w:tcPr>
            <w:tcW w:w="1455" w:type="dxa"/>
          </w:tcPr>
          <w:p w14:paraId="420A86D5" w14:textId="77777777" w:rsidR="003F68EC" w:rsidRPr="003F68EC" w:rsidRDefault="003F68EC" w:rsidP="003F68EC">
            <w:pPr>
              <w:spacing w:line="259" w:lineRule="auto"/>
              <w:jc w:val="right"/>
              <w:rPr>
                <w:rFonts w:eastAsia="Times New Roman"/>
              </w:rPr>
            </w:pPr>
            <w:r w:rsidRPr="003F68EC">
              <w:rPr>
                <w:rFonts w:eastAsia="Times New Roman"/>
              </w:rPr>
              <w:t>184 </w:t>
            </w:r>
          </w:p>
        </w:tc>
      </w:tr>
      <w:tr w:rsidR="003F68EC" w:rsidRPr="003F68EC" w14:paraId="5A136154" w14:textId="77777777" w:rsidTr="007311E5">
        <w:tc>
          <w:tcPr>
            <w:tcW w:w="3197" w:type="dxa"/>
          </w:tcPr>
          <w:p w14:paraId="35EAFDFF" w14:textId="77777777" w:rsidR="003F68EC" w:rsidRPr="003F68EC" w:rsidRDefault="003F68EC" w:rsidP="003F68EC">
            <w:pPr>
              <w:spacing w:line="259" w:lineRule="auto"/>
              <w:rPr>
                <w:rFonts w:eastAsia="Times New Roman"/>
              </w:rPr>
            </w:pPr>
            <w:r w:rsidRPr="003F68EC">
              <w:rPr>
                <w:rFonts w:eastAsia="Times New Roman"/>
              </w:rPr>
              <w:t>Property and Vehicle Maintenance</w:t>
            </w:r>
          </w:p>
        </w:tc>
        <w:tc>
          <w:tcPr>
            <w:tcW w:w="1454" w:type="dxa"/>
          </w:tcPr>
          <w:p w14:paraId="131EE1BA" w14:textId="77777777" w:rsidR="003F68EC" w:rsidRPr="003F68EC" w:rsidRDefault="003F68EC" w:rsidP="003F68EC">
            <w:pPr>
              <w:spacing w:line="259" w:lineRule="auto"/>
              <w:jc w:val="right"/>
              <w:rPr>
                <w:rFonts w:eastAsia="Times New Roman"/>
              </w:rPr>
            </w:pPr>
            <w:r w:rsidRPr="003F68EC">
              <w:rPr>
                <w:rFonts w:eastAsia="Times New Roman"/>
              </w:rPr>
              <w:t>1,044 </w:t>
            </w:r>
          </w:p>
        </w:tc>
        <w:tc>
          <w:tcPr>
            <w:tcW w:w="1455" w:type="dxa"/>
          </w:tcPr>
          <w:p w14:paraId="22C657FE" w14:textId="77777777" w:rsidR="003F68EC" w:rsidRPr="003F68EC" w:rsidRDefault="003F68EC" w:rsidP="003F68EC">
            <w:pPr>
              <w:spacing w:line="259" w:lineRule="auto"/>
              <w:jc w:val="right"/>
              <w:rPr>
                <w:rFonts w:eastAsia="Times New Roman"/>
              </w:rPr>
            </w:pPr>
            <w:r w:rsidRPr="003F68EC">
              <w:rPr>
                <w:rFonts w:eastAsia="Times New Roman"/>
              </w:rPr>
              <w:t>0 </w:t>
            </w:r>
          </w:p>
        </w:tc>
        <w:tc>
          <w:tcPr>
            <w:tcW w:w="1455" w:type="dxa"/>
          </w:tcPr>
          <w:p w14:paraId="2E2A6053" w14:textId="77777777" w:rsidR="003F68EC" w:rsidRPr="003F68EC" w:rsidRDefault="003F68EC" w:rsidP="003F68EC">
            <w:pPr>
              <w:spacing w:line="259" w:lineRule="auto"/>
              <w:jc w:val="right"/>
              <w:rPr>
                <w:rFonts w:eastAsia="Times New Roman"/>
              </w:rPr>
            </w:pPr>
            <w:r w:rsidRPr="003F68EC">
              <w:rPr>
                <w:rFonts w:eastAsia="Times New Roman"/>
              </w:rPr>
              <w:t>0</w:t>
            </w:r>
          </w:p>
        </w:tc>
        <w:tc>
          <w:tcPr>
            <w:tcW w:w="1455" w:type="dxa"/>
          </w:tcPr>
          <w:p w14:paraId="2ABE1AB5" w14:textId="77777777" w:rsidR="003F68EC" w:rsidRPr="003F68EC" w:rsidRDefault="003F68EC" w:rsidP="003F68EC">
            <w:pPr>
              <w:spacing w:line="259" w:lineRule="auto"/>
              <w:jc w:val="right"/>
              <w:rPr>
                <w:rFonts w:eastAsia="Times New Roman"/>
              </w:rPr>
            </w:pPr>
            <w:r w:rsidRPr="003F68EC">
              <w:rPr>
                <w:rFonts w:eastAsia="Times New Roman"/>
              </w:rPr>
              <w:t>1,044 </w:t>
            </w:r>
          </w:p>
        </w:tc>
      </w:tr>
      <w:tr w:rsidR="003F68EC" w:rsidRPr="003F68EC" w14:paraId="67013500" w14:textId="77777777" w:rsidTr="003F68EC">
        <w:trPr>
          <w:cnfStyle w:val="000000100000" w:firstRow="0" w:lastRow="0" w:firstColumn="0" w:lastColumn="0" w:oddVBand="0" w:evenVBand="0" w:oddHBand="1" w:evenHBand="0" w:firstRowFirstColumn="0" w:firstRowLastColumn="0" w:lastRowFirstColumn="0" w:lastRowLastColumn="0"/>
        </w:trPr>
        <w:tc>
          <w:tcPr>
            <w:tcW w:w="3197" w:type="dxa"/>
          </w:tcPr>
          <w:p w14:paraId="3489A99C" w14:textId="77777777" w:rsidR="003F68EC" w:rsidRPr="003F68EC" w:rsidRDefault="003F68EC" w:rsidP="003F68EC">
            <w:pPr>
              <w:spacing w:line="259" w:lineRule="auto"/>
              <w:rPr>
                <w:rFonts w:eastAsia="Times New Roman"/>
              </w:rPr>
            </w:pPr>
            <w:r w:rsidRPr="003F68EC">
              <w:rPr>
                <w:rFonts w:eastAsia="Times New Roman"/>
              </w:rPr>
              <w:t>Additional Grant Income</w:t>
            </w:r>
          </w:p>
        </w:tc>
        <w:tc>
          <w:tcPr>
            <w:tcW w:w="1454" w:type="dxa"/>
          </w:tcPr>
          <w:p w14:paraId="203C9433" w14:textId="77777777" w:rsidR="003F68EC" w:rsidRPr="003F68EC" w:rsidRDefault="003F68EC" w:rsidP="003F68EC">
            <w:pPr>
              <w:spacing w:line="259" w:lineRule="auto"/>
              <w:jc w:val="right"/>
              <w:rPr>
                <w:rFonts w:eastAsia="Times New Roman"/>
              </w:rPr>
            </w:pPr>
            <w:r w:rsidRPr="003F68EC">
              <w:rPr>
                <w:rFonts w:eastAsia="Times New Roman"/>
              </w:rPr>
              <w:t>(879)</w:t>
            </w:r>
          </w:p>
        </w:tc>
        <w:tc>
          <w:tcPr>
            <w:tcW w:w="1455" w:type="dxa"/>
          </w:tcPr>
          <w:p w14:paraId="4F0E29CA" w14:textId="77777777" w:rsidR="003F68EC" w:rsidRPr="003F68EC" w:rsidRDefault="003F68EC" w:rsidP="003F68EC">
            <w:pPr>
              <w:spacing w:line="259" w:lineRule="auto"/>
              <w:jc w:val="right"/>
              <w:rPr>
                <w:rFonts w:eastAsia="Times New Roman"/>
              </w:rPr>
            </w:pPr>
            <w:r w:rsidRPr="003F68EC">
              <w:rPr>
                <w:rFonts w:eastAsia="Times New Roman"/>
              </w:rPr>
              <w:t>0 </w:t>
            </w:r>
          </w:p>
        </w:tc>
        <w:tc>
          <w:tcPr>
            <w:tcW w:w="1455" w:type="dxa"/>
          </w:tcPr>
          <w:p w14:paraId="6D660C3D" w14:textId="77777777" w:rsidR="003F68EC" w:rsidRPr="003F68EC" w:rsidRDefault="003F68EC" w:rsidP="003F68EC">
            <w:pPr>
              <w:spacing w:line="259" w:lineRule="auto"/>
              <w:jc w:val="right"/>
              <w:rPr>
                <w:rFonts w:eastAsia="Times New Roman"/>
              </w:rPr>
            </w:pPr>
            <w:r w:rsidRPr="003F68EC">
              <w:rPr>
                <w:rFonts w:eastAsia="Times New Roman"/>
              </w:rPr>
              <w:t>0</w:t>
            </w:r>
          </w:p>
        </w:tc>
        <w:tc>
          <w:tcPr>
            <w:tcW w:w="1455" w:type="dxa"/>
          </w:tcPr>
          <w:p w14:paraId="7EF0628A" w14:textId="77777777" w:rsidR="003F68EC" w:rsidRPr="003F68EC" w:rsidRDefault="003F68EC" w:rsidP="003F68EC">
            <w:pPr>
              <w:spacing w:line="259" w:lineRule="auto"/>
              <w:jc w:val="right"/>
              <w:rPr>
                <w:rFonts w:eastAsia="Times New Roman"/>
              </w:rPr>
            </w:pPr>
            <w:r w:rsidRPr="003F68EC">
              <w:rPr>
                <w:rFonts w:eastAsia="Times New Roman"/>
              </w:rPr>
              <w:t>(879)</w:t>
            </w:r>
          </w:p>
        </w:tc>
      </w:tr>
      <w:tr w:rsidR="003F68EC" w:rsidRPr="003F68EC" w14:paraId="1FE393B4" w14:textId="77777777" w:rsidTr="007311E5">
        <w:tc>
          <w:tcPr>
            <w:tcW w:w="3197" w:type="dxa"/>
          </w:tcPr>
          <w:p w14:paraId="345B3E5B" w14:textId="77777777" w:rsidR="003F68EC" w:rsidRPr="003F68EC" w:rsidRDefault="003F68EC" w:rsidP="003F68EC">
            <w:pPr>
              <w:spacing w:line="259" w:lineRule="auto"/>
              <w:rPr>
                <w:rFonts w:eastAsia="Times New Roman"/>
              </w:rPr>
            </w:pPr>
            <w:r w:rsidRPr="003F68EC">
              <w:rPr>
                <w:rFonts w:eastAsia="Times New Roman"/>
              </w:rPr>
              <w:t>Additional Service Income</w:t>
            </w:r>
          </w:p>
        </w:tc>
        <w:tc>
          <w:tcPr>
            <w:tcW w:w="1454" w:type="dxa"/>
          </w:tcPr>
          <w:p w14:paraId="2B73FE7A" w14:textId="77777777" w:rsidR="003F68EC" w:rsidRPr="003F68EC" w:rsidRDefault="003F68EC" w:rsidP="003F68EC">
            <w:pPr>
              <w:spacing w:line="259" w:lineRule="auto"/>
              <w:jc w:val="right"/>
              <w:rPr>
                <w:rFonts w:eastAsia="Times New Roman"/>
              </w:rPr>
            </w:pPr>
            <w:r w:rsidRPr="003F68EC">
              <w:rPr>
                <w:rFonts w:eastAsia="Times New Roman"/>
              </w:rPr>
              <w:t>(1,564)</w:t>
            </w:r>
          </w:p>
        </w:tc>
        <w:tc>
          <w:tcPr>
            <w:tcW w:w="1455" w:type="dxa"/>
          </w:tcPr>
          <w:p w14:paraId="1BF66ADC" w14:textId="77777777" w:rsidR="003F68EC" w:rsidRPr="003F68EC" w:rsidRDefault="003F68EC" w:rsidP="003F68EC">
            <w:pPr>
              <w:spacing w:line="259" w:lineRule="auto"/>
              <w:jc w:val="right"/>
              <w:rPr>
                <w:rFonts w:eastAsia="Times New Roman"/>
              </w:rPr>
            </w:pPr>
            <w:r w:rsidRPr="003F68EC">
              <w:rPr>
                <w:rFonts w:eastAsia="Times New Roman"/>
              </w:rPr>
              <w:t>0 </w:t>
            </w:r>
          </w:p>
        </w:tc>
        <w:tc>
          <w:tcPr>
            <w:tcW w:w="1455" w:type="dxa"/>
          </w:tcPr>
          <w:p w14:paraId="576E39E9" w14:textId="77777777" w:rsidR="003F68EC" w:rsidRPr="003F68EC" w:rsidRDefault="003F68EC" w:rsidP="003F68EC">
            <w:pPr>
              <w:spacing w:line="259" w:lineRule="auto"/>
              <w:jc w:val="right"/>
              <w:rPr>
                <w:rFonts w:eastAsia="Times New Roman"/>
              </w:rPr>
            </w:pPr>
            <w:r w:rsidRPr="003F68EC">
              <w:rPr>
                <w:rFonts w:eastAsia="Times New Roman"/>
              </w:rPr>
              <w:t>0 </w:t>
            </w:r>
          </w:p>
        </w:tc>
        <w:tc>
          <w:tcPr>
            <w:tcW w:w="1455" w:type="dxa"/>
          </w:tcPr>
          <w:p w14:paraId="3AB07E21" w14:textId="77777777" w:rsidR="003F68EC" w:rsidRPr="003F68EC" w:rsidRDefault="003F68EC" w:rsidP="003F68EC">
            <w:pPr>
              <w:spacing w:line="259" w:lineRule="auto"/>
              <w:jc w:val="right"/>
              <w:rPr>
                <w:rFonts w:eastAsia="Times New Roman"/>
              </w:rPr>
            </w:pPr>
            <w:r w:rsidRPr="003F68EC">
              <w:rPr>
                <w:rFonts w:eastAsia="Times New Roman"/>
              </w:rPr>
              <w:t>(1,564)</w:t>
            </w:r>
          </w:p>
        </w:tc>
      </w:tr>
      <w:tr w:rsidR="003F68EC" w:rsidRPr="003F68EC" w14:paraId="6E4BEA37" w14:textId="77777777" w:rsidTr="003F68EC">
        <w:trPr>
          <w:cnfStyle w:val="000000100000" w:firstRow="0" w:lastRow="0" w:firstColumn="0" w:lastColumn="0" w:oddVBand="0" w:evenVBand="0" w:oddHBand="1" w:evenHBand="0" w:firstRowFirstColumn="0" w:firstRowLastColumn="0" w:lastRowFirstColumn="0" w:lastRowLastColumn="0"/>
        </w:trPr>
        <w:tc>
          <w:tcPr>
            <w:tcW w:w="3197" w:type="dxa"/>
          </w:tcPr>
          <w:p w14:paraId="78A62074" w14:textId="77777777" w:rsidR="003F68EC" w:rsidRPr="003F68EC" w:rsidRDefault="003F68EC" w:rsidP="003F68EC">
            <w:pPr>
              <w:spacing w:line="259" w:lineRule="auto"/>
              <w:rPr>
                <w:rFonts w:eastAsia="Times New Roman"/>
              </w:rPr>
            </w:pPr>
            <w:r w:rsidRPr="003F68EC">
              <w:rPr>
                <w:rFonts w:eastAsia="Times New Roman"/>
              </w:rPr>
              <w:t>Additional Rates Income</w:t>
            </w:r>
          </w:p>
        </w:tc>
        <w:tc>
          <w:tcPr>
            <w:tcW w:w="1454" w:type="dxa"/>
          </w:tcPr>
          <w:p w14:paraId="1837E799" w14:textId="77777777" w:rsidR="003F68EC" w:rsidRPr="003F68EC" w:rsidRDefault="003F68EC" w:rsidP="003F68EC">
            <w:pPr>
              <w:spacing w:line="259" w:lineRule="auto"/>
              <w:jc w:val="right"/>
              <w:rPr>
                <w:rFonts w:eastAsia="Times New Roman"/>
              </w:rPr>
            </w:pPr>
            <w:r w:rsidRPr="003F68EC">
              <w:rPr>
                <w:rFonts w:eastAsia="Times New Roman"/>
              </w:rPr>
              <w:t>(852)</w:t>
            </w:r>
          </w:p>
        </w:tc>
        <w:tc>
          <w:tcPr>
            <w:tcW w:w="1455" w:type="dxa"/>
          </w:tcPr>
          <w:p w14:paraId="33BC89F6" w14:textId="77777777" w:rsidR="003F68EC" w:rsidRPr="003F68EC" w:rsidRDefault="003F68EC" w:rsidP="003F68EC">
            <w:pPr>
              <w:spacing w:line="259" w:lineRule="auto"/>
              <w:jc w:val="right"/>
              <w:rPr>
                <w:rFonts w:eastAsia="Times New Roman"/>
              </w:rPr>
            </w:pPr>
            <w:r w:rsidRPr="003F68EC">
              <w:rPr>
                <w:rFonts w:eastAsia="Times New Roman"/>
              </w:rPr>
              <w:t>0 </w:t>
            </w:r>
          </w:p>
        </w:tc>
        <w:tc>
          <w:tcPr>
            <w:tcW w:w="1455" w:type="dxa"/>
          </w:tcPr>
          <w:p w14:paraId="630570BE" w14:textId="77777777" w:rsidR="003F68EC" w:rsidRPr="003F68EC" w:rsidRDefault="003F68EC" w:rsidP="003F68EC">
            <w:pPr>
              <w:spacing w:line="259" w:lineRule="auto"/>
              <w:jc w:val="right"/>
              <w:rPr>
                <w:rFonts w:eastAsia="Times New Roman"/>
              </w:rPr>
            </w:pPr>
            <w:r w:rsidRPr="003F68EC">
              <w:rPr>
                <w:rFonts w:eastAsia="Times New Roman"/>
              </w:rPr>
              <w:t>0 </w:t>
            </w:r>
          </w:p>
        </w:tc>
        <w:tc>
          <w:tcPr>
            <w:tcW w:w="1455" w:type="dxa"/>
          </w:tcPr>
          <w:p w14:paraId="62C302B6" w14:textId="77777777" w:rsidR="003F68EC" w:rsidRPr="003F68EC" w:rsidRDefault="003F68EC" w:rsidP="003F68EC">
            <w:pPr>
              <w:spacing w:line="259" w:lineRule="auto"/>
              <w:jc w:val="right"/>
              <w:rPr>
                <w:rFonts w:eastAsia="Times New Roman"/>
              </w:rPr>
            </w:pPr>
            <w:r w:rsidRPr="003F68EC">
              <w:rPr>
                <w:rFonts w:eastAsia="Times New Roman"/>
              </w:rPr>
              <w:t>(852)</w:t>
            </w:r>
          </w:p>
        </w:tc>
      </w:tr>
      <w:tr w:rsidR="003F68EC" w:rsidRPr="003F68EC" w14:paraId="691F6A55" w14:textId="77777777" w:rsidTr="007311E5">
        <w:tc>
          <w:tcPr>
            <w:tcW w:w="3197" w:type="dxa"/>
          </w:tcPr>
          <w:p w14:paraId="7165219C" w14:textId="77777777" w:rsidR="003F68EC" w:rsidRPr="003F68EC" w:rsidRDefault="003F68EC" w:rsidP="003F68EC">
            <w:pPr>
              <w:spacing w:line="259" w:lineRule="auto"/>
              <w:rPr>
                <w:rFonts w:eastAsia="Times New Roman"/>
              </w:rPr>
            </w:pPr>
            <w:r w:rsidRPr="003F68EC">
              <w:rPr>
                <w:rFonts w:eastAsia="Times New Roman"/>
              </w:rPr>
              <w:t>Other Variances</w:t>
            </w:r>
          </w:p>
        </w:tc>
        <w:tc>
          <w:tcPr>
            <w:tcW w:w="1454" w:type="dxa"/>
          </w:tcPr>
          <w:p w14:paraId="4FC75196" w14:textId="77777777" w:rsidR="003F68EC" w:rsidRPr="003F68EC" w:rsidRDefault="003F68EC" w:rsidP="003F68EC">
            <w:pPr>
              <w:spacing w:line="259" w:lineRule="auto"/>
              <w:jc w:val="right"/>
              <w:rPr>
                <w:rFonts w:eastAsia="Times New Roman"/>
              </w:rPr>
            </w:pPr>
            <w:r w:rsidRPr="003F68EC">
              <w:rPr>
                <w:rFonts w:eastAsia="Times New Roman"/>
              </w:rPr>
              <w:t>674 </w:t>
            </w:r>
          </w:p>
        </w:tc>
        <w:tc>
          <w:tcPr>
            <w:tcW w:w="1455" w:type="dxa"/>
          </w:tcPr>
          <w:p w14:paraId="2C91C155" w14:textId="77777777" w:rsidR="003F68EC" w:rsidRPr="003F68EC" w:rsidRDefault="003F68EC" w:rsidP="003F68EC">
            <w:pPr>
              <w:spacing w:line="259" w:lineRule="auto"/>
              <w:jc w:val="right"/>
              <w:rPr>
                <w:rFonts w:eastAsia="Times New Roman"/>
              </w:rPr>
            </w:pPr>
            <w:r w:rsidRPr="003F68EC">
              <w:rPr>
                <w:rFonts w:eastAsia="Times New Roman"/>
              </w:rPr>
              <w:t>824 </w:t>
            </w:r>
          </w:p>
        </w:tc>
        <w:tc>
          <w:tcPr>
            <w:tcW w:w="1455" w:type="dxa"/>
          </w:tcPr>
          <w:p w14:paraId="6EB2AB8C" w14:textId="77777777" w:rsidR="003F68EC" w:rsidRPr="003F68EC" w:rsidRDefault="003F68EC" w:rsidP="003F68EC">
            <w:pPr>
              <w:spacing w:line="259" w:lineRule="auto"/>
              <w:jc w:val="right"/>
              <w:rPr>
                <w:rFonts w:eastAsia="Times New Roman"/>
              </w:rPr>
            </w:pPr>
            <w:r w:rsidRPr="003F68EC">
              <w:rPr>
                <w:rFonts w:eastAsia="Times New Roman"/>
              </w:rPr>
              <w:t>3,045 </w:t>
            </w:r>
          </w:p>
        </w:tc>
        <w:tc>
          <w:tcPr>
            <w:tcW w:w="1455" w:type="dxa"/>
          </w:tcPr>
          <w:p w14:paraId="576C199C" w14:textId="77777777" w:rsidR="003F68EC" w:rsidRPr="003F68EC" w:rsidRDefault="003F68EC" w:rsidP="003F68EC">
            <w:pPr>
              <w:spacing w:line="259" w:lineRule="auto"/>
              <w:jc w:val="right"/>
              <w:rPr>
                <w:rFonts w:eastAsia="Times New Roman"/>
              </w:rPr>
            </w:pPr>
            <w:r w:rsidRPr="003F68EC">
              <w:rPr>
                <w:rFonts w:eastAsia="Times New Roman"/>
              </w:rPr>
              <w:t>2,895 </w:t>
            </w:r>
          </w:p>
        </w:tc>
      </w:tr>
      <w:tr w:rsidR="003F68EC" w:rsidRPr="003F68EC" w14:paraId="35DC438A" w14:textId="77777777" w:rsidTr="003F68EC">
        <w:trPr>
          <w:cnfStyle w:val="000000100000" w:firstRow="0" w:lastRow="0" w:firstColumn="0" w:lastColumn="0" w:oddVBand="0" w:evenVBand="0" w:oddHBand="1" w:evenHBand="0" w:firstRowFirstColumn="0" w:firstRowLastColumn="0" w:lastRowFirstColumn="0" w:lastRowLastColumn="0"/>
        </w:trPr>
        <w:tc>
          <w:tcPr>
            <w:tcW w:w="3197" w:type="dxa"/>
            <w:shd w:val="clear" w:color="auto" w:fill="000000"/>
          </w:tcPr>
          <w:p w14:paraId="753F37F6" w14:textId="77777777" w:rsidR="003F68EC" w:rsidRPr="003F68EC" w:rsidRDefault="003F68EC" w:rsidP="003F68EC">
            <w:pPr>
              <w:spacing w:line="259" w:lineRule="auto"/>
              <w:rPr>
                <w:rFonts w:eastAsia="Times New Roman"/>
                <w:b/>
                <w:bCs/>
                <w:color w:val="FFFFFF"/>
              </w:rPr>
            </w:pPr>
            <w:r w:rsidRPr="003F68EC">
              <w:rPr>
                <w:rFonts w:eastAsia="Times New Roman"/>
                <w:b/>
                <w:bCs/>
                <w:color w:val="FFFFFF"/>
              </w:rPr>
              <w:t>Deficit for the Year</w:t>
            </w:r>
          </w:p>
        </w:tc>
        <w:tc>
          <w:tcPr>
            <w:tcW w:w="1454" w:type="dxa"/>
            <w:shd w:val="clear" w:color="auto" w:fill="000000"/>
          </w:tcPr>
          <w:p w14:paraId="1552C697" w14:textId="77777777" w:rsidR="003F68EC" w:rsidRPr="003F68EC" w:rsidRDefault="003F68EC" w:rsidP="003F68EC">
            <w:pPr>
              <w:spacing w:line="259" w:lineRule="auto"/>
              <w:jc w:val="right"/>
              <w:rPr>
                <w:rFonts w:eastAsia="Times New Roman"/>
                <w:b/>
                <w:bCs/>
                <w:color w:val="FFFFFF"/>
              </w:rPr>
            </w:pPr>
            <w:r w:rsidRPr="003F68EC">
              <w:rPr>
                <w:rFonts w:eastAsia="Times New Roman"/>
                <w:b/>
                <w:bCs/>
                <w:color w:val="FFFFFF"/>
              </w:rPr>
              <w:t>2,720 </w:t>
            </w:r>
          </w:p>
        </w:tc>
        <w:tc>
          <w:tcPr>
            <w:tcW w:w="1455" w:type="dxa"/>
            <w:shd w:val="clear" w:color="auto" w:fill="000000"/>
          </w:tcPr>
          <w:p w14:paraId="239949D3" w14:textId="77777777" w:rsidR="003F68EC" w:rsidRPr="003F68EC" w:rsidRDefault="003F68EC" w:rsidP="003F68EC">
            <w:pPr>
              <w:spacing w:line="259" w:lineRule="auto"/>
              <w:jc w:val="right"/>
              <w:rPr>
                <w:rFonts w:eastAsia="Times New Roman"/>
                <w:b/>
                <w:bCs/>
                <w:color w:val="FFFFFF"/>
              </w:rPr>
            </w:pPr>
            <w:r w:rsidRPr="003F68EC">
              <w:rPr>
                <w:rFonts w:eastAsia="Times New Roman"/>
                <w:b/>
                <w:bCs/>
                <w:color w:val="FFFFFF"/>
              </w:rPr>
              <w:fldChar w:fldCharType="begin"/>
            </w:r>
            <w:r w:rsidRPr="003F68EC">
              <w:rPr>
                <w:rFonts w:eastAsia="Times New Roman"/>
                <w:b/>
                <w:bCs/>
                <w:color w:val="FFFFFF"/>
              </w:rPr>
              <w:instrText xml:space="preserve"> =SUM(ABOVE) </w:instrText>
            </w:r>
            <w:r w:rsidRPr="003F68EC">
              <w:rPr>
                <w:rFonts w:eastAsia="Times New Roman"/>
                <w:b/>
                <w:bCs/>
                <w:color w:val="FFFFFF"/>
              </w:rPr>
              <w:fldChar w:fldCharType="separate"/>
            </w:r>
            <w:r w:rsidRPr="003F68EC">
              <w:rPr>
                <w:rFonts w:eastAsia="Times New Roman"/>
                <w:b/>
                <w:bCs/>
                <w:noProof/>
                <w:color w:val="FFFFFF"/>
              </w:rPr>
              <w:t>5,971</w:t>
            </w:r>
            <w:r w:rsidRPr="003F68EC">
              <w:rPr>
                <w:rFonts w:eastAsia="Times New Roman"/>
                <w:b/>
                <w:bCs/>
                <w:color w:val="FFFFFF"/>
              </w:rPr>
              <w:fldChar w:fldCharType="end"/>
            </w:r>
            <w:r w:rsidRPr="003F68EC">
              <w:rPr>
                <w:rFonts w:eastAsia="Times New Roman"/>
                <w:b/>
                <w:bCs/>
                <w:color w:val="FFFFFF"/>
              </w:rPr>
              <w:t> </w:t>
            </w:r>
          </w:p>
        </w:tc>
        <w:tc>
          <w:tcPr>
            <w:tcW w:w="1455" w:type="dxa"/>
            <w:shd w:val="clear" w:color="auto" w:fill="000000"/>
            <w:vAlign w:val="center"/>
          </w:tcPr>
          <w:p w14:paraId="4AB1FB9E" w14:textId="77777777" w:rsidR="003F68EC" w:rsidRPr="003F68EC" w:rsidRDefault="003F68EC" w:rsidP="003F68EC">
            <w:pPr>
              <w:spacing w:line="259" w:lineRule="auto"/>
              <w:jc w:val="right"/>
              <w:rPr>
                <w:rFonts w:eastAsia="Times New Roman"/>
                <w:b/>
                <w:bCs/>
                <w:color w:val="FFFFFF"/>
              </w:rPr>
            </w:pPr>
            <w:r w:rsidRPr="003F68EC">
              <w:rPr>
                <w:rFonts w:eastAsia="Times New Roman"/>
                <w:b/>
                <w:bCs/>
                <w:color w:val="FFFFFF"/>
              </w:rPr>
              <w:fldChar w:fldCharType="begin"/>
            </w:r>
            <w:r w:rsidRPr="003F68EC">
              <w:rPr>
                <w:rFonts w:eastAsia="Times New Roman"/>
                <w:b/>
                <w:bCs/>
                <w:color w:val="FFFFFF"/>
              </w:rPr>
              <w:instrText xml:space="preserve"> =SUM(ABOVE) </w:instrText>
            </w:r>
            <w:r w:rsidRPr="003F68EC">
              <w:rPr>
                <w:rFonts w:eastAsia="Times New Roman"/>
                <w:b/>
                <w:bCs/>
                <w:color w:val="FFFFFF"/>
              </w:rPr>
              <w:fldChar w:fldCharType="separate"/>
            </w:r>
            <w:r w:rsidRPr="003F68EC">
              <w:rPr>
                <w:rFonts w:eastAsia="Times New Roman"/>
                <w:b/>
                <w:bCs/>
                <w:noProof/>
                <w:color w:val="FFFFFF"/>
              </w:rPr>
              <w:t>3,295</w:t>
            </w:r>
            <w:r w:rsidRPr="003F68EC">
              <w:rPr>
                <w:rFonts w:eastAsia="Times New Roman"/>
                <w:b/>
                <w:bCs/>
                <w:color w:val="FFFFFF"/>
              </w:rPr>
              <w:fldChar w:fldCharType="end"/>
            </w:r>
            <w:r w:rsidRPr="003F68EC">
              <w:rPr>
                <w:rFonts w:eastAsia="Times New Roman"/>
                <w:b/>
                <w:bCs/>
                <w:color w:val="FFFFFF"/>
              </w:rPr>
              <w:t> </w:t>
            </w:r>
          </w:p>
        </w:tc>
        <w:tc>
          <w:tcPr>
            <w:tcW w:w="1455" w:type="dxa"/>
            <w:shd w:val="clear" w:color="auto" w:fill="000000"/>
          </w:tcPr>
          <w:p w14:paraId="290EBFAE" w14:textId="77777777" w:rsidR="003F68EC" w:rsidRPr="003F68EC" w:rsidRDefault="003F68EC" w:rsidP="003F68EC">
            <w:pPr>
              <w:spacing w:line="259" w:lineRule="auto"/>
              <w:jc w:val="right"/>
              <w:rPr>
                <w:rFonts w:eastAsia="Times New Roman"/>
                <w:b/>
                <w:bCs/>
                <w:color w:val="FFFFFF"/>
              </w:rPr>
            </w:pPr>
            <w:r w:rsidRPr="003F68EC">
              <w:rPr>
                <w:rFonts w:eastAsia="Times New Roman"/>
                <w:b/>
                <w:bCs/>
                <w:color w:val="FFFFFF"/>
              </w:rPr>
              <w:t>44 </w:t>
            </w:r>
          </w:p>
        </w:tc>
      </w:tr>
    </w:tbl>
    <w:p w14:paraId="5E17C9FE" w14:textId="77777777" w:rsidR="003F68EC" w:rsidRPr="003F68EC" w:rsidRDefault="003F68EC" w:rsidP="003F68EC">
      <w:pPr>
        <w:spacing w:after="160" w:line="259" w:lineRule="auto"/>
        <w:rPr>
          <w:rFonts w:eastAsia="Times New Roman"/>
          <w:szCs w:val="20"/>
        </w:rPr>
      </w:pPr>
    </w:p>
    <w:p w14:paraId="51ACEC57" w14:textId="5DCBFC7E" w:rsidR="003F68EC" w:rsidRDefault="003F68EC" w:rsidP="00A1680B">
      <w:r w:rsidRPr="003F68EC">
        <w:t>Outstanding Government support brought forward was allowed to be used to assist with mitigating additional expenditure arising from the cost-of -living crisis. This had now all been disbursed during the past year.</w:t>
      </w:r>
    </w:p>
    <w:p w14:paraId="0E250F3B" w14:textId="77777777" w:rsidR="00A1680B" w:rsidRPr="003F68EC" w:rsidRDefault="00A1680B" w:rsidP="00A1680B"/>
    <w:p w14:paraId="71F3A1FD" w14:textId="77777777" w:rsidR="003F68EC" w:rsidRPr="003F68EC" w:rsidRDefault="003F68EC" w:rsidP="00A1680B">
      <w:pPr>
        <w:pStyle w:val="BlockText"/>
      </w:pPr>
      <w:r w:rsidRPr="003F68EC">
        <w:t>The table below set out movements in the Earmarked Fund that had been summarised above.</w:t>
      </w:r>
    </w:p>
    <w:p w14:paraId="2A9A65B1" w14:textId="77777777" w:rsidR="003F68EC" w:rsidRPr="003F68EC" w:rsidRDefault="003F68EC" w:rsidP="003F68EC">
      <w:pPr>
        <w:spacing w:after="160" w:line="259" w:lineRule="auto"/>
        <w:rPr>
          <w:rFonts w:eastAsia="Times New Roman"/>
          <w:szCs w:val="20"/>
        </w:rPr>
      </w:pPr>
    </w:p>
    <w:tbl>
      <w:tblPr>
        <w:tblW w:w="9634" w:type="dxa"/>
        <w:tblLook w:val="04A0" w:firstRow="1" w:lastRow="0" w:firstColumn="1" w:lastColumn="0" w:noHBand="0" w:noVBand="1"/>
      </w:tblPr>
      <w:tblGrid>
        <w:gridCol w:w="5102"/>
        <w:gridCol w:w="1510"/>
        <w:gridCol w:w="1511"/>
        <w:gridCol w:w="1511"/>
      </w:tblGrid>
      <w:tr w:rsidR="003F68EC" w:rsidRPr="003F68EC" w14:paraId="65226CB5" w14:textId="77777777" w:rsidTr="003F68EC">
        <w:trPr>
          <w:trHeight w:val="300"/>
          <w:tblHeader/>
        </w:trPr>
        <w:tc>
          <w:tcPr>
            <w:tcW w:w="5102" w:type="dxa"/>
            <w:tcBorders>
              <w:top w:val="single" w:sz="4" w:space="0" w:color="A6A6A6"/>
              <w:left w:val="single" w:sz="4" w:space="0" w:color="A6A6A6"/>
              <w:bottom w:val="single" w:sz="4" w:space="0" w:color="A6A6A6"/>
              <w:right w:val="single" w:sz="4" w:space="0" w:color="A6A6A6"/>
            </w:tcBorders>
            <w:shd w:val="clear" w:color="auto" w:fill="4472C4"/>
            <w:noWrap/>
            <w:vAlign w:val="center"/>
          </w:tcPr>
          <w:p w14:paraId="003BF7AB" w14:textId="77777777" w:rsidR="003F68EC" w:rsidRPr="003F68EC" w:rsidRDefault="003F68EC" w:rsidP="003F68EC">
            <w:pPr>
              <w:rPr>
                <w:rFonts w:eastAsia="Times New Roman" w:cs="Arial"/>
                <w:color w:val="FFFFFF"/>
                <w:sz w:val="22"/>
                <w:lang w:eastAsia="en-GB"/>
              </w:rPr>
            </w:pPr>
          </w:p>
        </w:tc>
        <w:tc>
          <w:tcPr>
            <w:tcW w:w="1510" w:type="dxa"/>
            <w:shd w:val="clear" w:color="auto" w:fill="4472C4"/>
            <w:vAlign w:val="center"/>
          </w:tcPr>
          <w:p w14:paraId="17990FB9" w14:textId="77777777" w:rsidR="003F68EC" w:rsidRPr="003F68EC" w:rsidRDefault="003F68EC" w:rsidP="003F68EC">
            <w:pPr>
              <w:spacing w:line="259" w:lineRule="auto"/>
              <w:jc w:val="center"/>
              <w:rPr>
                <w:rFonts w:eastAsia="Times New Roman" w:cs="Arial"/>
                <w:b/>
                <w:bCs/>
                <w:color w:val="FFFFFF"/>
                <w:sz w:val="22"/>
              </w:rPr>
            </w:pPr>
            <w:r w:rsidRPr="003F68EC">
              <w:rPr>
                <w:rFonts w:eastAsia="Times New Roman" w:cs="Arial"/>
                <w:b/>
                <w:bCs/>
                <w:color w:val="FFFFFF"/>
                <w:sz w:val="22"/>
              </w:rPr>
              <w:t>Opening Balance</w:t>
            </w:r>
          </w:p>
          <w:p w14:paraId="65FCF350" w14:textId="77777777" w:rsidR="003F68EC" w:rsidRPr="003F68EC" w:rsidRDefault="003F68EC" w:rsidP="003F68EC">
            <w:pPr>
              <w:spacing w:line="259" w:lineRule="auto"/>
              <w:jc w:val="center"/>
              <w:rPr>
                <w:rFonts w:eastAsia="Times New Roman" w:cs="Arial"/>
                <w:b/>
                <w:bCs/>
                <w:color w:val="FFFFFF"/>
                <w:sz w:val="22"/>
              </w:rPr>
            </w:pPr>
            <w:r w:rsidRPr="003F68EC">
              <w:rPr>
                <w:rFonts w:eastAsia="Times New Roman" w:cs="Arial"/>
                <w:b/>
                <w:bCs/>
                <w:color w:val="FFFFFF"/>
                <w:sz w:val="22"/>
              </w:rPr>
              <w:t>£</w:t>
            </w:r>
          </w:p>
        </w:tc>
        <w:tc>
          <w:tcPr>
            <w:tcW w:w="1511" w:type="dxa"/>
            <w:shd w:val="clear" w:color="auto" w:fill="4472C4"/>
            <w:vAlign w:val="center"/>
          </w:tcPr>
          <w:p w14:paraId="340F3ABB" w14:textId="77777777" w:rsidR="003F68EC" w:rsidRPr="003F68EC" w:rsidRDefault="003F68EC" w:rsidP="003F68EC">
            <w:pPr>
              <w:spacing w:line="259" w:lineRule="auto"/>
              <w:jc w:val="center"/>
              <w:rPr>
                <w:rFonts w:eastAsia="Times New Roman" w:cs="Arial"/>
                <w:b/>
                <w:bCs/>
                <w:color w:val="FFFFFF"/>
                <w:sz w:val="22"/>
              </w:rPr>
            </w:pPr>
            <w:r w:rsidRPr="003F68EC">
              <w:rPr>
                <w:rFonts w:eastAsia="Times New Roman" w:cs="Arial"/>
                <w:b/>
                <w:bCs/>
                <w:color w:val="FFFFFF"/>
                <w:sz w:val="22"/>
              </w:rPr>
              <w:t>Net Transfers In or (Out)</w:t>
            </w:r>
          </w:p>
          <w:p w14:paraId="474CEEDA" w14:textId="77777777" w:rsidR="003F68EC" w:rsidRPr="003F68EC" w:rsidRDefault="003F68EC" w:rsidP="003F68EC">
            <w:pPr>
              <w:spacing w:line="259" w:lineRule="auto"/>
              <w:jc w:val="center"/>
              <w:rPr>
                <w:rFonts w:eastAsia="Times New Roman" w:cs="Arial"/>
                <w:b/>
                <w:bCs/>
                <w:color w:val="FFFFFF"/>
                <w:sz w:val="22"/>
              </w:rPr>
            </w:pPr>
            <w:r w:rsidRPr="003F68EC">
              <w:rPr>
                <w:rFonts w:eastAsia="Times New Roman" w:cs="Arial"/>
                <w:b/>
                <w:bCs/>
                <w:color w:val="FFFFFF"/>
                <w:sz w:val="22"/>
              </w:rPr>
              <w:t>£</w:t>
            </w:r>
          </w:p>
        </w:tc>
        <w:tc>
          <w:tcPr>
            <w:tcW w:w="1511" w:type="dxa"/>
            <w:shd w:val="clear" w:color="auto" w:fill="4472C4"/>
            <w:vAlign w:val="center"/>
          </w:tcPr>
          <w:p w14:paraId="6D73EFA5" w14:textId="77777777" w:rsidR="003F68EC" w:rsidRPr="003F68EC" w:rsidRDefault="003F68EC" w:rsidP="003F68EC">
            <w:pPr>
              <w:spacing w:line="259" w:lineRule="auto"/>
              <w:jc w:val="center"/>
              <w:rPr>
                <w:rFonts w:eastAsia="Times New Roman" w:cs="Arial"/>
                <w:b/>
                <w:bCs/>
                <w:color w:val="FFFFFF"/>
                <w:sz w:val="22"/>
              </w:rPr>
            </w:pPr>
            <w:r w:rsidRPr="003F68EC">
              <w:rPr>
                <w:rFonts w:eastAsia="Times New Roman" w:cs="Arial"/>
                <w:b/>
                <w:bCs/>
                <w:color w:val="FFFFFF"/>
                <w:sz w:val="22"/>
              </w:rPr>
              <w:t>Closing Balance</w:t>
            </w:r>
          </w:p>
          <w:p w14:paraId="13BD6D9A" w14:textId="77777777" w:rsidR="003F68EC" w:rsidRPr="003F68EC" w:rsidRDefault="003F68EC" w:rsidP="003F68EC">
            <w:pPr>
              <w:spacing w:line="259" w:lineRule="auto"/>
              <w:jc w:val="center"/>
              <w:rPr>
                <w:rFonts w:eastAsia="Times New Roman" w:cs="Arial"/>
                <w:b/>
                <w:bCs/>
                <w:color w:val="FFFFFF"/>
                <w:sz w:val="22"/>
              </w:rPr>
            </w:pPr>
            <w:r w:rsidRPr="003F68EC">
              <w:rPr>
                <w:rFonts w:eastAsia="Times New Roman" w:cs="Arial"/>
                <w:b/>
                <w:bCs/>
                <w:color w:val="FFFFFF"/>
                <w:sz w:val="22"/>
              </w:rPr>
              <w:t>£</w:t>
            </w:r>
          </w:p>
        </w:tc>
      </w:tr>
      <w:tr w:rsidR="003F68EC" w:rsidRPr="003F68EC" w14:paraId="022FCF8A" w14:textId="77777777" w:rsidTr="003F68EC">
        <w:trPr>
          <w:trHeight w:val="340"/>
        </w:trPr>
        <w:tc>
          <w:tcPr>
            <w:tcW w:w="5102" w:type="dxa"/>
            <w:tcBorders>
              <w:top w:val="single" w:sz="4" w:space="0" w:color="A6A6A6"/>
              <w:left w:val="single" w:sz="4" w:space="0" w:color="A6A6A6"/>
              <w:bottom w:val="single" w:sz="4" w:space="0" w:color="A6A6A6"/>
              <w:right w:val="single" w:sz="4" w:space="0" w:color="A6A6A6"/>
            </w:tcBorders>
            <w:shd w:val="clear" w:color="auto" w:fill="D9D9D9"/>
            <w:noWrap/>
            <w:vAlign w:val="center"/>
          </w:tcPr>
          <w:p w14:paraId="74B14BB2" w14:textId="77777777" w:rsidR="003F68EC" w:rsidRPr="003F68EC" w:rsidRDefault="003F68EC" w:rsidP="003F68EC">
            <w:pPr>
              <w:rPr>
                <w:rFonts w:eastAsia="Times New Roman" w:cs="Arial"/>
                <w:b/>
                <w:bCs/>
                <w:szCs w:val="24"/>
                <w:lang w:eastAsia="en-GB"/>
              </w:rPr>
            </w:pPr>
            <w:r w:rsidRPr="003F68EC">
              <w:rPr>
                <w:rFonts w:eastAsia="Times New Roman" w:cs="Arial"/>
                <w:b/>
                <w:bCs/>
                <w:szCs w:val="24"/>
                <w:lang w:eastAsia="en-GB"/>
              </w:rPr>
              <w:t>Continencies</w:t>
            </w:r>
          </w:p>
        </w:tc>
        <w:tc>
          <w:tcPr>
            <w:tcW w:w="1510" w:type="dxa"/>
            <w:shd w:val="clear" w:color="auto" w:fill="D9D9D9"/>
            <w:vAlign w:val="center"/>
          </w:tcPr>
          <w:p w14:paraId="50B1D3BD" w14:textId="77777777" w:rsidR="003F68EC" w:rsidRPr="003F68EC" w:rsidRDefault="003F68EC" w:rsidP="003F68EC">
            <w:pPr>
              <w:spacing w:line="259" w:lineRule="auto"/>
              <w:jc w:val="center"/>
              <w:rPr>
                <w:rFonts w:eastAsia="Times New Roman" w:cs="Arial"/>
                <w:b/>
                <w:bCs/>
                <w:szCs w:val="24"/>
              </w:rPr>
            </w:pPr>
          </w:p>
        </w:tc>
        <w:tc>
          <w:tcPr>
            <w:tcW w:w="1511" w:type="dxa"/>
            <w:shd w:val="clear" w:color="auto" w:fill="D9D9D9"/>
            <w:vAlign w:val="center"/>
          </w:tcPr>
          <w:p w14:paraId="5114DF0A" w14:textId="77777777" w:rsidR="003F68EC" w:rsidRPr="003F68EC" w:rsidRDefault="003F68EC" w:rsidP="003F68EC">
            <w:pPr>
              <w:spacing w:line="259" w:lineRule="auto"/>
              <w:jc w:val="center"/>
              <w:rPr>
                <w:rFonts w:eastAsia="Times New Roman" w:cs="Arial"/>
                <w:b/>
                <w:bCs/>
                <w:szCs w:val="24"/>
              </w:rPr>
            </w:pPr>
          </w:p>
        </w:tc>
        <w:tc>
          <w:tcPr>
            <w:tcW w:w="1511" w:type="dxa"/>
            <w:shd w:val="clear" w:color="auto" w:fill="D9D9D9"/>
            <w:vAlign w:val="center"/>
          </w:tcPr>
          <w:p w14:paraId="28BD5342" w14:textId="77777777" w:rsidR="003F68EC" w:rsidRPr="003F68EC" w:rsidRDefault="003F68EC" w:rsidP="003F68EC">
            <w:pPr>
              <w:spacing w:line="259" w:lineRule="auto"/>
              <w:jc w:val="center"/>
              <w:rPr>
                <w:rFonts w:eastAsia="Times New Roman" w:cs="Arial"/>
                <w:b/>
                <w:bCs/>
                <w:szCs w:val="24"/>
              </w:rPr>
            </w:pPr>
          </w:p>
        </w:tc>
      </w:tr>
      <w:tr w:rsidR="003F68EC" w:rsidRPr="003F68EC" w14:paraId="13C90980" w14:textId="77777777" w:rsidTr="007311E5">
        <w:trPr>
          <w:trHeight w:val="340"/>
        </w:trPr>
        <w:tc>
          <w:tcPr>
            <w:tcW w:w="5102" w:type="dxa"/>
            <w:tcBorders>
              <w:top w:val="single" w:sz="4" w:space="0" w:color="A6A6A6"/>
              <w:left w:val="single" w:sz="4" w:space="0" w:color="A6A6A6"/>
              <w:bottom w:val="single" w:sz="4" w:space="0" w:color="A6A6A6"/>
              <w:right w:val="single" w:sz="4" w:space="0" w:color="A6A6A6"/>
            </w:tcBorders>
            <w:noWrap/>
            <w:vAlign w:val="center"/>
            <w:hideMark/>
          </w:tcPr>
          <w:p w14:paraId="7F399C53"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Bangor Aurora - dilapidation works</w:t>
            </w:r>
          </w:p>
        </w:tc>
        <w:tc>
          <w:tcPr>
            <w:tcW w:w="1510" w:type="dxa"/>
            <w:vAlign w:val="center"/>
          </w:tcPr>
          <w:p w14:paraId="602F0906"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185,000</w:t>
            </w:r>
          </w:p>
        </w:tc>
        <w:tc>
          <w:tcPr>
            <w:tcW w:w="1511" w:type="dxa"/>
            <w:vAlign w:val="center"/>
          </w:tcPr>
          <w:p w14:paraId="077A191A"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7221BFD4"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185,000</w:t>
            </w:r>
          </w:p>
        </w:tc>
      </w:tr>
      <w:tr w:rsidR="003F68EC" w:rsidRPr="003F68EC" w14:paraId="09090095"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227E331E"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Bangor Aurora - loss of income claims</w:t>
            </w:r>
          </w:p>
        </w:tc>
        <w:tc>
          <w:tcPr>
            <w:tcW w:w="1510" w:type="dxa"/>
            <w:vAlign w:val="center"/>
          </w:tcPr>
          <w:p w14:paraId="5E7BC18A"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155,000</w:t>
            </w:r>
          </w:p>
        </w:tc>
        <w:tc>
          <w:tcPr>
            <w:tcW w:w="1511" w:type="dxa"/>
            <w:vAlign w:val="center"/>
          </w:tcPr>
          <w:p w14:paraId="4CBCBB73"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7F700F54"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155,000</w:t>
            </w:r>
          </w:p>
        </w:tc>
      </w:tr>
      <w:tr w:rsidR="003F68EC" w:rsidRPr="003F68EC" w14:paraId="36D20922"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3967F95E"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lastRenderedPageBreak/>
              <w:t xml:space="preserve">20/21 Covid 19 – DfC </w:t>
            </w:r>
          </w:p>
        </w:tc>
        <w:tc>
          <w:tcPr>
            <w:tcW w:w="1510" w:type="dxa"/>
            <w:vAlign w:val="center"/>
          </w:tcPr>
          <w:p w14:paraId="64D66F8D"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154,600</w:t>
            </w:r>
          </w:p>
        </w:tc>
        <w:tc>
          <w:tcPr>
            <w:tcW w:w="1511" w:type="dxa"/>
            <w:vAlign w:val="center"/>
          </w:tcPr>
          <w:p w14:paraId="11825D5A"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(154,600)</w:t>
            </w:r>
          </w:p>
        </w:tc>
        <w:tc>
          <w:tcPr>
            <w:tcW w:w="1511" w:type="dxa"/>
            <w:vAlign w:val="center"/>
          </w:tcPr>
          <w:p w14:paraId="5143F31A"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r>
      <w:tr w:rsidR="003F68EC" w:rsidRPr="003F68EC" w14:paraId="683B10C5"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32B52B47"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 xml:space="preserve">21/22 Covid 19 – DfC </w:t>
            </w:r>
          </w:p>
        </w:tc>
        <w:tc>
          <w:tcPr>
            <w:tcW w:w="1510" w:type="dxa"/>
            <w:vAlign w:val="center"/>
          </w:tcPr>
          <w:p w14:paraId="6B4A1908"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1,537,600</w:t>
            </w:r>
          </w:p>
        </w:tc>
        <w:tc>
          <w:tcPr>
            <w:tcW w:w="1511" w:type="dxa"/>
            <w:vAlign w:val="center"/>
          </w:tcPr>
          <w:p w14:paraId="14AF4ABC"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(1,537,600)</w:t>
            </w:r>
          </w:p>
        </w:tc>
        <w:tc>
          <w:tcPr>
            <w:tcW w:w="1511" w:type="dxa"/>
            <w:vAlign w:val="center"/>
          </w:tcPr>
          <w:p w14:paraId="23D2C778"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r>
      <w:tr w:rsidR="003F68EC" w:rsidRPr="003F68EC" w14:paraId="66DFE051"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3CFF4F07"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21/22 Covid 19 Council Contingency Fund</w:t>
            </w:r>
          </w:p>
        </w:tc>
        <w:tc>
          <w:tcPr>
            <w:tcW w:w="1510" w:type="dxa"/>
            <w:vAlign w:val="center"/>
          </w:tcPr>
          <w:p w14:paraId="298783E1"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2,975,000</w:t>
            </w:r>
          </w:p>
        </w:tc>
        <w:tc>
          <w:tcPr>
            <w:tcW w:w="1511" w:type="dxa"/>
            <w:vAlign w:val="center"/>
          </w:tcPr>
          <w:p w14:paraId="4EDB1B64"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(2,975,000)</w:t>
            </w:r>
          </w:p>
        </w:tc>
        <w:tc>
          <w:tcPr>
            <w:tcW w:w="1511" w:type="dxa"/>
            <w:vAlign w:val="center"/>
          </w:tcPr>
          <w:p w14:paraId="46B69E33"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r>
      <w:tr w:rsidR="003F68EC" w:rsidRPr="003F68EC" w14:paraId="56A94B14"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35AD82CE"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 xml:space="preserve">21/22 Covid 19 – DfC marketing &amp; promotion </w:t>
            </w:r>
          </w:p>
        </w:tc>
        <w:tc>
          <w:tcPr>
            <w:tcW w:w="1510" w:type="dxa"/>
            <w:vAlign w:val="center"/>
          </w:tcPr>
          <w:p w14:paraId="5C7FEA95"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60,000</w:t>
            </w:r>
          </w:p>
        </w:tc>
        <w:tc>
          <w:tcPr>
            <w:tcW w:w="1511" w:type="dxa"/>
            <w:vAlign w:val="center"/>
          </w:tcPr>
          <w:p w14:paraId="3257367D"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(60,000)</w:t>
            </w:r>
          </w:p>
        </w:tc>
        <w:tc>
          <w:tcPr>
            <w:tcW w:w="1511" w:type="dxa"/>
            <w:vAlign w:val="center"/>
          </w:tcPr>
          <w:p w14:paraId="56D22383"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r>
      <w:tr w:rsidR="003F68EC" w:rsidRPr="003F68EC" w14:paraId="19386910"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37B22D16"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Incomplete Projects Fund</w:t>
            </w:r>
          </w:p>
        </w:tc>
        <w:tc>
          <w:tcPr>
            <w:tcW w:w="1510" w:type="dxa"/>
            <w:vAlign w:val="center"/>
          </w:tcPr>
          <w:p w14:paraId="49787145"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200,000</w:t>
            </w:r>
          </w:p>
        </w:tc>
        <w:tc>
          <w:tcPr>
            <w:tcW w:w="1511" w:type="dxa"/>
            <w:vAlign w:val="center"/>
          </w:tcPr>
          <w:p w14:paraId="2C9E3A76"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4D3584E7"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200,000</w:t>
            </w:r>
          </w:p>
        </w:tc>
      </w:tr>
      <w:tr w:rsidR="003F68EC" w:rsidRPr="003F68EC" w14:paraId="7734C6F9"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242347CE"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Pay Award Equalisation Fund</w:t>
            </w:r>
          </w:p>
        </w:tc>
        <w:tc>
          <w:tcPr>
            <w:tcW w:w="1510" w:type="dxa"/>
            <w:vAlign w:val="center"/>
          </w:tcPr>
          <w:p w14:paraId="78867E21"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900,000</w:t>
            </w:r>
          </w:p>
        </w:tc>
        <w:tc>
          <w:tcPr>
            <w:tcW w:w="1511" w:type="dxa"/>
            <w:vAlign w:val="center"/>
          </w:tcPr>
          <w:p w14:paraId="5AA19F17"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(650,000)</w:t>
            </w:r>
          </w:p>
        </w:tc>
        <w:tc>
          <w:tcPr>
            <w:tcW w:w="1511" w:type="dxa"/>
            <w:vAlign w:val="center"/>
          </w:tcPr>
          <w:p w14:paraId="05610CCD"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250,000</w:t>
            </w:r>
          </w:p>
        </w:tc>
      </w:tr>
      <w:tr w:rsidR="003F68EC" w:rsidRPr="003F68EC" w14:paraId="6C546F76"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3EC228A1"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Rates Non-domestic Revaluation Fund</w:t>
            </w:r>
          </w:p>
        </w:tc>
        <w:tc>
          <w:tcPr>
            <w:tcW w:w="1510" w:type="dxa"/>
            <w:vAlign w:val="center"/>
          </w:tcPr>
          <w:p w14:paraId="399D912A"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1,200,000</w:t>
            </w:r>
          </w:p>
        </w:tc>
        <w:tc>
          <w:tcPr>
            <w:tcW w:w="1511" w:type="dxa"/>
            <w:vAlign w:val="center"/>
          </w:tcPr>
          <w:p w14:paraId="6CD6C894"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06D9CB2F"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1,200,000</w:t>
            </w:r>
          </w:p>
        </w:tc>
      </w:tr>
      <w:tr w:rsidR="003F68EC" w:rsidRPr="003F68EC" w14:paraId="2063A46D"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7E44F434"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Rates Future Bad Debts Fund</w:t>
            </w:r>
          </w:p>
        </w:tc>
        <w:tc>
          <w:tcPr>
            <w:tcW w:w="1510" w:type="dxa"/>
            <w:vAlign w:val="center"/>
          </w:tcPr>
          <w:p w14:paraId="36597649"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1,200,000</w:t>
            </w:r>
          </w:p>
        </w:tc>
        <w:tc>
          <w:tcPr>
            <w:tcW w:w="1511" w:type="dxa"/>
            <w:vAlign w:val="center"/>
          </w:tcPr>
          <w:p w14:paraId="211BB10D"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3E641418"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1,200,000</w:t>
            </w:r>
          </w:p>
        </w:tc>
      </w:tr>
      <w:tr w:rsidR="003F68EC" w:rsidRPr="003F68EC" w14:paraId="0743BC1D"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29A7BCEB"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Utility Price Fund</w:t>
            </w:r>
          </w:p>
        </w:tc>
        <w:tc>
          <w:tcPr>
            <w:tcW w:w="1510" w:type="dxa"/>
            <w:vAlign w:val="center"/>
          </w:tcPr>
          <w:p w14:paraId="23075C9D"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1,200,000</w:t>
            </w:r>
          </w:p>
        </w:tc>
        <w:tc>
          <w:tcPr>
            <w:tcW w:w="1511" w:type="dxa"/>
            <w:vAlign w:val="center"/>
          </w:tcPr>
          <w:p w14:paraId="6C78B352"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6D844B25"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1,200,000</w:t>
            </w:r>
          </w:p>
        </w:tc>
      </w:tr>
      <w:tr w:rsidR="003F68EC" w:rsidRPr="003F68EC" w14:paraId="2A3ABF26"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4C9446C7"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DfC Hardship Fund</w:t>
            </w:r>
          </w:p>
        </w:tc>
        <w:tc>
          <w:tcPr>
            <w:tcW w:w="1510" w:type="dxa"/>
            <w:vAlign w:val="center"/>
          </w:tcPr>
          <w:p w14:paraId="6F6C1A81"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lang w:eastAsia="en-GB"/>
              </w:rPr>
              <w:t>0</w:t>
            </w:r>
          </w:p>
        </w:tc>
        <w:tc>
          <w:tcPr>
            <w:tcW w:w="1511" w:type="dxa"/>
            <w:vAlign w:val="center"/>
          </w:tcPr>
          <w:p w14:paraId="2141BB61"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344,027</w:t>
            </w:r>
          </w:p>
        </w:tc>
        <w:tc>
          <w:tcPr>
            <w:tcW w:w="1511" w:type="dxa"/>
            <w:vAlign w:val="center"/>
          </w:tcPr>
          <w:p w14:paraId="71BE3D18"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344,027</w:t>
            </w:r>
          </w:p>
        </w:tc>
      </w:tr>
      <w:tr w:rsidR="003F68EC" w:rsidRPr="003F68EC" w14:paraId="6D0CCFB0"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2AC3F158"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Land Registry fees – transferred car parks</w:t>
            </w:r>
          </w:p>
        </w:tc>
        <w:tc>
          <w:tcPr>
            <w:tcW w:w="1510" w:type="dxa"/>
            <w:vAlign w:val="center"/>
          </w:tcPr>
          <w:p w14:paraId="3A0E7CF5"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35,000</w:t>
            </w:r>
          </w:p>
        </w:tc>
        <w:tc>
          <w:tcPr>
            <w:tcW w:w="1511" w:type="dxa"/>
            <w:vAlign w:val="center"/>
          </w:tcPr>
          <w:p w14:paraId="58DCA17D"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232C1420"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35,000</w:t>
            </w:r>
          </w:p>
        </w:tc>
      </w:tr>
      <w:tr w:rsidR="003F68EC" w:rsidRPr="003F68EC" w14:paraId="70D434C3"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1F887865"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Legal Fees re old ALC site</w:t>
            </w:r>
          </w:p>
        </w:tc>
        <w:tc>
          <w:tcPr>
            <w:tcW w:w="1510" w:type="dxa"/>
            <w:vAlign w:val="center"/>
          </w:tcPr>
          <w:p w14:paraId="517F6C12"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22,000</w:t>
            </w:r>
          </w:p>
        </w:tc>
        <w:tc>
          <w:tcPr>
            <w:tcW w:w="1511" w:type="dxa"/>
            <w:vAlign w:val="center"/>
          </w:tcPr>
          <w:p w14:paraId="2061BCEB"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609936B2"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22,000</w:t>
            </w:r>
          </w:p>
        </w:tc>
      </w:tr>
      <w:tr w:rsidR="003F68EC" w:rsidRPr="003F68EC" w14:paraId="0F398356"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17F8FE79"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Bangor Castle Lightning Conductor</w:t>
            </w:r>
          </w:p>
        </w:tc>
        <w:tc>
          <w:tcPr>
            <w:tcW w:w="1510" w:type="dxa"/>
            <w:vAlign w:val="center"/>
          </w:tcPr>
          <w:p w14:paraId="46473582"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62,000</w:t>
            </w:r>
          </w:p>
        </w:tc>
        <w:tc>
          <w:tcPr>
            <w:tcW w:w="1511" w:type="dxa"/>
            <w:vAlign w:val="center"/>
          </w:tcPr>
          <w:p w14:paraId="34DC95FE"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0D72FBFB"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62,000</w:t>
            </w:r>
          </w:p>
        </w:tc>
      </w:tr>
      <w:tr w:rsidR="003F68EC" w:rsidRPr="003F68EC" w14:paraId="38C80EE1" w14:textId="77777777" w:rsidTr="003F68EC">
        <w:trPr>
          <w:trHeight w:val="340"/>
        </w:trPr>
        <w:tc>
          <w:tcPr>
            <w:tcW w:w="5102" w:type="dxa"/>
            <w:tcBorders>
              <w:top w:val="nil"/>
              <w:left w:val="single" w:sz="4" w:space="0" w:color="A6A6A6"/>
              <w:bottom w:val="single" w:sz="4" w:space="0" w:color="A6A6A6"/>
              <w:right w:val="single" w:sz="4" w:space="0" w:color="A6A6A6"/>
            </w:tcBorders>
            <w:shd w:val="clear" w:color="auto" w:fill="D9D9D9"/>
            <w:noWrap/>
            <w:vAlign w:val="center"/>
            <w:hideMark/>
          </w:tcPr>
          <w:p w14:paraId="2C7021BB" w14:textId="77777777" w:rsidR="003F68EC" w:rsidRPr="003F68EC" w:rsidRDefault="003F68EC" w:rsidP="003F68EC">
            <w:pPr>
              <w:rPr>
                <w:rFonts w:eastAsia="Times New Roman" w:cs="Arial"/>
                <w:b/>
                <w:bCs/>
                <w:szCs w:val="24"/>
                <w:lang w:eastAsia="en-GB"/>
              </w:rPr>
            </w:pPr>
            <w:r w:rsidRPr="003F68EC">
              <w:rPr>
                <w:rFonts w:eastAsia="Times New Roman" w:cs="Arial"/>
                <w:b/>
                <w:bCs/>
                <w:szCs w:val="24"/>
                <w:lang w:eastAsia="en-GB"/>
              </w:rPr>
              <w:t> Periodic Expenditure</w:t>
            </w:r>
          </w:p>
        </w:tc>
        <w:tc>
          <w:tcPr>
            <w:tcW w:w="1510" w:type="dxa"/>
            <w:shd w:val="clear" w:color="auto" w:fill="D9D9D9"/>
            <w:vAlign w:val="center"/>
          </w:tcPr>
          <w:p w14:paraId="64CAD235" w14:textId="77777777" w:rsidR="003F68EC" w:rsidRPr="003F68EC" w:rsidRDefault="003F68EC" w:rsidP="003F68EC">
            <w:pPr>
              <w:spacing w:line="259" w:lineRule="auto"/>
              <w:jc w:val="center"/>
              <w:rPr>
                <w:rFonts w:eastAsia="Times New Roman" w:cs="Arial"/>
                <w:szCs w:val="24"/>
                <w:lang w:eastAsia="en-GB"/>
              </w:rPr>
            </w:pPr>
          </w:p>
        </w:tc>
        <w:tc>
          <w:tcPr>
            <w:tcW w:w="1511" w:type="dxa"/>
            <w:shd w:val="clear" w:color="auto" w:fill="D9D9D9"/>
            <w:vAlign w:val="center"/>
          </w:tcPr>
          <w:p w14:paraId="53EF1BD6" w14:textId="77777777" w:rsidR="003F68EC" w:rsidRPr="003F68EC" w:rsidRDefault="003F68EC" w:rsidP="003F68EC">
            <w:pPr>
              <w:spacing w:line="259" w:lineRule="auto"/>
              <w:jc w:val="center"/>
              <w:rPr>
                <w:rFonts w:eastAsia="Times New Roman" w:cs="Arial"/>
                <w:szCs w:val="24"/>
                <w:lang w:eastAsia="en-GB"/>
              </w:rPr>
            </w:pPr>
          </w:p>
        </w:tc>
        <w:tc>
          <w:tcPr>
            <w:tcW w:w="1511" w:type="dxa"/>
            <w:shd w:val="clear" w:color="auto" w:fill="D9D9D9"/>
            <w:vAlign w:val="center"/>
          </w:tcPr>
          <w:p w14:paraId="170BBFC1" w14:textId="77777777" w:rsidR="003F68EC" w:rsidRPr="003F68EC" w:rsidRDefault="003F68EC" w:rsidP="003F68EC">
            <w:pPr>
              <w:spacing w:line="259" w:lineRule="auto"/>
              <w:jc w:val="center"/>
              <w:rPr>
                <w:rFonts w:eastAsia="Times New Roman" w:cs="Arial"/>
                <w:szCs w:val="24"/>
                <w:lang w:eastAsia="en-GB"/>
              </w:rPr>
            </w:pPr>
          </w:p>
        </w:tc>
      </w:tr>
      <w:tr w:rsidR="003F68EC" w:rsidRPr="003F68EC" w14:paraId="39D88558"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6DEF9751"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Election Fund</w:t>
            </w:r>
          </w:p>
        </w:tc>
        <w:tc>
          <w:tcPr>
            <w:tcW w:w="1510" w:type="dxa"/>
            <w:vAlign w:val="center"/>
          </w:tcPr>
          <w:p w14:paraId="1B8CE681"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250,000</w:t>
            </w:r>
          </w:p>
        </w:tc>
        <w:tc>
          <w:tcPr>
            <w:tcW w:w="1511" w:type="dxa"/>
            <w:vAlign w:val="center"/>
          </w:tcPr>
          <w:p w14:paraId="0773A1E2"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490,000</w:t>
            </w:r>
          </w:p>
        </w:tc>
        <w:tc>
          <w:tcPr>
            <w:tcW w:w="1511" w:type="dxa"/>
            <w:vAlign w:val="center"/>
          </w:tcPr>
          <w:p w14:paraId="7A16055C"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740,000</w:t>
            </w:r>
          </w:p>
        </w:tc>
      </w:tr>
      <w:tr w:rsidR="003F68EC" w:rsidRPr="003F68EC" w14:paraId="6A5F3911"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4280629A"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Residents Survey</w:t>
            </w:r>
          </w:p>
        </w:tc>
        <w:tc>
          <w:tcPr>
            <w:tcW w:w="1510" w:type="dxa"/>
            <w:vAlign w:val="center"/>
          </w:tcPr>
          <w:p w14:paraId="52537B6C"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40,000</w:t>
            </w:r>
          </w:p>
        </w:tc>
        <w:tc>
          <w:tcPr>
            <w:tcW w:w="1511" w:type="dxa"/>
            <w:vAlign w:val="center"/>
          </w:tcPr>
          <w:p w14:paraId="67B2B107"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4D3E4EBB"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40,000</w:t>
            </w:r>
          </w:p>
        </w:tc>
      </w:tr>
      <w:tr w:rsidR="003F68EC" w:rsidRPr="003F68EC" w14:paraId="0725A545"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621D38E9"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Freedoms of Borough</w:t>
            </w:r>
          </w:p>
        </w:tc>
        <w:tc>
          <w:tcPr>
            <w:tcW w:w="1510" w:type="dxa"/>
            <w:vAlign w:val="center"/>
          </w:tcPr>
          <w:p w14:paraId="161D2687"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80,000</w:t>
            </w:r>
          </w:p>
        </w:tc>
        <w:tc>
          <w:tcPr>
            <w:tcW w:w="1511" w:type="dxa"/>
            <w:vAlign w:val="center"/>
          </w:tcPr>
          <w:p w14:paraId="775BC163"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0</w:t>
            </w:r>
          </w:p>
        </w:tc>
        <w:tc>
          <w:tcPr>
            <w:tcW w:w="1511" w:type="dxa"/>
            <w:vAlign w:val="center"/>
          </w:tcPr>
          <w:p w14:paraId="1616E396"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80,000</w:t>
            </w:r>
          </w:p>
        </w:tc>
      </w:tr>
      <w:tr w:rsidR="003F68EC" w:rsidRPr="003F68EC" w14:paraId="5A84DA39"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4A420F3F"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Economic Development</w:t>
            </w:r>
          </w:p>
        </w:tc>
        <w:tc>
          <w:tcPr>
            <w:tcW w:w="1510" w:type="dxa"/>
            <w:vAlign w:val="center"/>
          </w:tcPr>
          <w:p w14:paraId="634FD327"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52,164</w:t>
            </w:r>
          </w:p>
        </w:tc>
        <w:tc>
          <w:tcPr>
            <w:tcW w:w="1511" w:type="dxa"/>
            <w:vAlign w:val="center"/>
          </w:tcPr>
          <w:p w14:paraId="08647542"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(15,164)</w:t>
            </w:r>
          </w:p>
        </w:tc>
        <w:tc>
          <w:tcPr>
            <w:tcW w:w="1511" w:type="dxa"/>
            <w:vAlign w:val="center"/>
          </w:tcPr>
          <w:p w14:paraId="10F322A5"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37,000</w:t>
            </w:r>
          </w:p>
        </w:tc>
      </w:tr>
      <w:tr w:rsidR="003F68EC" w:rsidRPr="003F68EC" w14:paraId="5EBBA086" w14:textId="77777777" w:rsidTr="003F68EC">
        <w:trPr>
          <w:trHeight w:val="340"/>
        </w:trPr>
        <w:tc>
          <w:tcPr>
            <w:tcW w:w="5102" w:type="dxa"/>
            <w:tcBorders>
              <w:top w:val="nil"/>
              <w:left w:val="single" w:sz="4" w:space="0" w:color="A6A6A6"/>
              <w:bottom w:val="single" w:sz="4" w:space="0" w:color="A6A6A6"/>
              <w:right w:val="single" w:sz="4" w:space="0" w:color="A6A6A6"/>
            </w:tcBorders>
            <w:shd w:val="clear" w:color="auto" w:fill="D9D9D9"/>
            <w:noWrap/>
            <w:vAlign w:val="center"/>
            <w:hideMark/>
          </w:tcPr>
          <w:p w14:paraId="35B4A515" w14:textId="77777777" w:rsidR="003F68EC" w:rsidRPr="003F68EC" w:rsidRDefault="003F68EC" w:rsidP="003F68EC">
            <w:pPr>
              <w:rPr>
                <w:rFonts w:eastAsia="Times New Roman" w:cs="Arial"/>
                <w:b/>
                <w:bCs/>
                <w:szCs w:val="24"/>
                <w:lang w:eastAsia="en-GB"/>
              </w:rPr>
            </w:pPr>
            <w:r w:rsidRPr="003F68EC">
              <w:rPr>
                <w:rFonts w:eastAsia="Times New Roman" w:cs="Arial"/>
                <w:b/>
                <w:bCs/>
                <w:szCs w:val="24"/>
                <w:lang w:eastAsia="en-GB"/>
              </w:rPr>
              <w:t> Strategic Workstreams</w:t>
            </w:r>
          </w:p>
        </w:tc>
        <w:tc>
          <w:tcPr>
            <w:tcW w:w="1510" w:type="dxa"/>
            <w:shd w:val="clear" w:color="auto" w:fill="D9D9D9"/>
            <w:vAlign w:val="center"/>
          </w:tcPr>
          <w:p w14:paraId="6E2DF171" w14:textId="77777777" w:rsidR="003F68EC" w:rsidRPr="003F68EC" w:rsidRDefault="003F68EC" w:rsidP="003F68EC">
            <w:pPr>
              <w:spacing w:line="259" w:lineRule="auto"/>
              <w:rPr>
                <w:rFonts w:eastAsia="Times New Roman" w:cs="Arial"/>
                <w:szCs w:val="24"/>
                <w:lang w:eastAsia="en-GB"/>
              </w:rPr>
            </w:pPr>
          </w:p>
        </w:tc>
        <w:tc>
          <w:tcPr>
            <w:tcW w:w="1511" w:type="dxa"/>
            <w:shd w:val="clear" w:color="auto" w:fill="D9D9D9"/>
            <w:vAlign w:val="center"/>
          </w:tcPr>
          <w:p w14:paraId="73945B95" w14:textId="77777777" w:rsidR="003F68EC" w:rsidRPr="003F68EC" w:rsidRDefault="003F68EC" w:rsidP="003F68EC">
            <w:pPr>
              <w:spacing w:line="259" w:lineRule="auto"/>
              <w:jc w:val="center"/>
              <w:rPr>
                <w:rFonts w:eastAsia="Times New Roman" w:cs="Arial"/>
                <w:szCs w:val="24"/>
                <w:lang w:eastAsia="en-GB"/>
              </w:rPr>
            </w:pPr>
          </w:p>
        </w:tc>
        <w:tc>
          <w:tcPr>
            <w:tcW w:w="1511" w:type="dxa"/>
            <w:shd w:val="clear" w:color="auto" w:fill="D9D9D9"/>
            <w:vAlign w:val="center"/>
          </w:tcPr>
          <w:p w14:paraId="1D8A53C0" w14:textId="77777777" w:rsidR="003F68EC" w:rsidRPr="003F68EC" w:rsidRDefault="003F68EC" w:rsidP="003F68EC">
            <w:pPr>
              <w:spacing w:line="259" w:lineRule="auto"/>
              <w:jc w:val="center"/>
              <w:rPr>
                <w:rFonts w:eastAsia="Times New Roman" w:cs="Arial"/>
                <w:szCs w:val="24"/>
                <w:lang w:eastAsia="en-GB"/>
              </w:rPr>
            </w:pPr>
          </w:p>
        </w:tc>
      </w:tr>
      <w:tr w:rsidR="003F68EC" w:rsidRPr="003F68EC" w14:paraId="1DBEEE54"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5F0A2239"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Transformation Fund</w:t>
            </w:r>
          </w:p>
        </w:tc>
        <w:tc>
          <w:tcPr>
            <w:tcW w:w="1510" w:type="dxa"/>
            <w:vAlign w:val="center"/>
          </w:tcPr>
          <w:p w14:paraId="22CFD3FA"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2,610,000</w:t>
            </w:r>
          </w:p>
        </w:tc>
        <w:tc>
          <w:tcPr>
            <w:tcW w:w="1511" w:type="dxa"/>
            <w:vAlign w:val="center"/>
          </w:tcPr>
          <w:p w14:paraId="1A03ED8C"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390,000</w:t>
            </w:r>
          </w:p>
        </w:tc>
        <w:tc>
          <w:tcPr>
            <w:tcW w:w="1511" w:type="dxa"/>
            <w:vAlign w:val="center"/>
          </w:tcPr>
          <w:p w14:paraId="23BCD187"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3,000,000</w:t>
            </w:r>
          </w:p>
        </w:tc>
      </w:tr>
      <w:tr w:rsidR="003F68EC" w:rsidRPr="003F68EC" w14:paraId="05EC74CE"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40C9CE87"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Sustainability Fund</w:t>
            </w:r>
          </w:p>
        </w:tc>
        <w:tc>
          <w:tcPr>
            <w:tcW w:w="1510" w:type="dxa"/>
            <w:vAlign w:val="center"/>
          </w:tcPr>
          <w:p w14:paraId="1904EBDC"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500,000</w:t>
            </w:r>
          </w:p>
        </w:tc>
        <w:tc>
          <w:tcPr>
            <w:tcW w:w="1511" w:type="dxa"/>
            <w:vAlign w:val="center"/>
          </w:tcPr>
          <w:p w14:paraId="6CD91017"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750,000</w:t>
            </w:r>
          </w:p>
        </w:tc>
        <w:tc>
          <w:tcPr>
            <w:tcW w:w="1511" w:type="dxa"/>
            <w:vAlign w:val="center"/>
          </w:tcPr>
          <w:p w14:paraId="5E4B32E5"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rPr>
              <w:t>1,250,000</w:t>
            </w:r>
          </w:p>
        </w:tc>
      </w:tr>
      <w:tr w:rsidR="003F68EC" w:rsidRPr="003F68EC" w14:paraId="24675DBF"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5B49AEBE"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Tax Base Development Fund</w:t>
            </w:r>
          </w:p>
        </w:tc>
        <w:tc>
          <w:tcPr>
            <w:tcW w:w="1510" w:type="dxa"/>
            <w:vAlign w:val="center"/>
          </w:tcPr>
          <w:p w14:paraId="34C199CC"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lang w:eastAsia="en-GB"/>
              </w:rPr>
              <w:t>0</w:t>
            </w:r>
          </w:p>
        </w:tc>
        <w:tc>
          <w:tcPr>
            <w:tcW w:w="1511" w:type="dxa"/>
            <w:vAlign w:val="center"/>
          </w:tcPr>
          <w:p w14:paraId="0235FABC"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lang w:eastAsia="en-GB"/>
              </w:rPr>
              <w:t>489,532</w:t>
            </w:r>
          </w:p>
        </w:tc>
        <w:tc>
          <w:tcPr>
            <w:tcW w:w="1511" w:type="dxa"/>
            <w:vAlign w:val="center"/>
          </w:tcPr>
          <w:p w14:paraId="6BE0A6AE"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lang w:eastAsia="en-GB"/>
              </w:rPr>
              <w:t>489,532</w:t>
            </w:r>
          </w:p>
        </w:tc>
      </w:tr>
      <w:tr w:rsidR="003F68EC" w:rsidRPr="003F68EC" w14:paraId="3A974B60"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hideMark/>
          </w:tcPr>
          <w:p w14:paraId="2C842E99"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 </w:t>
            </w:r>
          </w:p>
        </w:tc>
        <w:tc>
          <w:tcPr>
            <w:tcW w:w="1510" w:type="dxa"/>
            <w:vAlign w:val="center"/>
          </w:tcPr>
          <w:p w14:paraId="65FC5EA0" w14:textId="77777777" w:rsidR="003F68EC" w:rsidRPr="003F68EC" w:rsidRDefault="003F68EC" w:rsidP="003F68EC">
            <w:pPr>
              <w:spacing w:line="259" w:lineRule="auto"/>
              <w:jc w:val="center"/>
              <w:rPr>
                <w:rFonts w:eastAsia="Times New Roman" w:cs="Arial"/>
                <w:szCs w:val="24"/>
                <w:lang w:eastAsia="en-GB"/>
              </w:rPr>
            </w:pPr>
          </w:p>
        </w:tc>
        <w:tc>
          <w:tcPr>
            <w:tcW w:w="1511" w:type="dxa"/>
            <w:vAlign w:val="center"/>
          </w:tcPr>
          <w:p w14:paraId="1DC6FF10" w14:textId="77777777" w:rsidR="003F68EC" w:rsidRPr="003F68EC" w:rsidRDefault="003F68EC" w:rsidP="003F68EC">
            <w:pPr>
              <w:spacing w:line="259" w:lineRule="auto"/>
              <w:jc w:val="center"/>
              <w:rPr>
                <w:rFonts w:eastAsia="Times New Roman" w:cs="Arial"/>
                <w:szCs w:val="24"/>
                <w:lang w:eastAsia="en-GB"/>
              </w:rPr>
            </w:pPr>
          </w:p>
        </w:tc>
        <w:tc>
          <w:tcPr>
            <w:tcW w:w="1511" w:type="dxa"/>
            <w:vAlign w:val="center"/>
          </w:tcPr>
          <w:p w14:paraId="7633C19B" w14:textId="77777777" w:rsidR="003F68EC" w:rsidRPr="003F68EC" w:rsidRDefault="003F68EC" w:rsidP="003F68EC">
            <w:pPr>
              <w:spacing w:line="259" w:lineRule="auto"/>
              <w:jc w:val="center"/>
              <w:rPr>
                <w:rFonts w:eastAsia="Times New Roman" w:cs="Arial"/>
                <w:szCs w:val="24"/>
                <w:lang w:eastAsia="en-GB"/>
              </w:rPr>
            </w:pPr>
          </w:p>
        </w:tc>
      </w:tr>
      <w:tr w:rsidR="003F68EC" w:rsidRPr="003F68EC" w14:paraId="33B0ADCF" w14:textId="77777777" w:rsidTr="007311E5">
        <w:trPr>
          <w:trHeight w:val="340"/>
        </w:trPr>
        <w:tc>
          <w:tcPr>
            <w:tcW w:w="5102" w:type="dxa"/>
            <w:tcBorders>
              <w:top w:val="nil"/>
              <w:left w:val="single" w:sz="4" w:space="0" w:color="A6A6A6"/>
              <w:bottom w:val="single" w:sz="4" w:space="0" w:color="A6A6A6"/>
              <w:right w:val="single" w:sz="4" w:space="0" w:color="A6A6A6"/>
            </w:tcBorders>
            <w:noWrap/>
            <w:vAlign w:val="center"/>
          </w:tcPr>
          <w:p w14:paraId="59336349" w14:textId="77777777" w:rsidR="003F68EC" w:rsidRPr="003F68EC" w:rsidRDefault="003F68EC" w:rsidP="003F68EC">
            <w:pPr>
              <w:rPr>
                <w:rFonts w:eastAsia="Times New Roman" w:cs="Arial"/>
                <w:szCs w:val="24"/>
                <w:lang w:eastAsia="en-GB"/>
              </w:rPr>
            </w:pPr>
            <w:r w:rsidRPr="003F68EC">
              <w:rPr>
                <w:rFonts w:eastAsia="Times New Roman" w:cs="Arial"/>
                <w:szCs w:val="24"/>
                <w:lang w:eastAsia="en-GB"/>
              </w:rPr>
              <w:t>Interest</w:t>
            </w:r>
          </w:p>
        </w:tc>
        <w:tc>
          <w:tcPr>
            <w:tcW w:w="1510" w:type="dxa"/>
            <w:vAlign w:val="center"/>
          </w:tcPr>
          <w:p w14:paraId="2374D751" w14:textId="77777777" w:rsidR="003F68EC" w:rsidRPr="003F68EC" w:rsidRDefault="003F68EC" w:rsidP="003F68EC">
            <w:pPr>
              <w:spacing w:line="259" w:lineRule="auto"/>
              <w:jc w:val="center"/>
              <w:rPr>
                <w:rFonts w:eastAsia="Times New Roman" w:cs="Arial"/>
                <w:szCs w:val="24"/>
              </w:rPr>
            </w:pPr>
            <w:r w:rsidRPr="003F68EC">
              <w:rPr>
                <w:rFonts w:eastAsia="Times New Roman" w:cs="Arial"/>
                <w:szCs w:val="24"/>
              </w:rPr>
              <w:t>7,836</w:t>
            </w:r>
          </w:p>
        </w:tc>
        <w:tc>
          <w:tcPr>
            <w:tcW w:w="1511" w:type="dxa"/>
            <w:vAlign w:val="center"/>
          </w:tcPr>
          <w:p w14:paraId="5474F233"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lang w:eastAsia="en-GB"/>
              </w:rPr>
              <w:t>252,632</w:t>
            </w:r>
          </w:p>
        </w:tc>
        <w:tc>
          <w:tcPr>
            <w:tcW w:w="1511" w:type="dxa"/>
            <w:vAlign w:val="center"/>
          </w:tcPr>
          <w:p w14:paraId="257C7C13" w14:textId="77777777" w:rsidR="003F68EC" w:rsidRPr="003F68EC" w:rsidRDefault="003F68EC" w:rsidP="003F68EC">
            <w:pPr>
              <w:spacing w:line="259" w:lineRule="auto"/>
              <w:jc w:val="center"/>
              <w:rPr>
                <w:rFonts w:eastAsia="Times New Roman" w:cs="Arial"/>
                <w:szCs w:val="24"/>
                <w:lang w:eastAsia="en-GB"/>
              </w:rPr>
            </w:pPr>
            <w:r w:rsidRPr="003F68EC">
              <w:rPr>
                <w:rFonts w:eastAsia="Times New Roman" w:cs="Arial"/>
                <w:szCs w:val="24"/>
                <w:lang w:eastAsia="en-GB"/>
              </w:rPr>
              <w:t>260,468</w:t>
            </w:r>
          </w:p>
        </w:tc>
      </w:tr>
      <w:tr w:rsidR="003F68EC" w:rsidRPr="003F68EC" w14:paraId="7CED020B" w14:textId="77777777" w:rsidTr="003F68EC">
        <w:trPr>
          <w:trHeight w:val="340"/>
        </w:trPr>
        <w:tc>
          <w:tcPr>
            <w:tcW w:w="5102" w:type="dxa"/>
            <w:tcBorders>
              <w:top w:val="nil"/>
              <w:left w:val="single" w:sz="4" w:space="0" w:color="A6A6A6"/>
              <w:bottom w:val="single" w:sz="4" w:space="0" w:color="A6A6A6"/>
              <w:right w:val="single" w:sz="4" w:space="0" w:color="A6A6A6"/>
            </w:tcBorders>
            <w:shd w:val="clear" w:color="auto" w:fill="000000"/>
            <w:noWrap/>
            <w:vAlign w:val="center"/>
          </w:tcPr>
          <w:p w14:paraId="1C08ADED" w14:textId="77777777" w:rsidR="003F68EC" w:rsidRPr="003F68EC" w:rsidRDefault="003F68EC" w:rsidP="003F68EC">
            <w:pPr>
              <w:rPr>
                <w:rFonts w:eastAsia="Times New Roman" w:cs="Arial"/>
                <w:b/>
                <w:bCs/>
                <w:szCs w:val="24"/>
                <w:lang w:eastAsia="en-GB"/>
              </w:rPr>
            </w:pPr>
            <w:r w:rsidRPr="003F68EC">
              <w:rPr>
                <w:rFonts w:eastAsia="Times New Roman" w:cs="Arial"/>
                <w:b/>
                <w:bCs/>
                <w:szCs w:val="24"/>
                <w:lang w:eastAsia="en-GB"/>
              </w:rPr>
              <w:t>Totals</w:t>
            </w:r>
          </w:p>
        </w:tc>
        <w:tc>
          <w:tcPr>
            <w:tcW w:w="1510" w:type="dxa"/>
            <w:shd w:val="clear" w:color="auto" w:fill="000000"/>
            <w:vAlign w:val="center"/>
          </w:tcPr>
          <w:p w14:paraId="14051AC4" w14:textId="77777777" w:rsidR="003F68EC" w:rsidRPr="003F68EC" w:rsidRDefault="003F68EC" w:rsidP="003F68EC">
            <w:pPr>
              <w:spacing w:line="259" w:lineRule="auto"/>
              <w:jc w:val="center"/>
              <w:rPr>
                <w:rFonts w:eastAsia="Times New Roman" w:cs="Arial"/>
                <w:b/>
                <w:bCs/>
                <w:color w:val="FFFFFF"/>
                <w:szCs w:val="24"/>
              </w:rPr>
            </w:pPr>
            <w:r w:rsidRPr="003F68EC">
              <w:rPr>
                <w:rFonts w:eastAsia="Times New Roman" w:cs="Arial"/>
                <w:b/>
                <w:bCs/>
                <w:color w:val="FFFFFF"/>
                <w:szCs w:val="24"/>
              </w:rPr>
              <w:t>13,426,200</w:t>
            </w:r>
          </w:p>
        </w:tc>
        <w:tc>
          <w:tcPr>
            <w:tcW w:w="1511" w:type="dxa"/>
            <w:shd w:val="clear" w:color="auto" w:fill="000000"/>
            <w:vAlign w:val="center"/>
          </w:tcPr>
          <w:p w14:paraId="22E0977D" w14:textId="77777777" w:rsidR="003F68EC" w:rsidRPr="003F68EC" w:rsidRDefault="003F68EC" w:rsidP="003F68EC">
            <w:pPr>
              <w:spacing w:line="259" w:lineRule="auto"/>
              <w:jc w:val="center"/>
              <w:rPr>
                <w:rFonts w:eastAsia="Times New Roman" w:cs="Arial"/>
                <w:b/>
                <w:bCs/>
                <w:szCs w:val="24"/>
                <w:lang w:eastAsia="en-GB"/>
              </w:rPr>
            </w:pPr>
            <w:r w:rsidRPr="003F68EC">
              <w:rPr>
                <w:rFonts w:eastAsia="Times New Roman" w:cs="Arial"/>
                <w:b/>
                <w:bCs/>
                <w:szCs w:val="24"/>
              </w:rPr>
              <w:t>(2,676,173)</w:t>
            </w:r>
          </w:p>
        </w:tc>
        <w:tc>
          <w:tcPr>
            <w:tcW w:w="1511" w:type="dxa"/>
            <w:shd w:val="clear" w:color="auto" w:fill="000000"/>
            <w:vAlign w:val="center"/>
          </w:tcPr>
          <w:p w14:paraId="1D20586D" w14:textId="77777777" w:rsidR="003F68EC" w:rsidRPr="003F68EC" w:rsidRDefault="003F68EC" w:rsidP="003F68EC">
            <w:pPr>
              <w:spacing w:line="259" w:lineRule="auto"/>
              <w:jc w:val="center"/>
              <w:rPr>
                <w:rFonts w:eastAsia="Times New Roman" w:cs="Arial"/>
                <w:b/>
                <w:bCs/>
                <w:szCs w:val="24"/>
                <w:lang w:eastAsia="en-GB"/>
              </w:rPr>
            </w:pPr>
            <w:r w:rsidRPr="003F68EC">
              <w:rPr>
                <w:rFonts w:eastAsia="Times New Roman" w:cs="Arial"/>
                <w:b/>
                <w:bCs/>
                <w:color w:val="FFFFFF"/>
                <w:szCs w:val="24"/>
              </w:rPr>
              <w:t>10,750,027</w:t>
            </w:r>
          </w:p>
        </w:tc>
      </w:tr>
    </w:tbl>
    <w:p w14:paraId="2B7465E5" w14:textId="77777777" w:rsidR="003F68EC" w:rsidRPr="003F68EC" w:rsidRDefault="003F68EC" w:rsidP="003F68EC">
      <w:pPr>
        <w:spacing w:after="160" w:line="259" w:lineRule="auto"/>
        <w:rPr>
          <w:rFonts w:eastAsia="Times New Roman"/>
          <w:szCs w:val="20"/>
        </w:rPr>
      </w:pPr>
    </w:p>
    <w:p w14:paraId="2B75CC72" w14:textId="77777777" w:rsidR="003F68EC" w:rsidRDefault="003F68EC" w:rsidP="00A1680B">
      <w:pPr>
        <w:pStyle w:val="BlockText"/>
      </w:pPr>
      <w:r w:rsidRPr="003F68EC">
        <w:t>These transfers had followed the reserves policy by seeking to re-focus the Earmarked Fund on strategic workstreams, (23% of the opening balance and 42% of the closing balance). They had been used in the preparation of the draft financial statements that would be presented to the Audit Committee meeting at the end of the month.</w:t>
      </w:r>
    </w:p>
    <w:p w14:paraId="2C5A03CA" w14:textId="77777777" w:rsidR="00A1680B" w:rsidRPr="003F68EC" w:rsidRDefault="00A1680B" w:rsidP="00A1680B">
      <w:pPr>
        <w:pStyle w:val="BlockText"/>
      </w:pPr>
    </w:p>
    <w:p w14:paraId="4FF79D95" w14:textId="30FEACEE" w:rsidR="003F68EC" w:rsidRDefault="003F68EC" w:rsidP="00A1680B">
      <w:pPr>
        <w:pStyle w:val="BlockText"/>
      </w:pPr>
      <w:r w:rsidRPr="003F68EC">
        <w:t>The balance of funds would be kept under review by management throughout the financial year and would formally be reviewed during both the Estimates and year end processes.</w:t>
      </w:r>
    </w:p>
    <w:p w14:paraId="60C4C257" w14:textId="77777777" w:rsidR="00A1680B" w:rsidRPr="003F68EC" w:rsidRDefault="00A1680B" w:rsidP="00A1680B">
      <w:pPr>
        <w:pStyle w:val="BlockText"/>
      </w:pPr>
    </w:p>
    <w:p w14:paraId="5C67E4E6" w14:textId="74A9DE4F" w:rsidR="003F68EC" w:rsidRDefault="003F68EC" w:rsidP="00A1680B">
      <w:pPr>
        <w:pStyle w:val="BlockText"/>
      </w:pPr>
      <w:r>
        <w:t>RECOMMENDED that</w:t>
      </w:r>
      <w:r w:rsidRPr="003F68EC">
        <w:t xml:space="preserve"> Council notes the budgetary performance for the last financial year and approves the net transfers into and out of the Earmarked Fund.</w:t>
      </w:r>
    </w:p>
    <w:p w14:paraId="47F9040F" w14:textId="77777777" w:rsidR="00A1680B" w:rsidRDefault="00A1680B" w:rsidP="00A1680B">
      <w:pPr>
        <w:pStyle w:val="BlockText"/>
      </w:pPr>
    </w:p>
    <w:p w14:paraId="2D95943A" w14:textId="30F21E59" w:rsidR="003F68EC" w:rsidRPr="003F68EC" w:rsidRDefault="003F68EC" w:rsidP="00092B09">
      <w:pPr>
        <w:pStyle w:val="Normal0"/>
      </w:pPr>
      <w:bookmarkStart w:id="22" w:name="_Hlk138064126"/>
      <w:r w:rsidRPr="007F0DD5">
        <w:rPr>
          <w:b/>
          <w:bCs/>
          <w:sz w:val="24"/>
          <w:lang w:eastAsia="en-US"/>
        </w:rPr>
        <w:lastRenderedPageBreak/>
        <w:t xml:space="preserve">AGREED TO RECOMMEND, on the proposal of </w:t>
      </w:r>
      <w:r w:rsidR="005A5643">
        <w:rPr>
          <w:b/>
          <w:bCs/>
          <w:sz w:val="24"/>
          <w:lang w:eastAsia="en-US"/>
        </w:rPr>
        <w:t>Councillor W Irvine</w:t>
      </w:r>
      <w:r w:rsidRPr="007F0DD5">
        <w:rPr>
          <w:b/>
          <w:bCs/>
          <w:sz w:val="24"/>
          <w:lang w:eastAsia="en-US"/>
        </w:rPr>
        <w:t xml:space="preserve">, seconded by </w:t>
      </w:r>
      <w:r w:rsidR="005A5643">
        <w:rPr>
          <w:b/>
          <w:bCs/>
          <w:sz w:val="24"/>
          <w:lang w:eastAsia="en-US"/>
        </w:rPr>
        <w:t>Alderman Brooks</w:t>
      </w:r>
      <w:r w:rsidRPr="007F0DD5">
        <w:rPr>
          <w:b/>
          <w:bCs/>
          <w:sz w:val="24"/>
          <w:lang w:eastAsia="en-US"/>
        </w:rPr>
        <w:t xml:space="preserve">, that </w:t>
      </w:r>
      <w:r>
        <w:rPr>
          <w:b/>
          <w:bCs/>
          <w:sz w:val="24"/>
          <w:lang w:eastAsia="en-US"/>
        </w:rPr>
        <w:t>the recommendation be adopted.</w:t>
      </w:r>
    </w:p>
    <w:bookmarkEnd w:id="22"/>
    <w:p w14:paraId="4764F4D2" w14:textId="77777777" w:rsidR="00F45AA5" w:rsidRPr="00AC4CF0" w:rsidRDefault="00F45AA5" w:rsidP="00092B09">
      <w:pPr>
        <w:contextualSpacing/>
        <w:rPr>
          <w:rFonts w:cs="Arial"/>
          <w:color w:val="7030A0"/>
          <w:szCs w:val="24"/>
        </w:rPr>
      </w:pPr>
    </w:p>
    <w:p w14:paraId="7B6E3638" w14:textId="7045358C" w:rsidR="0033058C" w:rsidRPr="00567B46" w:rsidRDefault="00393882" w:rsidP="00092B09">
      <w:pPr>
        <w:pStyle w:val="Heading1"/>
        <w:ind w:left="720" w:hanging="720"/>
        <w:rPr>
          <w:rFonts w:eastAsia="Times New Roman"/>
        </w:rPr>
      </w:pPr>
      <w:bookmarkStart w:id="23" w:name="_Hlk129095667"/>
      <w:r>
        <w:rPr>
          <w:rFonts w:eastAsia="Times New Roman"/>
        </w:rPr>
        <w:t>7</w:t>
      </w:r>
      <w:r w:rsidR="0033058C">
        <w:rPr>
          <w:rFonts w:eastAsia="Times New Roman"/>
        </w:rPr>
        <w:t>.</w:t>
      </w:r>
      <w:r w:rsidR="0033058C">
        <w:rPr>
          <w:rFonts w:eastAsia="Times New Roman"/>
        </w:rPr>
        <w:tab/>
      </w:r>
      <w:r w:rsidR="00567B46" w:rsidRPr="00567B46">
        <w:rPr>
          <w:rFonts w:cs="Arial"/>
          <w:szCs w:val="28"/>
          <w:u w:val="single"/>
        </w:rPr>
        <w:t>2022/23 Annual Prudential Indicators and Treasury Management Report</w:t>
      </w:r>
    </w:p>
    <w:p w14:paraId="7F50BC51" w14:textId="77777777" w:rsidR="00124D06" w:rsidRDefault="00124D06" w:rsidP="00092B09">
      <w:pPr>
        <w:shd w:val="clear" w:color="auto" w:fill="FFFFFF"/>
        <w:rPr>
          <w:rFonts w:eastAsia="Times New Roman" w:cs="Arial"/>
          <w:szCs w:val="24"/>
        </w:rPr>
      </w:pPr>
    </w:p>
    <w:p w14:paraId="48507002" w14:textId="6242198E" w:rsidR="00062D89" w:rsidRDefault="00F45AA5" w:rsidP="00092B09">
      <w:pPr>
        <w:rPr>
          <w:rFonts w:cs="Arial"/>
          <w:szCs w:val="24"/>
        </w:rPr>
      </w:pPr>
      <w:bookmarkStart w:id="24" w:name="_Hlk129092051"/>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w:t>
      </w:r>
      <w:r w:rsidR="00567B46">
        <w:rPr>
          <w:rFonts w:cs="Arial"/>
          <w:szCs w:val="24"/>
        </w:rPr>
        <w:t>detailing the undernoted:</w:t>
      </w:r>
      <w:r>
        <w:rPr>
          <w:rFonts w:cs="Arial"/>
          <w:szCs w:val="24"/>
        </w:rPr>
        <w:t xml:space="preserve"> </w:t>
      </w:r>
    </w:p>
    <w:p w14:paraId="02D13C0B" w14:textId="77777777" w:rsidR="003F68EC" w:rsidRDefault="003F68EC" w:rsidP="00092B09">
      <w:pPr>
        <w:rPr>
          <w:rFonts w:cs="Arial"/>
          <w:szCs w:val="24"/>
        </w:rPr>
      </w:pPr>
    </w:p>
    <w:p w14:paraId="73B2C7E3" w14:textId="77777777" w:rsidR="00567B46" w:rsidRPr="00567B46" w:rsidRDefault="00567B46" w:rsidP="00092B09">
      <w:pPr>
        <w:tabs>
          <w:tab w:val="center" w:pos="4513"/>
          <w:tab w:val="right" w:pos="9026"/>
        </w:tabs>
        <w:rPr>
          <w:rFonts w:eastAsia="Times New Roman" w:cs="Arial"/>
          <w:b/>
          <w:szCs w:val="20"/>
        </w:rPr>
      </w:pPr>
      <w:r w:rsidRPr="00567B46">
        <w:rPr>
          <w:rFonts w:eastAsia="Times New Roman" w:cs="Arial"/>
          <w:b/>
          <w:szCs w:val="20"/>
          <w:u w:val="single"/>
        </w:rPr>
        <w:t>Introduction</w:t>
      </w:r>
    </w:p>
    <w:p w14:paraId="2CAB46FA" w14:textId="77777777" w:rsidR="00567B46" w:rsidRPr="00567B46" w:rsidRDefault="00567B46" w:rsidP="00092B09">
      <w:pPr>
        <w:tabs>
          <w:tab w:val="center" w:pos="4513"/>
          <w:tab w:val="right" w:pos="9026"/>
        </w:tabs>
        <w:rPr>
          <w:rFonts w:eastAsia="Times New Roman" w:cs="Arial"/>
          <w:szCs w:val="20"/>
        </w:rPr>
      </w:pPr>
    </w:p>
    <w:p w14:paraId="41CEB3DF" w14:textId="77777777" w:rsidR="00567B46" w:rsidRPr="00567B46" w:rsidRDefault="00567B46" w:rsidP="00092B09">
      <w:pPr>
        <w:tabs>
          <w:tab w:val="center" w:pos="4513"/>
          <w:tab w:val="right" w:pos="9026"/>
        </w:tabs>
        <w:rPr>
          <w:rFonts w:eastAsia="Times New Roman" w:cs="Arial"/>
          <w:color w:val="000000"/>
          <w:szCs w:val="24"/>
        </w:rPr>
      </w:pPr>
      <w:r w:rsidRPr="00567B46">
        <w:rPr>
          <w:rFonts w:eastAsia="Times New Roman" w:cs="Arial"/>
          <w:szCs w:val="20"/>
        </w:rPr>
        <w:t>The Local Government Finance Act (NI) 2011, and the supporting Prudential and Treasury Codes, issued by the Chartered Institute of Public Finance and Accountancy (CIPFA), required the Council to approve financial policies and strategies for its capital financing and treasury management activities</w:t>
      </w:r>
      <w:r w:rsidRPr="00567B46">
        <w:rPr>
          <w:rFonts w:eastAsia="Times New Roman" w:cs="Arial"/>
          <w:color w:val="000000"/>
          <w:szCs w:val="24"/>
        </w:rPr>
        <w:t>.  A</w:t>
      </w:r>
      <w:r w:rsidRPr="00567B46">
        <w:rPr>
          <w:rFonts w:eastAsia="Times New Roman" w:cs="Arial"/>
          <w:szCs w:val="24"/>
        </w:rPr>
        <w:t>s a minimum, the Council was required to receive and approve an annual strategy at the commencement of the year, a mid-year review and an annual report after the close of each financial year.</w:t>
      </w:r>
    </w:p>
    <w:p w14:paraId="31D73DB1" w14:textId="77777777" w:rsidR="00567B46" w:rsidRPr="00567B46" w:rsidRDefault="00567B46" w:rsidP="00092B09">
      <w:pPr>
        <w:tabs>
          <w:tab w:val="center" w:pos="4513"/>
          <w:tab w:val="right" w:pos="9026"/>
        </w:tabs>
        <w:rPr>
          <w:rFonts w:eastAsia="Times New Roman" w:cs="Arial"/>
          <w:color w:val="000000"/>
          <w:szCs w:val="24"/>
        </w:rPr>
      </w:pPr>
    </w:p>
    <w:p w14:paraId="29667450" w14:textId="77777777" w:rsidR="00567B46" w:rsidRPr="00567B46" w:rsidRDefault="00567B46" w:rsidP="00092B09">
      <w:pPr>
        <w:tabs>
          <w:tab w:val="center" w:pos="4513"/>
          <w:tab w:val="right" w:pos="9026"/>
        </w:tabs>
        <w:rPr>
          <w:rFonts w:eastAsia="Times New Roman" w:cs="Arial"/>
          <w:bCs/>
          <w:szCs w:val="20"/>
        </w:rPr>
      </w:pPr>
      <w:r w:rsidRPr="00567B46">
        <w:rPr>
          <w:rFonts w:eastAsia="Times New Roman" w:cs="Arial"/>
          <w:color w:val="000000"/>
          <w:szCs w:val="24"/>
        </w:rPr>
        <w:t xml:space="preserve">This report met the last requirement of an annual report for the 2022/23 financial year. The purpose of this report was to </w:t>
      </w:r>
      <w:r w:rsidRPr="00567B46">
        <w:rPr>
          <w:rFonts w:eastAsia="Times New Roman" w:cs="Arial"/>
          <w:bCs/>
          <w:szCs w:val="20"/>
        </w:rPr>
        <w:t>highlight performance against the Prudential Indicators which were set for capital expenditure, capital financing and treasury management activities set out in the Council’s annual strategy, which was approved in February 2022.</w:t>
      </w:r>
    </w:p>
    <w:p w14:paraId="5A88DFB4" w14:textId="77777777" w:rsidR="00567B46" w:rsidRPr="00567B46" w:rsidRDefault="00567B46" w:rsidP="00092B09">
      <w:pPr>
        <w:tabs>
          <w:tab w:val="center" w:pos="4513"/>
          <w:tab w:val="right" w:pos="9026"/>
        </w:tabs>
        <w:rPr>
          <w:rFonts w:eastAsia="Times New Roman" w:cs="Arial"/>
          <w:bCs/>
          <w:szCs w:val="20"/>
        </w:rPr>
      </w:pPr>
    </w:p>
    <w:p w14:paraId="4FFAD089" w14:textId="77777777" w:rsid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Note that the annual strategy for 2023/24 was approved in February 2023.  Members would receive the mid-year review for this strategy during the autumn months of 2023 and the annual report in the summer of 2024.</w:t>
      </w:r>
    </w:p>
    <w:p w14:paraId="00802189" w14:textId="77777777" w:rsidR="00567B46" w:rsidRPr="00567B46" w:rsidRDefault="00567B46" w:rsidP="00092B09">
      <w:pPr>
        <w:tabs>
          <w:tab w:val="center" w:pos="4513"/>
          <w:tab w:val="right" w:pos="9026"/>
        </w:tabs>
        <w:rPr>
          <w:rFonts w:eastAsia="Times New Roman" w:cs="Arial"/>
          <w:color w:val="000000"/>
          <w:szCs w:val="24"/>
        </w:rPr>
      </w:pPr>
    </w:p>
    <w:p w14:paraId="120DE083" w14:textId="45692D4E" w:rsidR="00567B46" w:rsidRPr="00567B46" w:rsidRDefault="00567B46" w:rsidP="00092B09">
      <w:pPr>
        <w:tabs>
          <w:tab w:val="center" w:pos="4513"/>
          <w:tab w:val="right" w:pos="9026"/>
        </w:tabs>
        <w:rPr>
          <w:rFonts w:eastAsia="Times New Roman" w:cs="Arial"/>
          <w:b/>
          <w:bCs/>
          <w:szCs w:val="20"/>
          <w:u w:val="single"/>
        </w:rPr>
      </w:pPr>
      <w:r w:rsidRPr="00567B46">
        <w:rPr>
          <w:rFonts w:eastAsia="Times New Roman" w:cs="Arial"/>
          <w:b/>
          <w:bCs/>
          <w:szCs w:val="20"/>
          <w:u w:val="single"/>
        </w:rPr>
        <w:t>Report</w:t>
      </w:r>
    </w:p>
    <w:p w14:paraId="396AB358" w14:textId="77777777" w:rsidR="00567B46" w:rsidRPr="00567B46" w:rsidRDefault="00567B46" w:rsidP="00092B09">
      <w:pPr>
        <w:tabs>
          <w:tab w:val="center" w:pos="4513"/>
          <w:tab w:val="right" w:pos="9026"/>
        </w:tabs>
        <w:rPr>
          <w:rFonts w:eastAsia="Times New Roman" w:cs="Arial"/>
          <w:b/>
          <w:bCs/>
          <w:szCs w:val="20"/>
          <w:u w:val="single"/>
        </w:rPr>
      </w:pPr>
    </w:p>
    <w:p w14:paraId="4D6F01D2" w14:textId="77777777" w:rsidR="00567B46" w:rsidRPr="00567B46" w:rsidRDefault="00567B46" w:rsidP="00092B09">
      <w:pPr>
        <w:tabs>
          <w:tab w:val="center" w:pos="4513"/>
          <w:tab w:val="right" w:pos="9026"/>
        </w:tabs>
        <w:rPr>
          <w:rFonts w:eastAsia="Times New Roman" w:cs="Arial"/>
          <w:b/>
          <w:bCs/>
          <w:szCs w:val="20"/>
        </w:rPr>
      </w:pPr>
      <w:r w:rsidRPr="00567B46">
        <w:rPr>
          <w:rFonts w:eastAsia="Times New Roman" w:cs="Arial"/>
          <w:b/>
          <w:bCs/>
          <w:szCs w:val="20"/>
        </w:rPr>
        <w:t>1   Capital Expenditure &amp; Financing</w:t>
      </w:r>
    </w:p>
    <w:p w14:paraId="36A5C0BD" w14:textId="77777777" w:rsidR="00567B46" w:rsidRPr="00567B46" w:rsidRDefault="00567B46" w:rsidP="00092B09">
      <w:pPr>
        <w:tabs>
          <w:tab w:val="center" w:pos="4513"/>
          <w:tab w:val="right" w:pos="9026"/>
        </w:tabs>
        <w:rPr>
          <w:rFonts w:eastAsia="Times New Roman" w:cs="Arial"/>
          <w:bCs/>
          <w:sz w:val="12"/>
          <w:szCs w:val="12"/>
        </w:rPr>
      </w:pPr>
    </w:p>
    <w:p w14:paraId="19789F18" w14:textId="3442370A"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The Act and CIPFA’s Prudential Code required the Council to set and monitor a series of Prudential Indicators (PIs) for capital expenditure and financing which ensured that, within a clear framework, the capital investment plans of the Council were affordable, prudent and sustainable.</w:t>
      </w:r>
    </w:p>
    <w:p w14:paraId="437C0EE5" w14:textId="77777777" w:rsidR="00567B46" w:rsidRPr="00567B46" w:rsidRDefault="00567B46" w:rsidP="00092B09">
      <w:pPr>
        <w:tabs>
          <w:tab w:val="center" w:pos="4513"/>
          <w:tab w:val="right" w:pos="9026"/>
        </w:tabs>
        <w:rPr>
          <w:rFonts w:eastAsia="Times New Roman" w:cs="Arial"/>
          <w:bCs/>
          <w:szCs w:val="20"/>
        </w:rPr>
      </w:pPr>
    </w:p>
    <w:p w14:paraId="0954435B" w14:textId="77777777" w:rsidR="00567B46" w:rsidRPr="00567B46" w:rsidRDefault="00567B46" w:rsidP="00092B09">
      <w:pPr>
        <w:numPr>
          <w:ilvl w:val="1"/>
          <w:numId w:val="8"/>
        </w:numPr>
        <w:overflowPunct w:val="0"/>
        <w:autoSpaceDE w:val="0"/>
        <w:autoSpaceDN w:val="0"/>
        <w:adjustRightInd w:val="0"/>
        <w:textAlignment w:val="baseline"/>
        <w:rPr>
          <w:rFonts w:eastAsia="Times New Roman" w:cs="Arial"/>
          <w:b/>
          <w:bCs/>
          <w:szCs w:val="20"/>
        </w:rPr>
      </w:pPr>
      <w:r w:rsidRPr="00567B46">
        <w:rPr>
          <w:rFonts w:eastAsia="Times New Roman" w:cs="Arial"/>
          <w:b/>
          <w:bCs/>
          <w:szCs w:val="20"/>
        </w:rPr>
        <w:t xml:space="preserve">Capital Expenditure </w:t>
      </w:r>
    </w:p>
    <w:p w14:paraId="00A8BD93" w14:textId="77777777" w:rsidR="00567B46" w:rsidRPr="00567B46" w:rsidRDefault="00567B46" w:rsidP="00092B09">
      <w:pPr>
        <w:tabs>
          <w:tab w:val="center" w:pos="4513"/>
          <w:tab w:val="right" w:pos="9026"/>
        </w:tabs>
        <w:ind w:left="720"/>
        <w:rPr>
          <w:rFonts w:eastAsia="Times New Roman" w:cs="Arial"/>
          <w:b/>
          <w:bCs/>
          <w:szCs w:val="20"/>
        </w:rPr>
      </w:pPr>
    </w:p>
    <w:p w14:paraId="647D56C4" w14:textId="77777777" w:rsid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The following table summarised the total amount of capital expenditure incurred during 2022/23 compared to the original estimate approved by Council.</w:t>
      </w:r>
    </w:p>
    <w:p w14:paraId="516F19B3" w14:textId="77777777" w:rsidR="00567B46" w:rsidRPr="00567B46" w:rsidRDefault="00567B46" w:rsidP="00092B09">
      <w:pPr>
        <w:tabs>
          <w:tab w:val="center" w:pos="4513"/>
          <w:tab w:val="right" w:pos="9026"/>
        </w:tabs>
        <w:rPr>
          <w:rFonts w:eastAsia="Times New Roman" w:cs="Arial"/>
          <w:bCs/>
          <w:szCs w:val="20"/>
        </w:rPr>
      </w:pPr>
    </w:p>
    <w:p w14:paraId="3776770B" w14:textId="77777777" w:rsidR="00567B46" w:rsidRPr="00567B46" w:rsidRDefault="00567B46" w:rsidP="00092B09">
      <w:pPr>
        <w:tabs>
          <w:tab w:val="center" w:pos="4513"/>
          <w:tab w:val="right" w:pos="9026"/>
        </w:tabs>
        <w:rPr>
          <w:rFonts w:eastAsia="Times New Roman" w:cs="Arial"/>
          <w:b/>
          <w:bCs/>
          <w:szCs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1559"/>
        <w:gridCol w:w="1559"/>
        <w:gridCol w:w="1611"/>
      </w:tblGrid>
      <w:tr w:rsidR="00567B46" w:rsidRPr="00567B46" w14:paraId="600EF5A5" w14:textId="77777777" w:rsidTr="007311E5">
        <w:trPr>
          <w:trHeight w:val="567"/>
        </w:trPr>
        <w:tc>
          <w:tcPr>
            <w:tcW w:w="3260" w:type="dxa"/>
            <w:tcBorders>
              <w:top w:val="nil"/>
              <w:left w:val="nil"/>
              <w:bottom w:val="single" w:sz="4" w:space="0" w:color="auto"/>
              <w:right w:val="nil"/>
            </w:tcBorders>
            <w:vAlign w:val="center"/>
          </w:tcPr>
          <w:p w14:paraId="56C1BE22" w14:textId="77777777" w:rsidR="00567B46" w:rsidRPr="00567B46" w:rsidRDefault="00567B46" w:rsidP="00092B09">
            <w:pPr>
              <w:contextualSpacing/>
              <w:rPr>
                <w:rFonts w:cs="Arial"/>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61A7EFB9" w14:textId="77777777" w:rsidR="00567B46" w:rsidRPr="00567B46" w:rsidRDefault="00567B46" w:rsidP="00092B09">
            <w:pPr>
              <w:contextualSpacing/>
              <w:rPr>
                <w:rFonts w:cs="Arial"/>
                <w:b/>
                <w:szCs w:val="24"/>
              </w:rPr>
            </w:pPr>
            <w:r w:rsidRPr="00567B46">
              <w:rPr>
                <w:rFonts w:cs="Arial"/>
                <w:b/>
                <w:szCs w:val="24"/>
              </w:rPr>
              <w:t>Estimate</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2A47017" w14:textId="77777777" w:rsidR="00567B46" w:rsidRPr="00567B46" w:rsidRDefault="00567B46" w:rsidP="00092B09">
            <w:pPr>
              <w:contextualSpacing/>
              <w:rPr>
                <w:rFonts w:cs="Arial"/>
                <w:b/>
                <w:szCs w:val="24"/>
              </w:rPr>
            </w:pPr>
            <w:r w:rsidRPr="00567B46">
              <w:rPr>
                <w:rFonts w:cs="Arial"/>
                <w:b/>
                <w:szCs w:val="24"/>
              </w:rPr>
              <w:t>Actual</w:t>
            </w:r>
          </w:p>
        </w:tc>
        <w:tc>
          <w:tcPr>
            <w:tcW w:w="1611" w:type="dxa"/>
            <w:tcBorders>
              <w:left w:val="single" w:sz="4" w:space="0" w:color="auto"/>
            </w:tcBorders>
            <w:shd w:val="clear" w:color="auto" w:fill="D9D9D9"/>
            <w:vAlign w:val="center"/>
          </w:tcPr>
          <w:p w14:paraId="796CDAB3" w14:textId="77777777" w:rsidR="00567B46" w:rsidRPr="00567B46" w:rsidRDefault="00567B46" w:rsidP="00092B09">
            <w:pPr>
              <w:contextualSpacing/>
              <w:rPr>
                <w:rFonts w:cs="Arial"/>
                <w:b/>
                <w:szCs w:val="24"/>
              </w:rPr>
            </w:pPr>
            <w:r w:rsidRPr="00567B46">
              <w:rPr>
                <w:rFonts w:cs="Arial"/>
                <w:b/>
                <w:szCs w:val="24"/>
              </w:rPr>
              <w:t>Variance</w:t>
            </w:r>
          </w:p>
        </w:tc>
      </w:tr>
      <w:tr w:rsidR="00567B46" w:rsidRPr="00567B46" w14:paraId="7C010A5D" w14:textId="77777777" w:rsidTr="007311E5">
        <w:trPr>
          <w:trHeight w:val="383"/>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38F2AC02" w14:textId="77777777" w:rsidR="00567B46" w:rsidRPr="00567B46" w:rsidRDefault="00567B46" w:rsidP="00092B09">
            <w:pPr>
              <w:contextualSpacing/>
              <w:rPr>
                <w:rFonts w:cs="Arial"/>
                <w:b/>
                <w:szCs w:val="24"/>
              </w:rPr>
            </w:pPr>
            <w:r w:rsidRPr="00567B46">
              <w:rPr>
                <w:rFonts w:cs="Arial"/>
                <w:b/>
                <w:szCs w:val="24"/>
              </w:rPr>
              <w:t>Indicator</w:t>
            </w:r>
          </w:p>
        </w:tc>
        <w:tc>
          <w:tcPr>
            <w:tcW w:w="1559" w:type="dxa"/>
            <w:tcBorders>
              <w:top w:val="single" w:sz="4" w:space="0" w:color="auto"/>
              <w:left w:val="single" w:sz="4" w:space="0" w:color="auto"/>
              <w:right w:val="single" w:sz="4" w:space="0" w:color="auto"/>
            </w:tcBorders>
            <w:shd w:val="clear" w:color="auto" w:fill="D9D9D9"/>
            <w:vAlign w:val="center"/>
          </w:tcPr>
          <w:p w14:paraId="50BDA63D" w14:textId="77777777" w:rsidR="00567B46" w:rsidRPr="00567B46" w:rsidRDefault="00567B46" w:rsidP="00092B09">
            <w:pPr>
              <w:contextualSpacing/>
              <w:rPr>
                <w:rFonts w:cs="Arial"/>
                <w:b/>
                <w:szCs w:val="24"/>
              </w:rPr>
            </w:pPr>
            <w:r w:rsidRPr="00567B46">
              <w:rPr>
                <w:rFonts w:cs="Arial"/>
                <w:b/>
                <w:szCs w:val="24"/>
              </w:rPr>
              <w:t>£’000</w:t>
            </w:r>
          </w:p>
        </w:tc>
        <w:tc>
          <w:tcPr>
            <w:tcW w:w="1559" w:type="dxa"/>
            <w:tcBorders>
              <w:top w:val="single" w:sz="4" w:space="0" w:color="auto"/>
              <w:left w:val="single" w:sz="4" w:space="0" w:color="auto"/>
            </w:tcBorders>
            <w:shd w:val="clear" w:color="auto" w:fill="D9D9D9"/>
            <w:vAlign w:val="center"/>
          </w:tcPr>
          <w:p w14:paraId="169F4003" w14:textId="77777777" w:rsidR="00567B46" w:rsidRPr="00567B46" w:rsidRDefault="00567B46" w:rsidP="00092B09">
            <w:pPr>
              <w:contextualSpacing/>
              <w:rPr>
                <w:rFonts w:cs="Arial"/>
                <w:b/>
                <w:szCs w:val="24"/>
              </w:rPr>
            </w:pPr>
            <w:r w:rsidRPr="00567B46">
              <w:rPr>
                <w:rFonts w:cs="Arial"/>
                <w:b/>
                <w:szCs w:val="24"/>
              </w:rPr>
              <w:t>£’000</w:t>
            </w:r>
          </w:p>
        </w:tc>
        <w:tc>
          <w:tcPr>
            <w:tcW w:w="1611" w:type="dxa"/>
            <w:shd w:val="clear" w:color="auto" w:fill="D9D9D9"/>
            <w:vAlign w:val="center"/>
          </w:tcPr>
          <w:p w14:paraId="7667825C" w14:textId="77777777" w:rsidR="00567B46" w:rsidRPr="00567B46" w:rsidRDefault="00567B46" w:rsidP="00092B09">
            <w:pPr>
              <w:contextualSpacing/>
              <w:rPr>
                <w:rFonts w:cs="Arial"/>
                <w:b/>
                <w:szCs w:val="24"/>
              </w:rPr>
            </w:pPr>
            <w:r w:rsidRPr="00567B46">
              <w:rPr>
                <w:rFonts w:cs="Arial"/>
                <w:b/>
                <w:szCs w:val="24"/>
              </w:rPr>
              <w:t>£’000</w:t>
            </w:r>
          </w:p>
        </w:tc>
      </w:tr>
      <w:tr w:rsidR="00567B46" w:rsidRPr="00567B46" w14:paraId="7D967D47" w14:textId="77777777" w:rsidTr="00567B46">
        <w:trPr>
          <w:trHeight w:val="454"/>
        </w:trPr>
        <w:tc>
          <w:tcPr>
            <w:tcW w:w="3260" w:type="dxa"/>
            <w:tcBorders>
              <w:top w:val="single" w:sz="4" w:space="0" w:color="auto"/>
              <w:bottom w:val="single" w:sz="4" w:space="0" w:color="auto"/>
            </w:tcBorders>
            <w:vAlign w:val="center"/>
          </w:tcPr>
          <w:p w14:paraId="4EF7973B" w14:textId="77777777" w:rsidR="00567B46" w:rsidRPr="00567B46" w:rsidRDefault="00567B46" w:rsidP="00092B09">
            <w:pPr>
              <w:contextualSpacing/>
              <w:rPr>
                <w:rFonts w:cs="Arial"/>
                <w:szCs w:val="24"/>
              </w:rPr>
            </w:pPr>
            <w:r w:rsidRPr="00567B46">
              <w:rPr>
                <w:rFonts w:cs="Arial"/>
                <w:szCs w:val="24"/>
              </w:rPr>
              <w:t>Capital Expenditure 2022/23</w:t>
            </w:r>
          </w:p>
        </w:tc>
        <w:tc>
          <w:tcPr>
            <w:tcW w:w="1559" w:type="dxa"/>
            <w:shd w:val="clear" w:color="auto" w:fill="D9D9D9"/>
            <w:vAlign w:val="center"/>
          </w:tcPr>
          <w:p w14:paraId="0B719F9C" w14:textId="77777777" w:rsidR="00567B46" w:rsidRPr="00567B46" w:rsidRDefault="00567B46" w:rsidP="00092B09">
            <w:pPr>
              <w:contextualSpacing/>
              <w:rPr>
                <w:rFonts w:cs="Arial"/>
                <w:szCs w:val="24"/>
              </w:rPr>
            </w:pPr>
            <w:r w:rsidRPr="00567B46">
              <w:rPr>
                <w:rFonts w:cs="Arial"/>
                <w:szCs w:val="24"/>
              </w:rPr>
              <w:t>17,152</w:t>
            </w:r>
          </w:p>
        </w:tc>
        <w:tc>
          <w:tcPr>
            <w:tcW w:w="1559" w:type="dxa"/>
            <w:vAlign w:val="center"/>
          </w:tcPr>
          <w:p w14:paraId="2104C9BD" w14:textId="77777777" w:rsidR="00567B46" w:rsidRPr="00567B46" w:rsidRDefault="00567B46" w:rsidP="00092B09">
            <w:pPr>
              <w:contextualSpacing/>
              <w:rPr>
                <w:rFonts w:cs="Arial"/>
                <w:szCs w:val="24"/>
              </w:rPr>
            </w:pPr>
            <w:r w:rsidRPr="00567B46">
              <w:rPr>
                <w:rFonts w:cs="Arial"/>
                <w:szCs w:val="24"/>
              </w:rPr>
              <w:t>5,187</w:t>
            </w:r>
          </w:p>
        </w:tc>
        <w:tc>
          <w:tcPr>
            <w:tcW w:w="1611" w:type="dxa"/>
            <w:vAlign w:val="center"/>
          </w:tcPr>
          <w:p w14:paraId="4FBC15A0" w14:textId="77777777" w:rsidR="00567B46" w:rsidRPr="00567B46" w:rsidRDefault="00567B46" w:rsidP="00092B09">
            <w:pPr>
              <w:contextualSpacing/>
              <w:rPr>
                <w:rFonts w:cs="Arial"/>
                <w:szCs w:val="24"/>
              </w:rPr>
            </w:pPr>
            <w:r w:rsidRPr="00567B46">
              <w:rPr>
                <w:rFonts w:cs="Arial"/>
                <w:szCs w:val="24"/>
              </w:rPr>
              <w:t>11,965</w:t>
            </w:r>
          </w:p>
        </w:tc>
      </w:tr>
    </w:tbl>
    <w:p w14:paraId="11510B0D" w14:textId="77777777" w:rsidR="00567B46" w:rsidRPr="00567B46" w:rsidRDefault="00567B46" w:rsidP="00092B09">
      <w:pPr>
        <w:tabs>
          <w:tab w:val="center" w:pos="4513"/>
          <w:tab w:val="right" w:pos="9026"/>
        </w:tabs>
        <w:rPr>
          <w:rFonts w:eastAsia="Times New Roman" w:cs="Arial"/>
          <w:bCs/>
          <w:szCs w:val="20"/>
        </w:rPr>
      </w:pPr>
    </w:p>
    <w:p w14:paraId="419CF933" w14:textId="1C20E01B" w:rsidR="00567B46" w:rsidRPr="00567B46" w:rsidRDefault="00567B46" w:rsidP="00092B09">
      <w:pPr>
        <w:tabs>
          <w:tab w:val="center" w:pos="4513"/>
          <w:tab w:val="right" w:pos="9026"/>
        </w:tabs>
        <w:rPr>
          <w:rFonts w:eastAsia="Times New Roman" w:cs="Arial"/>
          <w:bCs/>
          <w:szCs w:val="20"/>
          <w:highlight w:val="yellow"/>
        </w:rPr>
      </w:pPr>
      <w:r w:rsidRPr="00567B46">
        <w:rPr>
          <w:rFonts w:eastAsia="Times New Roman" w:cs="Arial"/>
          <w:bCs/>
          <w:szCs w:val="20"/>
        </w:rPr>
        <w:lastRenderedPageBreak/>
        <w:t>The variance showed that actual expenditure for the year was below the estimate by approx. £11.96m, which was largely due to delays in progressing work planned for 2022/23.  These budgets had now been re-profiled in line with revised plans.</w:t>
      </w:r>
    </w:p>
    <w:p w14:paraId="3E10F47E" w14:textId="77777777" w:rsidR="00567B46" w:rsidRPr="00567B46" w:rsidRDefault="00567B46" w:rsidP="00092B09">
      <w:pPr>
        <w:overflowPunct w:val="0"/>
        <w:autoSpaceDE w:val="0"/>
        <w:autoSpaceDN w:val="0"/>
        <w:adjustRightInd w:val="0"/>
        <w:ind w:left="720"/>
        <w:textAlignment w:val="baseline"/>
        <w:rPr>
          <w:rFonts w:eastAsia="Times New Roman" w:cs="Arial"/>
          <w:bCs/>
          <w:szCs w:val="20"/>
          <w:highlight w:val="yellow"/>
        </w:rPr>
      </w:pPr>
    </w:p>
    <w:p w14:paraId="2B804CE2" w14:textId="77777777" w:rsidR="00567B46" w:rsidRPr="00567B46" w:rsidRDefault="00567B46" w:rsidP="00092B09">
      <w:pPr>
        <w:tabs>
          <w:tab w:val="center" w:pos="4513"/>
          <w:tab w:val="right" w:pos="9026"/>
        </w:tabs>
        <w:rPr>
          <w:rFonts w:eastAsia="Times New Roman" w:cs="Arial"/>
          <w:b/>
          <w:bCs/>
          <w:szCs w:val="20"/>
        </w:rPr>
      </w:pPr>
      <w:r w:rsidRPr="00567B46">
        <w:rPr>
          <w:rFonts w:eastAsia="Times New Roman" w:cs="Arial"/>
          <w:b/>
          <w:bCs/>
          <w:szCs w:val="20"/>
        </w:rPr>
        <w:t>1.2   Capital Resourcing</w:t>
      </w:r>
    </w:p>
    <w:p w14:paraId="74123C09" w14:textId="77777777"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The table below summarised how the capital expenditure for 2022/23 of £5.187m had been financed:</w:t>
      </w: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1701"/>
      </w:tblGrid>
      <w:tr w:rsidR="00567B46" w:rsidRPr="00567B46" w14:paraId="4BAB1692" w14:textId="77777777" w:rsidTr="007311E5">
        <w:trPr>
          <w:trHeight w:val="227"/>
        </w:trPr>
        <w:tc>
          <w:tcPr>
            <w:tcW w:w="6237" w:type="dxa"/>
            <w:tcBorders>
              <w:top w:val="nil"/>
              <w:left w:val="nil"/>
              <w:bottom w:val="single" w:sz="4" w:space="0" w:color="auto"/>
              <w:right w:val="single" w:sz="4" w:space="0" w:color="auto"/>
            </w:tcBorders>
            <w:vAlign w:val="center"/>
          </w:tcPr>
          <w:p w14:paraId="7A961F79" w14:textId="77777777" w:rsidR="00567B46" w:rsidRPr="00567B46" w:rsidRDefault="00567B46" w:rsidP="00092B09">
            <w:pPr>
              <w:contextualSpacing/>
              <w:rPr>
                <w:rFonts w:cs="Arial"/>
                <w:b/>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6C426F0C" w14:textId="77777777" w:rsidR="00567B46" w:rsidRPr="00567B46" w:rsidRDefault="00567B46" w:rsidP="00092B09">
            <w:pPr>
              <w:contextualSpacing/>
              <w:rPr>
                <w:rFonts w:cs="Arial"/>
                <w:b/>
                <w:szCs w:val="24"/>
              </w:rPr>
            </w:pPr>
            <w:r w:rsidRPr="00567B46">
              <w:rPr>
                <w:rFonts w:cs="Arial"/>
                <w:b/>
                <w:szCs w:val="24"/>
              </w:rPr>
              <w:t>£</w:t>
            </w:r>
          </w:p>
        </w:tc>
      </w:tr>
      <w:tr w:rsidR="00567B46" w:rsidRPr="00567B46" w14:paraId="275E2B1F" w14:textId="77777777" w:rsidTr="00567B46">
        <w:trPr>
          <w:trHeight w:val="397"/>
        </w:trPr>
        <w:tc>
          <w:tcPr>
            <w:tcW w:w="6237" w:type="dxa"/>
            <w:tcBorders>
              <w:top w:val="single" w:sz="4" w:space="0" w:color="auto"/>
              <w:left w:val="single" w:sz="4" w:space="0" w:color="auto"/>
              <w:bottom w:val="single" w:sz="4" w:space="0" w:color="auto"/>
              <w:right w:val="single" w:sz="4" w:space="0" w:color="auto"/>
            </w:tcBorders>
            <w:shd w:val="clear" w:color="auto" w:fill="D9D9D9"/>
            <w:vAlign w:val="center"/>
          </w:tcPr>
          <w:p w14:paraId="7D8DB893" w14:textId="77777777" w:rsidR="00567B46" w:rsidRPr="00567B46" w:rsidRDefault="00567B46" w:rsidP="00092B09">
            <w:pPr>
              <w:contextualSpacing/>
              <w:rPr>
                <w:rFonts w:cs="Arial"/>
                <w:b/>
                <w:szCs w:val="24"/>
              </w:rPr>
            </w:pPr>
            <w:r w:rsidRPr="00567B46">
              <w:rPr>
                <w:rFonts w:cs="Arial"/>
                <w:b/>
                <w:szCs w:val="24"/>
              </w:rPr>
              <w:t>Capital Expenditure 2022/23</w:t>
            </w:r>
          </w:p>
        </w:tc>
        <w:tc>
          <w:tcPr>
            <w:tcW w:w="1701" w:type="dxa"/>
            <w:tcBorders>
              <w:top w:val="single" w:sz="4" w:space="0" w:color="auto"/>
              <w:left w:val="single" w:sz="4" w:space="0" w:color="auto"/>
              <w:right w:val="single" w:sz="4" w:space="0" w:color="auto"/>
            </w:tcBorders>
            <w:shd w:val="clear" w:color="auto" w:fill="D9D9D9"/>
            <w:vAlign w:val="center"/>
          </w:tcPr>
          <w:p w14:paraId="40EEE1ED" w14:textId="77777777" w:rsidR="00567B46" w:rsidRPr="00567B46" w:rsidRDefault="00567B46" w:rsidP="00092B09">
            <w:pPr>
              <w:contextualSpacing/>
              <w:rPr>
                <w:rFonts w:cs="Arial"/>
                <w:b/>
                <w:szCs w:val="24"/>
              </w:rPr>
            </w:pPr>
            <w:r w:rsidRPr="00567B46">
              <w:rPr>
                <w:rFonts w:cs="Arial"/>
                <w:b/>
                <w:szCs w:val="24"/>
              </w:rPr>
              <w:t>5,186,715</w:t>
            </w:r>
          </w:p>
        </w:tc>
      </w:tr>
      <w:tr w:rsidR="00567B46" w:rsidRPr="00567B46" w14:paraId="5C42EE15" w14:textId="77777777" w:rsidTr="007311E5">
        <w:trPr>
          <w:trHeight w:val="397"/>
        </w:trPr>
        <w:tc>
          <w:tcPr>
            <w:tcW w:w="6237" w:type="dxa"/>
            <w:tcBorders>
              <w:top w:val="single" w:sz="4" w:space="0" w:color="auto"/>
              <w:left w:val="single" w:sz="4" w:space="0" w:color="auto"/>
              <w:bottom w:val="single" w:sz="4" w:space="0" w:color="auto"/>
              <w:right w:val="single" w:sz="4" w:space="0" w:color="auto"/>
            </w:tcBorders>
            <w:vAlign w:val="center"/>
          </w:tcPr>
          <w:p w14:paraId="62A91EEC" w14:textId="77777777" w:rsidR="00567B46" w:rsidRPr="00567B46" w:rsidRDefault="00567B46" w:rsidP="00092B09">
            <w:pPr>
              <w:contextualSpacing/>
              <w:rPr>
                <w:rFonts w:cs="Arial"/>
                <w:b/>
                <w:szCs w:val="24"/>
              </w:rPr>
            </w:pPr>
            <w:r w:rsidRPr="00567B46">
              <w:rPr>
                <w:rFonts w:cs="Arial"/>
                <w:b/>
                <w:szCs w:val="24"/>
              </w:rPr>
              <w:t>Financed by:</w:t>
            </w:r>
          </w:p>
        </w:tc>
        <w:tc>
          <w:tcPr>
            <w:tcW w:w="1701" w:type="dxa"/>
            <w:tcBorders>
              <w:top w:val="single" w:sz="4" w:space="0" w:color="auto"/>
              <w:left w:val="single" w:sz="4" w:space="0" w:color="auto"/>
              <w:right w:val="single" w:sz="4" w:space="0" w:color="auto"/>
            </w:tcBorders>
            <w:vAlign w:val="center"/>
          </w:tcPr>
          <w:p w14:paraId="0D143BB3" w14:textId="77777777" w:rsidR="00567B46" w:rsidRPr="00567B46" w:rsidRDefault="00567B46" w:rsidP="00092B09">
            <w:pPr>
              <w:contextualSpacing/>
              <w:rPr>
                <w:rFonts w:cs="Arial"/>
                <w:b/>
                <w:szCs w:val="24"/>
              </w:rPr>
            </w:pPr>
          </w:p>
        </w:tc>
      </w:tr>
      <w:tr w:rsidR="00567B46" w:rsidRPr="00567B46" w14:paraId="1218CB0D" w14:textId="77777777" w:rsidTr="007311E5">
        <w:trPr>
          <w:trHeight w:val="397"/>
        </w:trPr>
        <w:tc>
          <w:tcPr>
            <w:tcW w:w="6237" w:type="dxa"/>
            <w:tcBorders>
              <w:top w:val="single" w:sz="4" w:space="0" w:color="auto"/>
              <w:bottom w:val="single" w:sz="4" w:space="0" w:color="auto"/>
            </w:tcBorders>
            <w:vAlign w:val="center"/>
          </w:tcPr>
          <w:p w14:paraId="0EB49457" w14:textId="77777777" w:rsidR="00567B46" w:rsidRPr="00567B46" w:rsidRDefault="00567B46" w:rsidP="00092B09">
            <w:pPr>
              <w:contextualSpacing/>
              <w:rPr>
                <w:rFonts w:cs="Arial"/>
                <w:szCs w:val="24"/>
              </w:rPr>
            </w:pPr>
            <w:r w:rsidRPr="00567B46">
              <w:rPr>
                <w:rFonts w:cs="Arial"/>
                <w:szCs w:val="24"/>
              </w:rPr>
              <w:t>Capital Receipts Reserve</w:t>
            </w:r>
          </w:p>
        </w:tc>
        <w:tc>
          <w:tcPr>
            <w:tcW w:w="1701" w:type="dxa"/>
            <w:vAlign w:val="center"/>
          </w:tcPr>
          <w:p w14:paraId="40AB98FC" w14:textId="77777777" w:rsidR="00567B46" w:rsidRPr="00567B46" w:rsidRDefault="00567B46" w:rsidP="00092B09">
            <w:pPr>
              <w:contextualSpacing/>
              <w:rPr>
                <w:rFonts w:cs="Arial"/>
                <w:szCs w:val="24"/>
              </w:rPr>
            </w:pPr>
            <w:r w:rsidRPr="00567B46">
              <w:rPr>
                <w:rFonts w:cs="Arial"/>
                <w:szCs w:val="24"/>
              </w:rPr>
              <w:t>(1,079,969)</w:t>
            </w:r>
          </w:p>
        </w:tc>
      </w:tr>
      <w:tr w:rsidR="00567B46" w:rsidRPr="00567B46" w14:paraId="54D4828D" w14:textId="77777777" w:rsidTr="007311E5">
        <w:trPr>
          <w:trHeight w:val="397"/>
        </w:trPr>
        <w:tc>
          <w:tcPr>
            <w:tcW w:w="6237" w:type="dxa"/>
            <w:tcBorders>
              <w:top w:val="single" w:sz="4" w:space="0" w:color="auto"/>
              <w:bottom w:val="single" w:sz="4" w:space="0" w:color="auto"/>
            </w:tcBorders>
            <w:vAlign w:val="center"/>
          </w:tcPr>
          <w:p w14:paraId="5C325A7B" w14:textId="77777777" w:rsidR="00567B46" w:rsidRPr="00567B46" w:rsidRDefault="00567B46" w:rsidP="00092B09">
            <w:pPr>
              <w:contextualSpacing/>
              <w:rPr>
                <w:rFonts w:cs="Arial"/>
                <w:szCs w:val="24"/>
              </w:rPr>
            </w:pPr>
            <w:r w:rsidRPr="00567B46">
              <w:rPr>
                <w:rFonts w:cs="Arial"/>
                <w:szCs w:val="24"/>
              </w:rPr>
              <w:t>Grants</w:t>
            </w:r>
          </w:p>
        </w:tc>
        <w:tc>
          <w:tcPr>
            <w:tcW w:w="1701" w:type="dxa"/>
            <w:vAlign w:val="center"/>
          </w:tcPr>
          <w:p w14:paraId="12C619B2" w14:textId="77777777" w:rsidR="00567B46" w:rsidRPr="00567B46" w:rsidRDefault="00567B46" w:rsidP="00092B09">
            <w:pPr>
              <w:contextualSpacing/>
              <w:rPr>
                <w:rFonts w:cs="Arial"/>
                <w:szCs w:val="24"/>
              </w:rPr>
            </w:pPr>
            <w:r w:rsidRPr="00567B46">
              <w:rPr>
                <w:rFonts w:cs="Arial"/>
                <w:szCs w:val="24"/>
              </w:rPr>
              <w:t>(1,383,766)</w:t>
            </w:r>
          </w:p>
        </w:tc>
      </w:tr>
      <w:tr w:rsidR="00567B46" w:rsidRPr="00567B46" w14:paraId="04DFB99A" w14:textId="77777777" w:rsidTr="007311E5">
        <w:trPr>
          <w:trHeight w:val="397"/>
        </w:trPr>
        <w:tc>
          <w:tcPr>
            <w:tcW w:w="6237" w:type="dxa"/>
            <w:tcBorders>
              <w:top w:val="single" w:sz="4" w:space="0" w:color="auto"/>
              <w:bottom w:val="single" w:sz="4" w:space="0" w:color="auto"/>
            </w:tcBorders>
            <w:vAlign w:val="center"/>
          </w:tcPr>
          <w:p w14:paraId="77A14099" w14:textId="77777777" w:rsidR="00567B46" w:rsidRPr="00567B46" w:rsidRDefault="00567B46" w:rsidP="00092B09">
            <w:pPr>
              <w:contextualSpacing/>
              <w:rPr>
                <w:rFonts w:cs="Arial"/>
                <w:szCs w:val="24"/>
              </w:rPr>
            </w:pPr>
            <w:r w:rsidRPr="00567B46">
              <w:rPr>
                <w:rFonts w:cs="Arial"/>
                <w:szCs w:val="24"/>
              </w:rPr>
              <w:t>Revenue</w:t>
            </w:r>
          </w:p>
        </w:tc>
        <w:tc>
          <w:tcPr>
            <w:tcW w:w="1701" w:type="dxa"/>
            <w:vAlign w:val="center"/>
          </w:tcPr>
          <w:p w14:paraId="00382493" w14:textId="77777777" w:rsidR="00567B46" w:rsidRPr="00567B46" w:rsidRDefault="00567B46" w:rsidP="00092B09">
            <w:pPr>
              <w:contextualSpacing/>
              <w:rPr>
                <w:rFonts w:cs="Arial"/>
                <w:szCs w:val="24"/>
              </w:rPr>
            </w:pPr>
            <w:r w:rsidRPr="00567B46">
              <w:rPr>
                <w:rFonts w:cs="Arial"/>
                <w:szCs w:val="24"/>
              </w:rPr>
              <w:t>(296,141)</w:t>
            </w:r>
          </w:p>
        </w:tc>
      </w:tr>
      <w:tr w:rsidR="00567B46" w:rsidRPr="00567B46" w14:paraId="311D7199" w14:textId="77777777" w:rsidTr="00567B46">
        <w:trPr>
          <w:trHeight w:val="397"/>
        </w:trPr>
        <w:tc>
          <w:tcPr>
            <w:tcW w:w="6237" w:type="dxa"/>
            <w:tcBorders>
              <w:top w:val="single" w:sz="12" w:space="0" w:color="auto"/>
              <w:left w:val="single" w:sz="12" w:space="0" w:color="auto"/>
              <w:bottom w:val="single" w:sz="12" w:space="0" w:color="auto"/>
            </w:tcBorders>
            <w:shd w:val="clear" w:color="auto" w:fill="D9D9D9"/>
            <w:vAlign w:val="center"/>
          </w:tcPr>
          <w:p w14:paraId="15E00425" w14:textId="77777777" w:rsidR="00567B46" w:rsidRPr="00567B46" w:rsidRDefault="00567B46" w:rsidP="00092B09">
            <w:pPr>
              <w:contextualSpacing/>
              <w:rPr>
                <w:rFonts w:cs="Arial"/>
                <w:b/>
                <w:szCs w:val="24"/>
              </w:rPr>
            </w:pPr>
            <w:r w:rsidRPr="00567B46">
              <w:rPr>
                <w:rFonts w:cs="Arial"/>
                <w:b/>
                <w:szCs w:val="24"/>
              </w:rPr>
              <w:t>Balance to be met from borrowings</w:t>
            </w:r>
          </w:p>
        </w:tc>
        <w:tc>
          <w:tcPr>
            <w:tcW w:w="1701" w:type="dxa"/>
            <w:tcBorders>
              <w:top w:val="single" w:sz="12" w:space="0" w:color="auto"/>
              <w:bottom w:val="single" w:sz="12" w:space="0" w:color="auto"/>
              <w:right w:val="single" w:sz="12" w:space="0" w:color="auto"/>
            </w:tcBorders>
            <w:shd w:val="clear" w:color="auto" w:fill="D9D9D9"/>
            <w:vAlign w:val="center"/>
          </w:tcPr>
          <w:p w14:paraId="4E0BADF5" w14:textId="77777777" w:rsidR="00567B46" w:rsidRPr="00567B46" w:rsidRDefault="00567B46" w:rsidP="00092B09">
            <w:pPr>
              <w:contextualSpacing/>
              <w:rPr>
                <w:rFonts w:cs="Arial"/>
                <w:b/>
                <w:szCs w:val="24"/>
              </w:rPr>
            </w:pPr>
            <w:r w:rsidRPr="00567B46">
              <w:rPr>
                <w:rFonts w:cs="Arial"/>
                <w:b/>
                <w:szCs w:val="24"/>
              </w:rPr>
              <w:t>2,426,839</w:t>
            </w:r>
          </w:p>
        </w:tc>
      </w:tr>
    </w:tbl>
    <w:p w14:paraId="519BD7CB" w14:textId="77777777" w:rsidR="00567B46" w:rsidRPr="00567B46" w:rsidRDefault="00567B46" w:rsidP="00092B09">
      <w:pPr>
        <w:tabs>
          <w:tab w:val="center" w:pos="4513"/>
          <w:tab w:val="right" w:pos="9026"/>
        </w:tabs>
        <w:rPr>
          <w:rFonts w:eastAsia="Times New Roman" w:cs="Arial"/>
          <w:bCs/>
          <w:szCs w:val="20"/>
        </w:rPr>
      </w:pPr>
    </w:p>
    <w:p w14:paraId="62038FA6" w14:textId="4D6E8B6F"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The unfinanced balance of £2.427m is required to be met from borrowings.  This formed part of the Capital Financing Requirement (see 1.3 below) and was financed through an annual charge for minimum revenue provision (MRP).</w:t>
      </w:r>
    </w:p>
    <w:p w14:paraId="3DAAB7A3" w14:textId="77777777" w:rsidR="00567B46" w:rsidRPr="00567B46" w:rsidRDefault="00567B46" w:rsidP="00092B09">
      <w:pPr>
        <w:tabs>
          <w:tab w:val="center" w:pos="4513"/>
          <w:tab w:val="right" w:pos="9026"/>
        </w:tabs>
        <w:rPr>
          <w:rFonts w:eastAsia="Times New Roman" w:cs="Arial"/>
          <w:bCs/>
          <w:szCs w:val="20"/>
        </w:rPr>
      </w:pPr>
    </w:p>
    <w:p w14:paraId="5953AF78" w14:textId="77777777" w:rsidR="00567B46" w:rsidRPr="00567B46" w:rsidRDefault="00567B46" w:rsidP="00092B09">
      <w:pPr>
        <w:tabs>
          <w:tab w:val="center" w:pos="4513"/>
          <w:tab w:val="right" w:pos="9026"/>
        </w:tabs>
        <w:rPr>
          <w:rFonts w:eastAsia="Times New Roman" w:cs="Arial"/>
          <w:b/>
          <w:bCs/>
          <w:szCs w:val="20"/>
        </w:rPr>
      </w:pPr>
      <w:r w:rsidRPr="00567B46">
        <w:rPr>
          <w:rFonts w:eastAsia="Times New Roman" w:cs="Arial"/>
          <w:b/>
          <w:bCs/>
          <w:szCs w:val="20"/>
        </w:rPr>
        <w:t>1.3   Capital Financing Requirement</w:t>
      </w:r>
    </w:p>
    <w:p w14:paraId="7A7F84D4" w14:textId="77777777" w:rsidR="00567B46" w:rsidRPr="00567B46" w:rsidRDefault="00567B46" w:rsidP="00092B09">
      <w:pPr>
        <w:tabs>
          <w:tab w:val="center" w:pos="4513"/>
          <w:tab w:val="right" w:pos="9026"/>
        </w:tabs>
        <w:rPr>
          <w:rFonts w:eastAsia="Times New Roman" w:cs="Arial"/>
          <w:bCs/>
          <w:szCs w:val="20"/>
        </w:rPr>
      </w:pPr>
    </w:p>
    <w:p w14:paraId="0917AAFC" w14:textId="77777777" w:rsidR="00567B46" w:rsidRPr="00567B46" w:rsidRDefault="00567B46" w:rsidP="00092B09">
      <w:pPr>
        <w:rPr>
          <w:rFonts w:eastAsia="Times New Roman" w:cs="Arial"/>
          <w:szCs w:val="24"/>
        </w:rPr>
      </w:pPr>
      <w:r w:rsidRPr="00567B46">
        <w:rPr>
          <w:rFonts w:eastAsia="Times New Roman" w:cs="Arial"/>
          <w:szCs w:val="24"/>
        </w:rPr>
        <w:t>The Council’s underlying need to borrow to finance capital expenditure was termed the Capital Financing Requirement (CFR). The CFR was simply the total cumulative historic capital expenditure which had not yet been met from either revenue or capital resources.</w:t>
      </w:r>
    </w:p>
    <w:p w14:paraId="6C0743A9" w14:textId="77777777" w:rsidR="00567B46" w:rsidRPr="00567B46" w:rsidRDefault="00567B46" w:rsidP="00092B09">
      <w:pPr>
        <w:rPr>
          <w:rFonts w:eastAsia="Times New Roman" w:cs="Arial"/>
          <w:szCs w:val="24"/>
        </w:rPr>
      </w:pPr>
    </w:p>
    <w:p w14:paraId="6DBB9A7C" w14:textId="77777777" w:rsidR="00567B46" w:rsidRPr="00567B46" w:rsidRDefault="00567B46" w:rsidP="00092B09">
      <w:pPr>
        <w:rPr>
          <w:rFonts w:eastAsia="Times New Roman" w:cs="Arial"/>
          <w:szCs w:val="24"/>
        </w:rPr>
      </w:pPr>
      <w:r w:rsidRPr="00567B46">
        <w:rPr>
          <w:rFonts w:eastAsia="Times New Roman" w:cs="Arial"/>
          <w:szCs w:val="24"/>
        </w:rPr>
        <w:t>The actual positions on the CFR and Gross Borrowing at 31/03/23 compared to the estimates were as follows: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9"/>
        <w:gridCol w:w="1560"/>
        <w:gridCol w:w="1559"/>
      </w:tblGrid>
      <w:tr w:rsidR="00567B46" w:rsidRPr="00567B46" w14:paraId="0CFFAE2B" w14:textId="77777777" w:rsidTr="00567B46">
        <w:trPr>
          <w:trHeight w:val="567"/>
        </w:trPr>
        <w:tc>
          <w:tcPr>
            <w:tcW w:w="4569" w:type="dxa"/>
            <w:tcBorders>
              <w:top w:val="nil"/>
              <w:left w:val="nil"/>
              <w:bottom w:val="single" w:sz="4" w:space="0" w:color="auto"/>
              <w:right w:val="nil"/>
            </w:tcBorders>
            <w:vAlign w:val="center"/>
          </w:tcPr>
          <w:p w14:paraId="51227D0F" w14:textId="77777777" w:rsidR="00567B46" w:rsidRPr="00567B46" w:rsidRDefault="00567B46" w:rsidP="00092B09">
            <w:pPr>
              <w:contextualSpacing/>
              <w:rPr>
                <w:rFonts w:cs="Arial"/>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33248596" w14:textId="77777777" w:rsidR="00567B46" w:rsidRPr="00567B46" w:rsidRDefault="00567B46" w:rsidP="00092B09">
            <w:pPr>
              <w:contextualSpacing/>
              <w:rPr>
                <w:rFonts w:cs="Arial"/>
                <w:b/>
                <w:szCs w:val="24"/>
              </w:rPr>
            </w:pPr>
            <w:r w:rsidRPr="00567B46">
              <w:rPr>
                <w:rFonts w:cs="Arial"/>
                <w:b/>
                <w:szCs w:val="24"/>
              </w:rPr>
              <w:t>Estimate 31/03/23</w:t>
            </w:r>
          </w:p>
        </w:tc>
        <w:tc>
          <w:tcPr>
            <w:tcW w:w="1559" w:type="dxa"/>
            <w:tcBorders>
              <w:left w:val="single" w:sz="4" w:space="0" w:color="auto"/>
            </w:tcBorders>
            <w:shd w:val="clear" w:color="auto" w:fill="D9D9D9"/>
            <w:vAlign w:val="center"/>
          </w:tcPr>
          <w:p w14:paraId="1B259CDE" w14:textId="77777777" w:rsidR="00567B46" w:rsidRPr="00567B46" w:rsidRDefault="00567B46" w:rsidP="00092B09">
            <w:pPr>
              <w:contextualSpacing/>
              <w:rPr>
                <w:rFonts w:cs="Arial"/>
                <w:b/>
                <w:szCs w:val="24"/>
              </w:rPr>
            </w:pPr>
            <w:r w:rsidRPr="00567B46">
              <w:rPr>
                <w:rFonts w:cs="Arial"/>
                <w:b/>
                <w:szCs w:val="24"/>
              </w:rPr>
              <w:t>Actual 31/03/23</w:t>
            </w:r>
          </w:p>
        </w:tc>
      </w:tr>
      <w:tr w:rsidR="00567B46" w:rsidRPr="00567B46" w14:paraId="2442E845" w14:textId="77777777" w:rsidTr="00567B46">
        <w:trPr>
          <w:trHeight w:val="383"/>
        </w:trPr>
        <w:tc>
          <w:tcPr>
            <w:tcW w:w="4569" w:type="dxa"/>
            <w:tcBorders>
              <w:top w:val="single" w:sz="4" w:space="0" w:color="auto"/>
              <w:left w:val="single" w:sz="4" w:space="0" w:color="auto"/>
              <w:bottom w:val="single" w:sz="4" w:space="0" w:color="auto"/>
              <w:right w:val="single" w:sz="4" w:space="0" w:color="auto"/>
            </w:tcBorders>
            <w:shd w:val="clear" w:color="auto" w:fill="D9D9D9"/>
            <w:vAlign w:val="center"/>
          </w:tcPr>
          <w:p w14:paraId="47C95FF8" w14:textId="77777777" w:rsidR="00567B46" w:rsidRPr="00567B46" w:rsidRDefault="00567B46" w:rsidP="00092B09">
            <w:pPr>
              <w:contextualSpacing/>
              <w:rPr>
                <w:rFonts w:cs="Arial"/>
                <w:b/>
                <w:szCs w:val="24"/>
              </w:rPr>
            </w:pPr>
            <w:r w:rsidRPr="00567B46">
              <w:rPr>
                <w:rFonts w:cs="Arial"/>
                <w:b/>
                <w:szCs w:val="24"/>
              </w:rPr>
              <w:t>Indicator</w:t>
            </w:r>
          </w:p>
        </w:tc>
        <w:tc>
          <w:tcPr>
            <w:tcW w:w="1560" w:type="dxa"/>
            <w:tcBorders>
              <w:top w:val="single" w:sz="4" w:space="0" w:color="auto"/>
              <w:left w:val="single" w:sz="4" w:space="0" w:color="auto"/>
            </w:tcBorders>
            <w:shd w:val="clear" w:color="auto" w:fill="D9D9D9"/>
            <w:vAlign w:val="center"/>
          </w:tcPr>
          <w:p w14:paraId="1373775A" w14:textId="77777777" w:rsidR="00567B46" w:rsidRPr="00567B46" w:rsidRDefault="00567B46" w:rsidP="00092B09">
            <w:pPr>
              <w:contextualSpacing/>
              <w:rPr>
                <w:rFonts w:cs="Arial"/>
                <w:b/>
                <w:szCs w:val="24"/>
              </w:rPr>
            </w:pPr>
            <w:r w:rsidRPr="00567B46">
              <w:rPr>
                <w:rFonts w:cs="Arial"/>
                <w:b/>
                <w:szCs w:val="24"/>
              </w:rPr>
              <w:t>£’000</w:t>
            </w:r>
          </w:p>
        </w:tc>
        <w:tc>
          <w:tcPr>
            <w:tcW w:w="1559" w:type="dxa"/>
            <w:shd w:val="clear" w:color="auto" w:fill="D9D9D9"/>
            <w:vAlign w:val="center"/>
          </w:tcPr>
          <w:p w14:paraId="4FB66B65" w14:textId="77777777" w:rsidR="00567B46" w:rsidRPr="00567B46" w:rsidRDefault="00567B46" w:rsidP="00092B09">
            <w:pPr>
              <w:contextualSpacing/>
              <w:rPr>
                <w:rFonts w:cs="Arial"/>
                <w:b/>
                <w:szCs w:val="24"/>
              </w:rPr>
            </w:pPr>
            <w:r w:rsidRPr="00567B46">
              <w:rPr>
                <w:rFonts w:cs="Arial"/>
                <w:b/>
                <w:szCs w:val="24"/>
              </w:rPr>
              <w:t>£’000</w:t>
            </w:r>
          </w:p>
        </w:tc>
      </w:tr>
      <w:tr w:rsidR="00567B46" w:rsidRPr="00567B46" w14:paraId="7D0C4574" w14:textId="77777777" w:rsidTr="00567B46">
        <w:trPr>
          <w:trHeight w:val="397"/>
        </w:trPr>
        <w:tc>
          <w:tcPr>
            <w:tcW w:w="4569" w:type="dxa"/>
            <w:tcBorders>
              <w:top w:val="single" w:sz="4" w:space="0" w:color="auto"/>
              <w:bottom w:val="single" w:sz="4" w:space="0" w:color="auto"/>
            </w:tcBorders>
            <w:vAlign w:val="center"/>
          </w:tcPr>
          <w:p w14:paraId="35D56C18" w14:textId="77777777" w:rsidR="00567B46" w:rsidRPr="00567B46" w:rsidRDefault="00567B46" w:rsidP="00092B09">
            <w:pPr>
              <w:contextualSpacing/>
              <w:rPr>
                <w:rFonts w:cs="Arial"/>
                <w:szCs w:val="24"/>
              </w:rPr>
            </w:pPr>
            <w:r w:rsidRPr="00567B46">
              <w:rPr>
                <w:rFonts w:cs="Arial"/>
                <w:szCs w:val="24"/>
              </w:rPr>
              <w:t>Capital Financing Requirement</w:t>
            </w:r>
            <w:r w:rsidRPr="00567B46">
              <w:rPr>
                <w:rFonts w:cs="Arial"/>
                <w:szCs w:val="24"/>
                <w:vertAlign w:val="superscript"/>
              </w:rPr>
              <w:t>1</w:t>
            </w:r>
          </w:p>
        </w:tc>
        <w:tc>
          <w:tcPr>
            <w:tcW w:w="1560" w:type="dxa"/>
            <w:vAlign w:val="center"/>
          </w:tcPr>
          <w:p w14:paraId="57A0A411" w14:textId="77777777" w:rsidR="00567B46" w:rsidRPr="00567B46" w:rsidRDefault="00567B46" w:rsidP="00092B09">
            <w:pPr>
              <w:contextualSpacing/>
              <w:rPr>
                <w:rFonts w:cs="Arial"/>
                <w:szCs w:val="24"/>
              </w:rPr>
            </w:pPr>
            <w:r w:rsidRPr="00567B46">
              <w:rPr>
                <w:rFonts w:cs="Arial"/>
                <w:szCs w:val="24"/>
              </w:rPr>
              <w:t>83,042</w:t>
            </w:r>
          </w:p>
        </w:tc>
        <w:tc>
          <w:tcPr>
            <w:tcW w:w="1559" w:type="dxa"/>
            <w:shd w:val="clear" w:color="auto" w:fill="FFFFFF"/>
            <w:vAlign w:val="center"/>
          </w:tcPr>
          <w:p w14:paraId="48C307BA" w14:textId="77777777" w:rsidR="00567B46" w:rsidRPr="00567B46" w:rsidRDefault="00567B46" w:rsidP="00092B09">
            <w:pPr>
              <w:contextualSpacing/>
              <w:rPr>
                <w:rFonts w:cs="Arial"/>
                <w:szCs w:val="24"/>
              </w:rPr>
            </w:pPr>
            <w:r w:rsidRPr="00567B46">
              <w:rPr>
                <w:rFonts w:cs="Arial"/>
                <w:szCs w:val="24"/>
              </w:rPr>
              <w:t>76,328</w:t>
            </w:r>
          </w:p>
        </w:tc>
      </w:tr>
      <w:tr w:rsidR="00567B46" w:rsidRPr="00567B46" w14:paraId="1D4A2E97" w14:textId="77777777" w:rsidTr="00567B46">
        <w:trPr>
          <w:trHeight w:val="397"/>
        </w:trPr>
        <w:tc>
          <w:tcPr>
            <w:tcW w:w="4569" w:type="dxa"/>
            <w:tcBorders>
              <w:top w:val="single" w:sz="4" w:space="0" w:color="auto"/>
              <w:bottom w:val="single" w:sz="4" w:space="0" w:color="auto"/>
            </w:tcBorders>
            <w:vAlign w:val="center"/>
          </w:tcPr>
          <w:p w14:paraId="5AD18001" w14:textId="77777777" w:rsidR="00567B46" w:rsidRPr="00567B46" w:rsidRDefault="00567B46" w:rsidP="00092B09">
            <w:pPr>
              <w:contextualSpacing/>
              <w:rPr>
                <w:rFonts w:cs="Arial"/>
                <w:szCs w:val="24"/>
              </w:rPr>
            </w:pPr>
            <w:r w:rsidRPr="00567B46">
              <w:rPr>
                <w:rFonts w:cs="Arial"/>
                <w:szCs w:val="24"/>
              </w:rPr>
              <w:t>Gross Borrowing</w:t>
            </w:r>
            <w:r w:rsidRPr="00567B46">
              <w:rPr>
                <w:rFonts w:cs="Arial"/>
                <w:szCs w:val="24"/>
                <w:vertAlign w:val="superscript"/>
              </w:rPr>
              <w:t>1</w:t>
            </w:r>
          </w:p>
        </w:tc>
        <w:tc>
          <w:tcPr>
            <w:tcW w:w="1560" w:type="dxa"/>
            <w:vAlign w:val="center"/>
          </w:tcPr>
          <w:p w14:paraId="322892C9" w14:textId="77777777" w:rsidR="00567B46" w:rsidRPr="00567B46" w:rsidRDefault="00567B46" w:rsidP="00092B09">
            <w:pPr>
              <w:contextualSpacing/>
              <w:rPr>
                <w:rFonts w:cs="Arial"/>
                <w:szCs w:val="24"/>
              </w:rPr>
            </w:pPr>
            <w:r w:rsidRPr="00567B46">
              <w:rPr>
                <w:rFonts w:cs="Arial"/>
                <w:szCs w:val="24"/>
              </w:rPr>
              <w:t>66,625</w:t>
            </w:r>
          </w:p>
        </w:tc>
        <w:tc>
          <w:tcPr>
            <w:tcW w:w="1559" w:type="dxa"/>
            <w:shd w:val="clear" w:color="auto" w:fill="FFFFFF"/>
            <w:vAlign w:val="center"/>
          </w:tcPr>
          <w:p w14:paraId="5993FC7D" w14:textId="77777777" w:rsidR="00567B46" w:rsidRPr="00567B46" w:rsidRDefault="00567B46" w:rsidP="00092B09">
            <w:pPr>
              <w:contextualSpacing/>
              <w:rPr>
                <w:rFonts w:cs="Arial"/>
                <w:szCs w:val="24"/>
              </w:rPr>
            </w:pPr>
            <w:r w:rsidRPr="00567B46">
              <w:rPr>
                <w:rFonts w:cs="Arial"/>
                <w:szCs w:val="24"/>
              </w:rPr>
              <w:t>63,725</w:t>
            </w:r>
          </w:p>
        </w:tc>
      </w:tr>
      <w:tr w:rsidR="00567B46" w:rsidRPr="00567B46" w14:paraId="410FF3A1" w14:textId="77777777" w:rsidTr="007311E5">
        <w:trPr>
          <w:trHeight w:val="397"/>
        </w:trPr>
        <w:tc>
          <w:tcPr>
            <w:tcW w:w="4569" w:type="dxa"/>
            <w:tcBorders>
              <w:top w:val="single" w:sz="4" w:space="0" w:color="auto"/>
              <w:bottom w:val="single" w:sz="4" w:space="0" w:color="auto"/>
            </w:tcBorders>
            <w:vAlign w:val="center"/>
          </w:tcPr>
          <w:p w14:paraId="41EA0EE7" w14:textId="77777777" w:rsidR="00567B46" w:rsidRPr="00567B46" w:rsidRDefault="00567B46" w:rsidP="00092B09">
            <w:pPr>
              <w:contextualSpacing/>
              <w:rPr>
                <w:rFonts w:cs="Arial"/>
                <w:szCs w:val="24"/>
              </w:rPr>
            </w:pPr>
            <w:r w:rsidRPr="00567B46">
              <w:rPr>
                <w:rFonts w:cs="Arial"/>
                <w:szCs w:val="24"/>
              </w:rPr>
              <w:t xml:space="preserve">Under/(Over) Borrowing Requirement </w:t>
            </w:r>
          </w:p>
        </w:tc>
        <w:tc>
          <w:tcPr>
            <w:tcW w:w="1560" w:type="dxa"/>
            <w:vAlign w:val="center"/>
          </w:tcPr>
          <w:p w14:paraId="4B4A88A9" w14:textId="77777777" w:rsidR="00567B46" w:rsidRPr="00567B46" w:rsidRDefault="00567B46" w:rsidP="00092B09">
            <w:pPr>
              <w:contextualSpacing/>
              <w:rPr>
                <w:rFonts w:cs="Arial"/>
                <w:szCs w:val="24"/>
              </w:rPr>
            </w:pPr>
            <w:r w:rsidRPr="00567B46">
              <w:rPr>
                <w:rFonts w:cs="Arial"/>
                <w:szCs w:val="24"/>
              </w:rPr>
              <w:t>16,417</w:t>
            </w:r>
          </w:p>
        </w:tc>
        <w:tc>
          <w:tcPr>
            <w:tcW w:w="1559" w:type="dxa"/>
            <w:vAlign w:val="center"/>
          </w:tcPr>
          <w:p w14:paraId="0569A5F2" w14:textId="77777777" w:rsidR="00567B46" w:rsidRPr="00567B46" w:rsidRDefault="00567B46" w:rsidP="00092B09">
            <w:pPr>
              <w:contextualSpacing/>
              <w:rPr>
                <w:rFonts w:cs="Arial"/>
                <w:szCs w:val="24"/>
              </w:rPr>
            </w:pPr>
            <w:r w:rsidRPr="00567B46">
              <w:rPr>
                <w:rFonts w:cs="Arial"/>
                <w:szCs w:val="24"/>
              </w:rPr>
              <w:t>12,603</w:t>
            </w:r>
          </w:p>
        </w:tc>
      </w:tr>
    </w:tbl>
    <w:p w14:paraId="1C02429B" w14:textId="77777777" w:rsidR="00567B46" w:rsidRPr="00567B46" w:rsidRDefault="00567B46" w:rsidP="00092B09">
      <w:pPr>
        <w:tabs>
          <w:tab w:val="center" w:pos="4513"/>
          <w:tab w:val="right" w:pos="9026"/>
        </w:tabs>
        <w:ind w:left="720"/>
        <w:rPr>
          <w:rFonts w:eastAsia="Times New Roman" w:cs="Arial"/>
          <w:bCs/>
          <w:sz w:val="20"/>
          <w:szCs w:val="20"/>
        </w:rPr>
      </w:pPr>
      <w:r w:rsidRPr="00567B46">
        <w:rPr>
          <w:rFonts w:eastAsia="Times New Roman" w:cs="Arial"/>
          <w:bCs/>
          <w:szCs w:val="20"/>
          <w:vertAlign w:val="superscript"/>
        </w:rPr>
        <w:t>1</w:t>
      </w:r>
      <w:r w:rsidRPr="00567B46">
        <w:rPr>
          <w:rFonts w:eastAsia="Times New Roman" w:cs="Arial"/>
          <w:bCs/>
          <w:sz w:val="20"/>
          <w:szCs w:val="20"/>
        </w:rPr>
        <w:t>the estimates figures have been revised to remove the impact of the proposed change</w:t>
      </w:r>
    </w:p>
    <w:p w14:paraId="1DC1E2FE" w14:textId="77777777" w:rsidR="00567B46" w:rsidRPr="00567B46" w:rsidRDefault="00567B46" w:rsidP="00092B09">
      <w:pPr>
        <w:tabs>
          <w:tab w:val="center" w:pos="4513"/>
          <w:tab w:val="right" w:pos="9026"/>
        </w:tabs>
        <w:ind w:left="720"/>
        <w:rPr>
          <w:rFonts w:eastAsia="Times New Roman" w:cs="Arial"/>
          <w:bCs/>
          <w:sz w:val="20"/>
          <w:szCs w:val="20"/>
        </w:rPr>
      </w:pPr>
      <w:r w:rsidRPr="00567B46">
        <w:rPr>
          <w:rFonts w:eastAsia="Times New Roman" w:cs="Arial"/>
          <w:bCs/>
          <w:sz w:val="20"/>
          <w:szCs w:val="20"/>
        </w:rPr>
        <w:t xml:space="preserve">  in accounting treatment for leases, which has now been postponed to later years</w:t>
      </w:r>
    </w:p>
    <w:p w14:paraId="322DE3F8" w14:textId="77777777" w:rsidR="00567B46" w:rsidRPr="00567B46" w:rsidRDefault="00567B46" w:rsidP="00092B09">
      <w:pPr>
        <w:tabs>
          <w:tab w:val="center" w:pos="4513"/>
          <w:tab w:val="right" w:pos="9026"/>
        </w:tabs>
        <w:ind w:left="720"/>
        <w:rPr>
          <w:rFonts w:eastAsia="Times New Roman" w:cs="Arial"/>
          <w:bCs/>
          <w:sz w:val="20"/>
          <w:szCs w:val="20"/>
          <w:vertAlign w:val="superscript"/>
        </w:rPr>
      </w:pPr>
    </w:p>
    <w:p w14:paraId="258F75B1" w14:textId="77777777"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The difference between the CFR and the Gross Borrowing figures represented the Council’s underlying need to borrow (£12.6m at 31</w:t>
      </w:r>
      <w:r w:rsidRPr="00567B46">
        <w:rPr>
          <w:rFonts w:eastAsia="Times New Roman" w:cs="Arial"/>
          <w:bCs/>
          <w:szCs w:val="20"/>
          <w:vertAlign w:val="superscript"/>
        </w:rPr>
        <w:t>st</w:t>
      </w:r>
      <w:r w:rsidRPr="00567B46">
        <w:rPr>
          <w:rFonts w:eastAsia="Times New Roman" w:cs="Arial"/>
          <w:bCs/>
          <w:szCs w:val="20"/>
        </w:rPr>
        <w:t xml:space="preserve"> March 2023) and indicated that historic capital expenditure had been temporarily financed from internal revenue resources.  This had been made possible due to an increase in the Council’s cash reserves in the current and previous years.  The position had been similar for several years now with the Council last taking out long-term borrowings in November 2018.  </w:t>
      </w:r>
    </w:p>
    <w:p w14:paraId="0BA2BD8D" w14:textId="77777777" w:rsidR="00567B46" w:rsidRPr="00567B46" w:rsidRDefault="00567B46" w:rsidP="00092B09">
      <w:pPr>
        <w:tabs>
          <w:tab w:val="center" w:pos="4513"/>
          <w:tab w:val="right" w:pos="9026"/>
        </w:tabs>
        <w:rPr>
          <w:rFonts w:eastAsia="Times New Roman" w:cs="Arial"/>
          <w:bCs/>
          <w:szCs w:val="20"/>
          <w:highlight w:val="yellow"/>
        </w:rPr>
      </w:pPr>
    </w:p>
    <w:p w14:paraId="7D4E912D" w14:textId="77777777" w:rsidR="00567B46" w:rsidRPr="00567B46" w:rsidRDefault="00567B46" w:rsidP="00092B09">
      <w:pPr>
        <w:tabs>
          <w:tab w:val="center" w:pos="4513"/>
          <w:tab w:val="right" w:pos="9026"/>
        </w:tabs>
        <w:rPr>
          <w:rFonts w:eastAsia="Times New Roman" w:cs="Arial"/>
          <w:szCs w:val="24"/>
        </w:rPr>
      </w:pPr>
      <w:r w:rsidRPr="00567B46">
        <w:rPr>
          <w:rFonts w:eastAsia="Times New Roman" w:cs="Arial"/>
          <w:szCs w:val="24"/>
        </w:rPr>
        <w:lastRenderedPageBreak/>
        <w:t>In order to ensure that borrowing levels were prudent over the medium term, the Council’s gross external borrowing should not have, except in the short term, exceeded the total of the CFR in the preceding year plus the estimates of any additional CFR for the current and following two financial years.  The forecast CFR for 31</w:t>
      </w:r>
      <w:r w:rsidRPr="00567B46">
        <w:rPr>
          <w:rFonts w:eastAsia="Times New Roman" w:cs="Arial"/>
          <w:szCs w:val="24"/>
          <w:vertAlign w:val="superscript"/>
        </w:rPr>
        <w:t>st</w:t>
      </w:r>
      <w:r w:rsidRPr="00567B46">
        <w:rPr>
          <w:rFonts w:eastAsia="Times New Roman" w:cs="Arial"/>
          <w:szCs w:val="24"/>
        </w:rPr>
        <w:t xml:space="preserve"> March 2026 (based on the Council’s latest approved capital investment plan) was approx. £94.5m.  In this regard, it was considered that the Council’s borrowing level at 31</w:t>
      </w:r>
      <w:r w:rsidRPr="00567B46">
        <w:rPr>
          <w:rFonts w:eastAsia="Times New Roman" w:cs="Arial"/>
          <w:szCs w:val="24"/>
          <w:vertAlign w:val="superscript"/>
        </w:rPr>
        <w:t>st</w:t>
      </w:r>
      <w:r w:rsidRPr="00567B46">
        <w:rPr>
          <w:rFonts w:eastAsia="Times New Roman" w:cs="Arial"/>
          <w:szCs w:val="24"/>
        </w:rPr>
        <w:t xml:space="preserve">  March 2023 of £63.7m was prudent.  </w:t>
      </w:r>
    </w:p>
    <w:p w14:paraId="4A246C13" w14:textId="77777777" w:rsidR="00567B46" w:rsidRPr="00567B46" w:rsidRDefault="00567B46" w:rsidP="00092B09">
      <w:pPr>
        <w:tabs>
          <w:tab w:val="center" w:pos="4513"/>
          <w:tab w:val="right" w:pos="9026"/>
        </w:tabs>
        <w:rPr>
          <w:rFonts w:eastAsia="Times New Roman" w:cs="Arial"/>
          <w:szCs w:val="24"/>
        </w:rPr>
      </w:pPr>
    </w:p>
    <w:p w14:paraId="72F9BC8E" w14:textId="7513AF7A" w:rsidR="00567B46" w:rsidRPr="00567B46" w:rsidRDefault="00567B46" w:rsidP="00092B09">
      <w:pPr>
        <w:tabs>
          <w:tab w:val="center" w:pos="4513"/>
          <w:tab w:val="right" w:pos="9026"/>
        </w:tabs>
        <w:rPr>
          <w:rFonts w:eastAsia="Times New Roman" w:cs="Arial"/>
          <w:szCs w:val="24"/>
        </w:rPr>
      </w:pPr>
      <w:r w:rsidRPr="00567B46">
        <w:rPr>
          <w:rFonts w:eastAsia="Times New Roman" w:cs="Arial"/>
          <w:bCs/>
          <w:szCs w:val="20"/>
        </w:rPr>
        <w:t>When making borrowing decisions, management will continue to work with its treasury advisors, Arlingclose, to develop the most appropriate borrowing strategy.  This was expected to consider the benefits, risks, and impacts of both short-term and long-term loans, with the aim of minimising long-term interest costs.</w:t>
      </w:r>
    </w:p>
    <w:p w14:paraId="71C382B4" w14:textId="77777777" w:rsidR="00567B46" w:rsidRPr="00567B46" w:rsidRDefault="00567B46" w:rsidP="00092B09">
      <w:pPr>
        <w:tabs>
          <w:tab w:val="center" w:pos="4513"/>
          <w:tab w:val="right" w:pos="9026"/>
        </w:tabs>
        <w:rPr>
          <w:rFonts w:eastAsia="Times New Roman" w:cs="Arial"/>
          <w:szCs w:val="24"/>
        </w:rPr>
      </w:pPr>
    </w:p>
    <w:p w14:paraId="747A1B9D" w14:textId="77777777"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
          <w:bCs/>
          <w:szCs w:val="20"/>
        </w:rPr>
        <w:t xml:space="preserve">1.4   External Borrowings </w:t>
      </w:r>
    </w:p>
    <w:p w14:paraId="0B82495A" w14:textId="77777777" w:rsidR="00567B46" w:rsidRPr="00567B46" w:rsidRDefault="00567B46" w:rsidP="00092B09">
      <w:pPr>
        <w:tabs>
          <w:tab w:val="center" w:pos="4513"/>
          <w:tab w:val="right" w:pos="9026"/>
        </w:tabs>
        <w:rPr>
          <w:rFonts w:eastAsia="Times New Roman" w:cs="Arial"/>
          <w:bCs/>
          <w:szCs w:val="20"/>
        </w:rPr>
      </w:pPr>
    </w:p>
    <w:p w14:paraId="2044CA27" w14:textId="77777777" w:rsidR="00567B46" w:rsidRPr="00567B46" w:rsidRDefault="00567B46" w:rsidP="00092B09">
      <w:pPr>
        <w:tabs>
          <w:tab w:val="center" w:pos="4513"/>
          <w:tab w:val="right" w:pos="9026"/>
        </w:tabs>
        <w:rPr>
          <w:rFonts w:eastAsia="Times New Roman" w:cs="Arial"/>
          <w:b/>
          <w:bCs/>
          <w:szCs w:val="20"/>
        </w:rPr>
      </w:pPr>
      <w:r w:rsidRPr="00567B46">
        <w:rPr>
          <w:rFonts w:eastAsia="Times New Roman" w:cs="Arial"/>
          <w:b/>
          <w:bCs/>
          <w:szCs w:val="20"/>
        </w:rPr>
        <w:t>Long-Term Loans</w:t>
      </w:r>
    </w:p>
    <w:p w14:paraId="0A0C0673" w14:textId="77777777"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 xml:space="preserve">During 2022/23, no new long-term loans were taken out and loan principal repayments of £3,135,427 were made against existing loans.  </w:t>
      </w:r>
    </w:p>
    <w:p w14:paraId="0A6019CF" w14:textId="77777777" w:rsidR="00567B46" w:rsidRPr="00567B46" w:rsidRDefault="00567B46" w:rsidP="00092B09">
      <w:pPr>
        <w:tabs>
          <w:tab w:val="center" w:pos="4513"/>
          <w:tab w:val="right" w:pos="9026"/>
        </w:tabs>
        <w:rPr>
          <w:rFonts w:eastAsia="Times New Roman" w:cs="Arial"/>
          <w:bCs/>
          <w:szCs w:val="20"/>
        </w:rPr>
      </w:pPr>
    </w:p>
    <w:p w14:paraId="38BC7AF0" w14:textId="24E80BA6"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This resulted in a level of long-term borrowings at 31 March 2023 of £63,724,548.</w:t>
      </w:r>
    </w:p>
    <w:p w14:paraId="31C52C8B" w14:textId="77777777" w:rsidR="00567B46" w:rsidRPr="00567B46" w:rsidRDefault="00567B46" w:rsidP="00092B09">
      <w:pPr>
        <w:tabs>
          <w:tab w:val="center" w:pos="4513"/>
          <w:tab w:val="right" w:pos="9026"/>
        </w:tabs>
        <w:rPr>
          <w:rFonts w:eastAsia="Times New Roman" w:cs="Arial"/>
          <w:bCs/>
          <w:szCs w:val="20"/>
        </w:rPr>
      </w:pPr>
    </w:p>
    <w:p w14:paraId="744AA4CA" w14:textId="77777777" w:rsidR="00567B46" w:rsidRPr="00567B46" w:rsidRDefault="00567B46" w:rsidP="00092B09">
      <w:pPr>
        <w:tabs>
          <w:tab w:val="center" w:pos="4513"/>
          <w:tab w:val="right" w:pos="9026"/>
        </w:tabs>
        <w:rPr>
          <w:rFonts w:eastAsia="Times New Roman" w:cs="Arial"/>
          <w:b/>
          <w:bCs/>
          <w:szCs w:val="20"/>
        </w:rPr>
      </w:pPr>
      <w:r w:rsidRPr="00567B46">
        <w:rPr>
          <w:rFonts w:eastAsia="Times New Roman" w:cs="Arial"/>
          <w:b/>
          <w:bCs/>
          <w:szCs w:val="20"/>
        </w:rPr>
        <w:t>Short-Term Loans</w:t>
      </w:r>
    </w:p>
    <w:p w14:paraId="6EA0C07B" w14:textId="77777777"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 xml:space="preserve">There was no requirement to take out any short-term borrowings during the year, resulting in a level of short-term borrowings at 31 March 2023 of £nil.    </w:t>
      </w:r>
    </w:p>
    <w:p w14:paraId="28052C7D" w14:textId="77777777" w:rsidR="00567B46" w:rsidRPr="00567B46" w:rsidRDefault="00567B46" w:rsidP="00092B09">
      <w:pPr>
        <w:tabs>
          <w:tab w:val="center" w:pos="4513"/>
          <w:tab w:val="right" w:pos="9026"/>
        </w:tabs>
        <w:rPr>
          <w:rFonts w:eastAsia="Times New Roman" w:cs="Arial"/>
          <w:bCs/>
          <w:szCs w:val="20"/>
        </w:rPr>
      </w:pPr>
    </w:p>
    <w:p w14:paraId="69889059" w14:textId="77777777" w:rsidR="00567B46" w:rsidRPr="00567B46" w:rsidRDefault="00567B46" w:rsidP="00092B09">
      <w:pPr>
        <w:tabs>
          <w:tab w:val="center" w:pos="4513"/>
          <w:tab w:val="right" w:pos="9026"/>
        </w:tabs>
        <w:rPr>
          <w:rFonts w:eastAsia="Times New Roman" w:cs="Arial"/>
          <w:b/>
          <w:szCs w:val="20"/>
        </w:rPr>
      </w:pPr>
      <w:r w:rsidRPr="00567B46">
        <w:rPr>
          <w:rFonts w:eastAsia="Times New Roman" w:cs="Arial"/>
          <w:b/>
          <w:szCs w:val="20"/>
        </w:rPr>
        <w:t>Maximum Gross Borrowings</w:t>
      </w:r>
    </w:p>
    <w:p w14:paraId="3716977A" w14:textId="77777777"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The maximum gross borrowings at any point during the year was £66,859,975.  This meant that Council maintained its borrowings within its authorised limit during the year, as can be seen from the table below.</w:t>
      </w:r>
    </w:p>
    <w:tbl>
      <w:tblPr>
        <w:tblW w:w="850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985"/>
      </w:tblGrid>
      <w:tr w:rsidR="00567B46" w:rsidRPr="00567B46" w14:paraId="33B98B85" w14:textId="77777777" w:rsidTr="007311E5">
        <w:trPr>
          <w:trHeight w:val="340"/>
        </w:trPr>
        <w:tc>
          <w:tcPr>
            <w:tcW w:w="6520" w:type="dxa"/>
            <w:tcBorders>
              <w:top w:val="nil"/>
              <w:left w:val="nil"/>
              <w:bottom w:val="single" w:sz="4" w:space="0" w:color="auto"/>
              <w:right w:val="nil"/>
            </w:tcBorders>
            <w:vAlign w:val="center"/>
          </w:tcPr>
          <w:p w14:paraId="78BDE16F" w14:textId="77777777" w:rsidR="00567B46" w:rsidRPr="00567B46" w:rsidRDefault="00567B46" w:rsidP="00092B09">
            <w:pPr>
              <w:contextualSpacing/>
              <w:rPr>
                <w:rFonts w:cs="Arial"/>
                <w:szCs w:val="24"/>
              </w:rPr>
            </w:pPr>
            <w:r w:rsidRPr="00567B46">
              <w:rPr>
                <w:rFonts w:cs="Arial"/>
                <w:b/>
                <w:szCs w:val="24"/>
                <w:lang w:val="en-US"/>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277E4F6B" w14:textId="77777777" w:rsidR="00567B46" w:rsidRPr="00567B46" w:rsidRDefault="00567B46" w:rsidP="00092B09">
            <w:pPr>
              <w:contextualSpacing/>
              <w:rPr>
                <w:rFonts w:cs="Arial"/>
                <w:b/>
                <w:szCs w:val="24"/>
              </w:rPr>
            </w:pPr>
            <w:r w:rsidRPr="00567B46">
              <w:rPr>
                <w:rFonts w:cs="Arial"/>
                <w:b/>
                <w:szCs w:val="24"/>
              </w:rPr>
              <w:t>2022/23</w:t>
            </w:r>
          </w:p>
        </w:tc>
      </w:tr>
      <w:tr w:rsidR="00567B46" w:rsidRPr="00567B46" w14:paraId="023ABCA8" w14:textId="77777777" w:rsidTr="007311E5">
        <w:trPr>
          <w:trHeight w:val="383"/>
        </w:trPr>
        <w:tc>
          <w:tcPr>
            <w:tcW w:w="6520" w:type="dxa"/>
            <w:tcBorders>
              <w:top w:val="single" w:sz="4" w:space="0" w:color="auto"/>
              <w:left w:val="single" w:sz="4" w:space="0" w:color="auto"/>
              <w:bottom w:val="single" w:sz="4" w:space="0" w:color="auto"/>
              <w:right w:val="single" w:sz="4" w:space="0" w:color="auto"/>
            </w:tcBorders>
            <w:shd w:val="clear" w:color="auto" w:fill="D9D9D9"/>
            <w:vAlign w:val="center"/>
          </w:tcPr>
          <w:p w14:paraId="702A4A60" w14:textId="77777777" w:rsidR="00567B46" w:rsidRPr="00567B46" w:rsidRDefault="00567B46" w:rsidP="00092B09">
            <w:pPr>
              <w:contextualSpacing/>
              <w:rPr>
                <w:rFonts w:cs="Arial"/>
                <w:b/>
                <w:szCs w:val="24"/>
              </w:rPr>
            </w:pPr>
            <w:r w:rsidRPr="00567B46">
              <w:rPr>
                <w:rFonts w:cs="Arial"/>
                <w:b/>
                <w:szCs w:val="24"/>
              </w:rPr>
              <w:t>Indicator</w:t>
            </w:r>
          </w:p>
        </w:tc>
        <w:tc>
          <w:tcPr>
            <w:tcW w:w="1985" w:type="dxa"/>
            <w:tcBorders>
              <w:top w:val="single" w:sz="4" w:space="0" w:color="auto"/>
              <w:left w:val="single" w:sz="4" w:space="0" w:color="auto"/>
              <w:right w:val="single" w:sz="4" w:space="0" w:color="auto"/>
            </w:tcBorders>
            <w:shd w:val="clear" w:color="auto" w:fill="D9D9D9"/>
            <w:vAlign w:val="center"/>
          </w:tcPr>
          <w:p w14:paraId="217435A5" w14:textId="77777777" w:rsidR="00567B46" w:rsidRPr="00567B46" w:rsidRDefault="00567B46" w:rsidP="00092B09">
            <w:pPr>
              <w:contextualSpacing/>
              <w:rPr>
                <w:rFonts w:cs="Arial"/>
                <w:b/>
                <w:szCs w:val="24"/>
              </w:rPr>
            </w:pPr>
            <w:r w:rsidRPr="00567B46">
              <w:rPr>
                <w:rFonts w:cs="Arial"/>
                <w:b/>
                <w:szCs w:val="24"/>
              </w:rPr>
              <w:t>£’000</w:t>
            </w:r>
          </w:p>
        </w:tc>
      </w:tr>
      <w:tr w:rsidR="00567B46" w:rsidRPr="00567B46" w14:paraId="726AD937" w14:textId="77777777" w:rsidTr="007311E5">
        <w:trPr>
          <w:trHeight w:val="454"/>
        </w:trPr>
        <w:tc>
          <w:tcPr>
            <w:tcW w:w="6520" w:type="dxa"/>
            <w:tcBorders>
              <w:top w:val="single" w:sz="4" w:space="0" w:color="auto"/>
              <w:bottom w:val="single" w:sz="4" w:space="0" w:color="auto"/>
            </w:tcBorders>
            <w:vAlign w:val="center"/>
          </w:tcPr>
          <w:p w14:paraId="226437F9" w14:textId="77777777" w:rsidR="00567B46" w:rsidRPr="00567B46" w:rsidRDefault="00567B46" w:rsidP="00092B09">
            <w:pPr>
              <w:contextualSpacing/>
              <w:rPr>
                <w:rFonts w:cs="Arial"/>
                <w:szCs w:val="24"/>
              </w:rPr>
            </w:pPr>
            <w:r w:rsidRPr="00567B46">
              <w:rPr>
                <w:rFonts w:cs="Arial"/>
                <w:szCs w:val="24"/>
              </w:rPr>
              <w:t>Operational Boundary for External Borrowing *</w:t>
            </w:r>
          </w:p>
        </w:tc>
        <w:tc>
          <w:tcPr>
            <w:tcW w:w="1985" w:type="dxa"/>
            <w:vAlign w:val="center"/>
          </w:tcPr>
          <w:p w14:paraId="79C4151C" w14:textId="77777777" w:rsidR="00567B46" w:rsidRPr="00567B46" w:rsidRDefault="00567B46" w:rsidP="00092B09">
            <w:pPr>
              <w:contextualSpacing/>
              <w:rPr>
                <w:rFonts w:cs="Arial"/>
                <w:szCs w:val="24"/>
              </w:rPr>
            </w:pPr>
            <w:r w:rsidRPr="00567B46">
              <w:rPr>
                <w:rFonts w:cs="Arial"/>
                <w:szCs w:val="24"/>
              </w:rPr>
              <w:t>83,042</w:t>
            </w:r>
          </w:p>
        </w:tc>
      </w:tr>
      <w:tr w:rsidR="00567B46" w:rsidRPr="00567B46" w14:paraId="2F10160E" w14:textId="77777777" w:rsidTr="007311E5">
        <w:trPr>
          <w:trHeight w:val="454"/>
        </w:trPr>
        <w:tc>
          <w:tcPr>
            <w:tcW w:w="6520" w:type="dxa"/>
            <w:tcBorders>
              <w:top w:val="single" w:sz="4" w:space="0" w:color="auto"/>
              <w:bottom w:val="single" w:sz="4" w:space="0" w:color="auto"/>
            </w:tcBorders>
            <w:vAlign w:val="center"/>
          </w:tcPr>
          <w:p w14:paraId="081C118A" w14:textId="77777777" w:rsidR="00567B46" w:rsidRPr="00567B46" w:rsidRDefault="00567B46" w:rsidP="00092B09">
            <w:pPr>
              <w:contextualSpacing/>
              <w:rPr>
                <w:rFonts w:cs="Arial"/>
                <w:szCs w:val="24"/>
              </w:rPr>
            </w:pPr>
            <w:r w:rsidRPr="00567B46">
              <w:rPr>
                <w:rFonts w:cs="Arial"/>
                <w:szCs w:val="24"/>
              </w:rPr>
              <w:t>Authorised Borrowing Limit ^</w:t>
            </w:r>
          </w:p>
        </w:tc>
        <w:tc>
          <w:tcPr>
            <w:tcW w:w="1985" w:type="dxa"/>
            <w:vAlign w:val="center"/>
          </w:tcPr>
          <w:p w14:paraId="37D986AB" w14:textId="77777777" w:rsidR="00567B46" w:rsidRPr="00567B46" w:rsidRDefault="00567B46" w:rsidP="00092B09">
            <w:pPr>
              <w:contextualSpacing/>
              <w:rPr>
                <w:rFonts w:cs="Arial"/>
                <w:szCs w:val="24"/>
              </w:rPr>
            </w:pPr>
            <w:r w:rsidRPr="00567B46">
              <w:rPr>
                <w:rFonts w:cs="Arial"/>
                <w:szCs w:val="24"/>
              </w:rPr>
              <w:t>88,042</w:t>
            </w:r>
          </w:p>
        </w:tc>
      </w:tr>
      <w:tr w:rsidR="00567B46" w:rsidRPr="00567B46" w14:paraId="443952F2" w14:textId="77777777" w:rsidTr="007311E5">
        <w:trPr>
          <w:trHeight w:val="454"/>
        </w:trPr>
        <w:tc>
          <w:tcPr>
            <w:tcW w:w="6520" w:type="dxa"/>
            <w:tcBorders>
              <w:top w:val="single" w:sz="4" w:space="0" w:color="auto"/>
              <w:bottom w:val="single" w:sz="4" w:space="0" w:color="auto"/>
            </w:tcBorders>
            <w:vAlign w:val="center"/>
          </w:tcPr>
          <w:p w14:paraId="172AD8F3" w14:textId="77777777" w:rsidR="00567B46" w:rsidRPr="00567B46" w:rsidRDefault="00567B46" w:rsidP="00092B09">
            <w:pPr>
              <w:contextualSpacing/>
              <w:rPr>
                <w:rFonts w:cs="Arial"/>
                <w:szCs w:val="24"/>
              </w:rPr>
            </w:pPr>
            <w:r w:rsidRPr="00567B46">
              <w:rPr>
                <w:rFonts w:cs="Arial"/>
                <w:szCs w:val="24"/>
              </w:rPr>
              <w:t>Maximum Gross Borrowing (within Authorised Limit)</w:t>
            </w:r>
          </w:p>
        </w:tc>
        <w:tc>
          <w:tcPr>
            <w:tcW w:w="1985" w:type="dxa"/>
            <w:vAlign w:val="center"/>
          </w:tcPr>
          <w:p w14:paraId="61D1AF27" w14:textId="77777777" w:rsidR="00567B46" w:rsidRPr="00567B46" w:rsidRDefault="00567B46" w:rsidP="00092B09">
            <w:pPr>
              <w:contextualSpacing/>
              <w:rPr>
                <w:rFonts w:cs="Arial"/>
                <w:szCs w:val="24"/>
              </w:rPr>
            </w:pPr>
            <w:r w:rsidRPr="00567B46">
              <w:rPr>
                <w:rFonts w:cs="Arial"/>
                <w:szCs w:val="24"/>
              </w:rPr>
              <w:t>66,860</w:t>
            </w:r>
          </w:p>
        </w:tc>
      </w:tr>
    </w:tbl>
    <w:p w14:paraId="662FD757" w14:textId="77777777" w:rsidR="00567B46" w:rsidRPr="00567B46" w:rsidRDefault="00567B46" w:rsidP="00092B09">
      <w:pPr>
        <w:rPr>
          <w:rFonts w:eastAsia="Times New Roman"/>
          <w:szCs w:val="20"/>
        </w:rPr>
      </w:pPr>
    </w:p>
    <w:p w14:paraId="5465251B" w14:textId="77777777" w:rsidR="00567B46" w:rsidRPr="00567B46" w:rsidRDefault="00567B46" w:rsidP="00092B09">
      <w:pPr>
        <w:ind w:left="454"/>
        <w:rPr>
          <w:rFonts w:eastAsia="Times New Roman" w:cs="Arial"/>
          <w:sz w:val="22"/>
        </w:rPr>
      </w:pPr>
      <w:r w:rsidRPr="00567B46">
        <w:rPr>
          <w:rFonts w:eastAsia="Times New Roman" w:cs="Arial"/>
          <w:b/>
          <w:sz w:val="22"/>
        </w:rPr>
        <w:t>* The operational boundary</w:t>
      </w:r>
      <w:r w:rsidRPr="00567B46">
        <w:rPr>
          <w:rFonts w:eastAsia="Times New Roman" w:cs="Arial"/>
          <w:sz w:val="22"/>
        </w:rPr>
        <w:t xml:space="preserve"> – the operational boundary was the expected borrowing position of the Council during the year and was based on expenditure and cash flow modelling.  Periods where the actual position was either below or over the operational boundary are acceptable subject to the authorised limit not being breached.  </w:t>
      </w:r>
    </w:p>
    <w:p w14:paraId="474D6A5B" w14:textId="77777777" w:rsidR="00567B46" w:rsidRPr="00567B46" w:rsidRDefault="00567B46" w:rsidP="00092B09">
      <w:pPr>
        <w:ind w:left="720"/>
        <w:rPr>
          <w:rFonts w:eastAsia="Times New Roman" w:cs="Arial"/>
          <w:sz w:val="22"/>
        </w:rPr>
      </w:pPr>
    </w:p>
    <w:p w14:paraId="18B6EC75" w14:textId="08BE3BB6" w:rsidR="00567B46" w:rsidRDefault="00567B46" w:rsidP="00092B09">
      <w:pPr>
        <w:ind w:left="454"/>
        <w:rPr>
          <w:rFonts w:eastAsia="Times New Roman" w:cs="Arial"/>
          <w:sz w:val="22"/>
          <w:szCs w:val="20"/>
        </w:rPr>
      </w:pPr>
      <w:r w:rsidRPr="00567B46">
        <w:rPr>
          <w:rFonts w:eastAsia="Times New Roman" w:cs="Arial"/>
          <w:b/>
          <w:sz w:val="22"/>
          <w:szCs w:val="20"/>
        </w:rPr>
        <w:t>^ The authorised limit</w:t>
      </w:r>
      <w:r w:rsidRPr="00567B46">
        <w:rPr>
          <w:rFonts w:eastAsia="Times New Roman" w:cs="Arial"/>
          <w:sz w:val="22"/>
          <w:szCs w:val="20"/>
        </w:rPr>
        <w:t xml:space="preserve"> - Section 13 of the Local Government Finance Act (Northern Ireland) 2011 required the Council to set an authorised limit for borrowing at the beginning of each financial year. During the year, the Council did not have the power to borrow above this level.</w:t>
      </w:r>
    </w:p>
    <w:p w14:paraId="69639F39" w14:textId="77777777" w:rsidR="00261CA5" w:rsidRDefault="00261CA5" w:rsidP="00092B09">
      <w:pPr>
        <w:ind w:left="454"/>
        <w:rPr>
          <w:rFonts w:eastAsia="Times New Roman" w:cs="Arial"/>
          <w:sz w:val="20"/>
          <w:szCs w:val="20"/>
        </w:rPr>
      </w:pPr>
    </w:p>
    <w:p w14:paraId="0C626BA3" w14:textId="77777777" w:rsidR="00261CA5" w:rsidRDefault="00261CA5" w:rsidP="00092B09">
      <w:pPr>
        <w:ind w:left="454"/>
        <w:rPr>
          <w:rFonts w:eastAsia="Times New Roman" w:cs="Arial"/>
          <w:sz w:val="20"/>
          <w:szCs w:val="20"/>
        </w:rPr>
      </w:pPr>
    </w:p>
    <w:p w14:paraId="324433FD" w14:textId="77777777" w:rsidR="00261CA5" w:rsidRDefault="00261CA5" w:rsidP="00092B09">
      <w:pPr>
        <w:ind w:left="454"/>
        <w:rPr>
          <w:rFonts w:eastAsia="Times New Roman" w:cs="Arial"/>
          <w:sz w:val="20"/>
          <w:szCs w:val="20"/>
        </w:rPr>
      </w:pPr>
    </w:p>
    <w:p w14:paraId="64D36D01" w14:textId="77777777" w:rsidR="00261CA5" w:rsidRPr="00567B46" w:rsidRDefault="00261CA5" w:rsidP="00092B09">
      <w:pPr>
        <w:ind w:left="454"/>
        <w:rPr>
          <w:rFonts w:eastAsia="Times New Roman" w:cs="Arial"/>
          <w:sz w:val="20"/>
          <w:szCs w:val="20"/>
        </w:rPr>
      </w:pPr>
    </w:p>
    <w:p w14:paraId="3C9A022C" w14:textId="77777777" w:rsidR="00567B46" w:rsidRPr="00567B46" w:rsidRDefault="00567B46" w:rsidP="00092B09">
      <w:pPr>
        <w:ind w:left="720"/>
        <w:rPr>
          <w:rFonts w:eastAsia="Times New Roman" w:cs="Arial"/>
          <w:sz w:val="22"/>
        </w:rPr>
      </w:pPr>
    </w:p>
    <w:p w14:paraId="7B521844" w14:textId="77777777"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
          <w:bCs/>
          <w:szCs w:val="20"/>
        </w:rPr>
        <w:lastRenderedPageBreak/>
        <w:t>1.5   Ratio of Financing Costs to Net Revenue Stream</w:t>
      </w:r>
    </w:p>
    <w:p w14:paraId="1779D115" w14:textId="77777777" w:rsidR="00567B46" w:rsidRPr="00567B46" w:rsidRDefault="00567B46" w:rsidP="00092B09">
      <w:pPr>
        <w:rPr>
          <w:rFonts w:eastAsia="Times New Roman" w:cs="Arial"/>
          <w:szCs w:val="24"/>
        </w:rPr>
      </w:pPr>
    </w:p>
    <w:p w14:paraId="3756C728" w14:textId="77777777" w:rsidR="00567B46" w:rsidRPr="00567B46" w:rsidRDefault="00567B46" w:rsidP="00092B09">
      <w:pPr>
        <w:rPr>
          <w:rFonts w:eastAsia="Times New Roman" w:cs="Arial"/>
          <w:szCs w:val="24"/>
        </w:rPr>
      </w:pPr>
      <w:r w:rsidRPr="00567B46">
        <w:rPr>
          <w:rFonts w:eastAsia="Times New Roman" w:cs="Arial"/>
          <w:szCs w:val="24"/>
        </w:rPr>
        <w:t xml:space="preserve">This indicator measured the proportion of the revenue budget that was allocated to finance capital expenditure and the table below shows that the actual for the year was favourably comparable to the estimate. (The term ‘financing costs’ includes both minimum revenue provision and interest payments.) </w:t>
      </w:r>
    </w:p>
    <w:p w14:paraId="172309AC" w14:textId="77777777" w:rsidR="00567B46" w:rsidRPr="00567B46" w:rsidRDefault="00567B46" w:rsidP="00092B09">
      <w:pPr>
        <w:rPr>
          <w:rFonts w:eastAsia="Times New Roman" w:cs="Arial"/>
          <w:sz w:val="20"/>
          <w:szCs w:val="20"/>
        </w:r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1701"/>
      </w:tblGrid>
      <w:tr w:rsidR="00567B46" w:rsidRPr="00567B46" w14:paraId="6D8CAEE7" w14:textId="77777777" w:rsidTr="007311E5">
        <w:trPr>
          <w:trHeight w:val="383"/>
        </w:trPr>
        <w:tc>
          <w:tcPr>
            <w:tcW w:w="6237" w:type="dxa"/>
            <w:tcBorders>
              <w:top w:val="single" w:sz="4" w:space="0" w:color="auto"/>
              <w:left w:val="single" w:sz="4" w:space="0" w:color="auto"/>
              <w:bottom w:val="single" w:sz="4" w:space="0" w:color="auto"/>
              <w:right w:val="single" w:sz="4" w:space="0" w:color="auto"/>
            </w:tcBorders>
            <w:shd w:val="clear" w:color="auto" w:fill="D9D9D9"/>
            <w:vAlign w:val="center"/>
          </w:tcPr>
          <w:p w14:paraId="3636D18B" w14:textId="77777777" w:rsidR="00567B46" w:rsidRPr="00567B46" w:rsidRDefault="00567B46" w:rsidP="00092B09">
            <w:pPr>
              <w:contextualSpacing/>
              <w:rPr>
                <w:rFonts w:cs="Arial"/>
                <w:b/>
                <w:szCs w:val="24"/>
              </w:rPr>
            </w:pPr>
            <w:r w:rsidRPr="00567B46">
              <w:rPr>
                <w:rFonts w:cs="Arial"/>
                <w:b/>
                <w:szCs w:val="24"/>
              </w:rPr>
              <w:t>Indicator</w:t>
            </w:r>
          </w:p>
        </w:tc>
        <w:tc>
          <w:tcPr>
            <w:tcW w:w="1701" w:type="dxa"/>
            <w:tcBorders>
              <w:top w:val="single" w:sz="4" w:space="0" w:color="auto"/>
              <w:left w:val="single" w:sz="4" w:space="0" w:color="auto"/>
              <w:right w:val="single" w:sz="4" w:space="0" w:color="auto"/>
            </w:tcBorders>
            <w:shd w:val="clear" w:color="auto" w:fill="D9D9D9"/>
            <w:vAlign w:val="center"/>
          </w:tcPr>
          <w:p w14:paraId="701194F7" w14:textId="77777777" w:rsidR="00567B46" w:rsidRPr="00567B46" w:rsidRDefault="00567B46" w:rsidP="00092B09">
            <w:pPr>
              <w:contextualSpacing/>
              <w:rPr>
                <w:rFonts w:cs="Arial"/>
                <w:b/>
                <w:szCs w:val="24"/>
              </w:rPr>
            </w:pPr>
            <w:r w:rsidRPr="00567B46">
              <w:rPr>
                <w:rFonts w:cs="Arial"/>
                <w:b/>
                <w:szCs w:val="24"/>
              </w:rPr>
              <w:t>2022/23</w:t>
            </w:r>
          </w:p>
        </w:tc>
      </w:tr>
      <w:tr w:rsidR="00567B46" w:rsidRPr="00567B46" w14:paraId="14D5814F" w14:textId="77777777" w:rsidTr="007311E5">
        <w:trPr>
          <w:trHeight w:val="454"/>
        </w:trPr>
        <w:tc>
          <w:tcPr>
            <w:tcW w:w="6237" w:type="dxa"/>
            <w:tcBorders>
              <w:top w:val="single" w:sz="4" w:space="0" w:color="auto"/>
              <w:bottom w:val="single" w:sz="4" w:space="0" w:color="auto"/>
            </w:tcBorders>
            <w:vAlign w:val="center"/>
          </w:tcPr>
          <w:p w14:paraId="491ED8C4" w14:textId="77777777" w:rsidR="00567B46" w:rsidRPr="00567B46" w:rsidRDefault="00567B46" w:rsidP="00092B09">
            <w:pPr>
              <w:contextualSpacing/>
              <w:rPr>
                <w:rFonts w:cs="Arial"/>
                <w:szCs w:val="24"/>
              </w:rPr>
            </w:pPr>
            <w:r w:rsidRPr="00567B46">
              <w:rPr>
                <w:rFonts w:cs="Arial"/>
                <w:szCs w:val="24"/>
              </w:rPr>
              <w:t>Financing costs as a % of net revenue – Actual</w:t>
            </w:r>
          </w:p>
        </w:tc>
        <w:tc>
          <w:tcPr>
            <w:tcW w:w="1701" w:type="dxa"/>
            <w:vAlign w:val="center"/>
          </w:tcPr>
          <w:p w14:paraId="3F6EB2FE" w14:textId="77777777" w:rsidR="00567B46" w:rsidRPr="00567B46" w:rsidRDefault="00567B46" w:rsidP="00092B09">
            <w:pPr>
              <w:contextualSpacing/>
              <w:rPr>
                <w:rFonts w:cs="Arial"/>
                <w:szCs w:val="24"/>
              </w:rPr>
            </w:pPr>
            <w:r w:rsidRPr="00567B46">
              <w:rPr>
                <w:rFonts w:cs="Arial"/>
                <w:szCs w:val="24"/>
              </w:rPr>
              <w:t>14.0%</w:t>
            </w:r>
          </w:p>
        </w:tc>
      </w:tr>
      <w:tr w:rsidR="00567B46" w:rsidRPr="00567B46" w14:paraId="4E242546" w14:textId="77777777" w:rsidTr="007311E5">
        <w:trPr>
          <w:trHeight w:val="454"/>
        </w:trPr>
        <w:tc>
          <w:tcPr>
            <w:tcW w:w="6237" w:type="dxa"/>
            <w:tcBorders>
              <w:top w:val="single" w:sz="4" w:space="0" w:color="auto"/>
              <w:bottom w:val="single" w:sz="4" w:space="0" w:color="auto"/>
            </w:tcBorders>
            <w:vAlign w:val="center"/>
          </w:tcPr>
          <w:p w14:paraId="5DCE6EAB" w14:textId="77777777" w:rsidR="00567B46" w:rsidRPr="00567B46" w:rsidRDefault="00567B46" w:rsidP="00092B09">
            <w:pPr>
              <w:contextualSpacing/>
              <w:rPr>
                <w:rFonts w:cs="Arial"/>
                <w:szCs w:val="24"/>
              </w:rPr>
            </w:pPr>
            <w:r w:rsidRPr="00567B46">
              <w:rPr>
                <w:rFonts w:cs="Arial"/>
                <w:szCs w:val="24"/>
              </w:rPr>
              <w:t>Financing costs as a % of net revenue – Estimate</w:t>
            </w:r>
          </w:p>
        </w:tc>
        <w:tc>
          <w:tcPr>
            <w:tcW w:w="1701" w:type="dxa"/>
            <w:vAlign w:val="center"/>
          </w:tcPr>
          <w:p w14:paraId="53786E16" w14:textId="77777777" w:rsidR="00567B46" w:rsidRPr="00567B46" w:rsidRDefault="00567B46" w:rsidP="00092B09">
            <w:pPr>
              <w:contextualSpacing/>
              <w:rPr>
                <w:rFonts w:cs="Arial"/>
                <w:szCs w:val="24"/>
              </w:rPr>
            </w:pPr>
            <w:r w:rsidRPr="00567B46">
              <w:rPr>
                <w:rFonts w:cs="Arial"/>
                <w:szCs w:val="24"/>
              </w:rPr>
              <w:t>14.9%</w:t>
            </w:r>
          </w:p>
        </w:tc>
      </w:tr>
    </w:tbl>
    <w:p w14:paraId="5BB6BBC1" w14:textId="77777777" w:rsidR="00567B46" w:rsidRPr="00567B46" w:rsidRDefault="00567B46" w:rsidP="00092B09">
      <w:pPr>
        <w:rPr>
          <w:rFonts w:eastAsia="Times New Roman" w:cs="Arial"/>
          <w:b/>
          <w:szCs w:val="24"/>
        </w:rPr>
      </w:pPr>
    </w:p>
    <w:p w14:paraId="0C4DC657" w14:textId="77777777" w:rsidR="00567B46" w:rsidRPr="00567B46" w:rsidRDefault="00567B46" w:rsidP="00092B09">
      <w:pPr>
        <w:rPr>
          <w:rFonts w:eastAsia="Times New Roman" w:cs="Arial"/>
          <w:b/>
          <w:szCs w:val="24"/>
        </w:rPr>
      </w:pPr>
    </w:p>
    <w:p w14:paraId="1EBEA850" w14:textId="77777777" w:rsidR="00567B46" w:rsidRPr="00567B46" w:rsidRDefault="00567B46" w:rsidP="00092B09">
      <w:pPr>
        <w:rPr>
          <w:rFonts w:eastAsia="Times New Roman" w:cs="Arial"/>
          <w:b/>
          <w:szCs w:val="24"/>
        </w:rPr>
      </w:pPr>
      <w:r w:rsidRPr="00567B46">
        <w:rPr>
          <w:rFonts w:eastAsia="Times New Roman" w:cs="Arial"/>
          <w:b/>
          <w:szCs w:val="24"/>
        </w:rPr>
        <w:t xml:space="preserve">1.6   Debt Rescheduling and Average Interest Rates </w:t>
      </w:r>
    </w:p>
    <w:p w14:paraId="134BBB17" w14:textId="77777777" w:rsidR="00567B46" w:rsidRPr="00567B46" w:rsidRDefault="00567B46" w:rsidP="00092B09">
      <w:pPr>
        <w:rPr>
          <w:rFonts w:eastAsia="Times New Roman" w:cs="Arial"/>
          <w:b/>
          <w:szCs w:val="24"/>
        </w:rPr>
      </w:pPr>
    </w:p>
    <w:p w14:paraId="60B44D30" w14:textId="063FFD1D" w:rsidR="00567B46" w:rsidRPr="00567B46" w:rsidRDefault="00567B46" w:rsidP="00092B09">
      <w:pPr>
        <w:rPr>
          <w:rFonts w:eastAsia="Times New Roman" w:cs="Arial"/>
          <w:bCs/>
          <w:szCs w:val="24"/>
        </w:rPr>
      </w:pPr>
      <w:r w:rsidRPr="00567B46">
        <w:rPr>
          <w:rFonts w:eastAsia="Times New Roman" w:cs="Arial"/>
          <w:szCs w:val="24"/>
        </w:rPr>
        <w:t xml:space="preserve">Officers were not able to avail of any debt rescheduling opportunities during the year as the combination of relatively low interest rates and the differential of 1% between new borrowing rates and premature repayment rates on government loans did not create any viable options.  </w:t>
      </w:r>
      <w:r w:rsidRPr="00567B46">
        <w:rPr>
          <w:rFonts w:eastAsia="Times New Roman" w:cs="Arial"/>
          <w:bCs/>
          <w:szCs w:val="24"/>
        </w:rPr>
        <w:t>At 31 March 2023, the average interest rate for the Council’s total debt portfolio was 3.90%.</w:t>
      </w:r>
    </w:p>
    <w:p w14:paraId="000217E9" w14:textId="77777777" w:rsidR="00567B46" w:rsidRPr="00567B46" w:rsidRDefault="00567B46" w:rsidP="00092B09">
      <w:pPr>
        <w:rPr>
          <w:rFonts w:eastAsia="Times New Roman" w:cs="Arial"/>
          <w:bCs/>
          <w:sz w:val="20"/>
          <w:szCs w:val="20"/>
        </w:rPr>
      </w:pPr>
    </w:p>
    <w:p w14:paraId="6B5C0794" w14:textId="77777777" w:rsidR="00567B46" w:rsidRPr="00567B46" w:rsidRDefault="00567B46" w:rsidP="00092B09">
      <w:pPr>
        <w:rPr>
          <w:rFonts w:eastAsia="Times New Roman" w:cs="Arial"/>
          <w:b/>
          <w:color w:val="000000"/>
          <w:szCs w:val="24"/>
        </w:rPr>
      </w:pPr>
      <w:r w:rsidRPr="00567B46">
        <w:rPr>
          <w:rFonts w:eastAsia="Times New Roman" w:cs="Arial"/>
          <w:b/>
          <w:color w:val="000000"/>
          <w:szCs w:val="24"/>
        </w:rPr>
        <w:t>2</w:t>
      </w:r>
      <w:r w:rsidRPr="00567B46">
        <w:rPr>
          <w:rFonts w:eastAsia="Times New Roman" w:cs="Arial"/>
          <w:b/>
          <w:color w:val="000000"/>
          <w:szCs w:val="24"/>
        </w:rPr>
        <w:tab/>
        <w:t>Treasury Management</w:t>
      </w:r>
    </w:p>
    <w:p w14:paraId="449BB2FA" w14:textId="77777777" w:rsidR="00567B46" w:rsidRPr="00567B46" w:rsidRDefault="00567B46" w:rsidP="00092B09">
      <w:pPr>
        <w:rPr>
          <w:rFonts w:eastAsia="Times New Roman" w:cs="Arial"/>
          <w:color w:val="000000"/>
          <w:sz w:val="12"/>
          <w:szCs w:val="12"/>
        </w:rPr>
      </w:pPr>
    </w:p>
    <w:p w14:paraId="242DEBFA" w14:textId="77777777" w:rsidR="00567B46" w:rsidRPr="00567B46" w:rsidRDefault="00567B46" w:rsidP="00092B09">
      <w:pPr>
        <w:rPr>
          <w:rFonts w:eastAsia="Times New Roman" w:cs="Arial"/>
          <w:color w:val="000000"/>
          <w:sz w:val="12"/>
          <w:szCs w:val="12"/>
        </w:rPr>
      </w:pPr>
    </w:p>
    <w:p w14:paraId="132B0E00" w14:textId="5F277B9E" w:rsidR="00567B46" w:rsidRPr="00567B46" w:rsidRDefault="00567B46" w:rsidP="00092B09">
      <w:pPr>
        <w:rPr>
          <w:rFonts w:eastAsia="Times New Roman" w:cs="Arial"/>
          <w:b/>
          <w:bCs/>
          <w:szCs w:val="20"/>
        </w:rPr>
      </w:pPr>
      <w:r w:rsidRPr="00567B46">
        <w:rPr>
          <w:rFonts w:eastAsia="Times New Roman" w:cs="Arial"/>
          <w:szCs w:val="24"/>
        </w:rPr>
        <w:t>The Council’s Treasury Management Policy and Strategy adopted the key principles of CIPFAs Code of Practice and have been set in accordance with the guidance</w:t>
      </w:r>
      <w:r w:rsidRPr="00567B46">
        <w:rPr>
          <w:rFonts w:eastAsia="Times New Roman" w:cs="Arial"/>
          <w:color w:val="000000"/>
          <w:szCs w:val="24"/>
        </w:rPr>
        <w:t xml:space="preserve"> issued by the Department of the Environment (now the Department for Communities).</w:t>
      </w:r>
    </w:p>
    <w:p w14:paraId="75C4C128" w14:textId="77777777" w:rsidR="00567B46" w:rsidRPr="00567B46" w:rsidRDefault="00567B46" w:rsidP="00092B09">
      <w:pPr>
        <w:tabs>
          <w:tab w:val="center" w:pos="4513"/>
          <w:tab w:val="right" w:pos="9026"/>
        </w:tabs>
        <w:rPr>
          <w:rFonts w:eastAsia="Times New Roman" w:cs="Arial"/>
          <w:b/>
          <w:bCs/>
          <w:szCs w:val="20"/>
        </w:rPr>
      </w:pPr>
    </w:p>
    <w:p w14:paraId="18330D5A" w14:textId="77777777" w:rsidR="00567B46" w:rsidRPr="00567B46" w:rsidRDefault="00567B46" w:rsidP="00092B09">
      <w:pPr>
        <w:tabs>
          <w:tab w:val="left" w:pos="756"/>
          <w:tab w:val="right" w:pos="9026"/>
        </w:tabs>
        <w:rPr>
          <w:rFonts w:eastAsia="Times New Roman" w:cs="Arial"/>
          <w:b/>
          <w:bCs/>
          <w:szCs w:val="20"/>
        </w:rPr>
      </w:pPr>
      <w:r w:rsidRPr="00567B46">
        <w:rPr>
          <w:rFonts w:eastAsia="Times New Roman" w:cs="Arial"/>
          <w:b/>
          <w:bCs/>
          <w:szCs w:val="20"/>
        </w:rPr>
        <w:t>2.1</w:t>
      </w:r>
      <w:r w:rsidRPr="00567B46">
        <w:rPr>
          <w:rFonts w:eastAsia="Times New Roman" w:cs="Arial"/>
          <w:b/>
          <w:bCs/>
          <w:szCs w:val="20"/>
        </w:rPr>
        <w:tab/>
        <w:t>Investment Strategy 2022-23</w:t>
      </w:r>
    </w:p>
    <w:p w14:paraId="7993E5DF" w14:textId="77777777" w:rsidR="00567B46" w:rsidRPr="00567B46" w:rsidRDefault="00567B46" w:rsidP="00092B09">
      <w:pPr>
        <w:tabs>
          <w:tab w:val="center" w:pos="4513"/>
          <w:tab w:val="right" w:pos="9026"/>
        </w:tabs>
        <w:rPr>
          <w:rFonts w:eastAsia="Times New Roman" w:cs="Arial"/>
          <w:bCs/>
          <w:szCs w:val="20"/>
        </w:rPr>
      </w:pPr>
    </w:p>
    <w:p w14:paraId="39E69459" w14:textId="77777777"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The objectives of the Council’s investment strategy are safeguarding the repayment of the principal and interest on its deposits, with return or yield being a secondary objective. As with previous years, the climate for 2022/23 was one of overriding risk consideration, particularly that of counterparty risk.  As a result, implementation of the operational strategy during the year required that funds, when available, were placed on a short-term basis with the Council’s approved high-quality counterparties.  Increases to the Bank of England base rate during the year, however, had resulted in higher-than-expected interest earned.</w:t>
      </w:r>
    </w:p>
    <w:p w14:paraId="5DD5E961" w14:textId="77777777" w:rsidR="00567B46" w:rsidRPr="00567B46" w:rsidRDefault="00567B46" w:rsidP="00092B09">
      <w:pPr>
        <w:tabs>
          <w:tab w:val="center" w:pos="4513"/>
          <w:tab w:val="right" w:pos="9026"/>
        </w:tabs>
        <w:rPr>
          <w:rFonts w:eastAsia="Times New Roman" w:cs="Arial"/>
          <w:b/>
          <w:bCs/>
          <w:szCs w:val="20"/>
          <w:u w:val="single"/>
        </w:rPr>
      </w:pPr>
    </w:p>
    <w:p w14:paraId="72672047" w14:textId="77777777" w:rsidR="00567B46" w:rsidRPr="00567B46" w:rsidRDefault="00567B46" w:rsidP="00092B09">
      <w:pPr>
        <w:tabs>
          <w:tab w:val="center" w:pos="4513"/>
          <w:tab w:val="right" w:pos="9026"/>
        </w:tabs>
        <w:rPr>
          <w:rFonts w:eastAsia="Times New Roman" w:cs="Arial"/>
          <w:bCs/>
          <w:szCs w:val="20"/>
        </w:rPr>
      </w:pPr>
      <w:r w:rsidRPr="00567B46">
        <w:rPr>
          <w:rFonts w:eastAsia="Times New Roman" w:cs="Arial"/>
          <w:bCs/>
          <w:szCs w:val="20"/>
        </w:rPr>
        <w:t xml:space="preserve">For the year to 31 March 2023, Council earned interest of £209,160 on deposits with the approved financial institutions summarised below.  </w:t>
      </w:r>
    </w:p>
    <w:p w14:paraId="794E2F29" w14:textId="77777777" w:rsidR="00567B46" w:rsidRPr="00567B46" w:rsidRDefault="00567B46" w:rsidP="00092B09">
      <w:pPr>
        <w:tabs>
          <w:tab w:val="center" w:pos="4513"/>
          <w:tab w:val="right" w:pos="9026"/>
        </w:tabs>
        <w:rPr>
          <w:rFonts w:eastAsia="Times New Roman" w:cs="Arial"/>
          <w:bCs/>
          <w:szCs w:val="20"/>
        </w:rPr>
      </w:pPr>
    </w:p>
    <w:tbl>
      <w:tblPr>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275"/>
        <w:gridCol w:w="1560"/>
        <w:gridCol w:w="1275"/>
        <w:gridCol w:w="1418"/>
      </w:tblGrid>
      <w:tr w:rsidR="00567B46" w:rsidRPr="00567B46" w14:paraId="49B04B7C" w14:textId="77777777" w:rsidTr="007311E5">
        <w:tc>
          <w:tcPr>
            <w:tcW w:w="2835" w:type="dxa"/>
            <w:shd w:val="clear" w:color="auto" w:fill="D9D9D9"/>
          </w:tcPr>
          <w:p w14:paraId="47744356" w14:textId="77777777" w:rsidR="00567B46" w:rsidRPr="00567B46" w:rsidRDefault="00567B46" w:rsidP="00092B09">
            <w:pPr>
              <w:contextualSpacing/>
              <w:rPr>
                <w:rFonts w:cs="Arial"/>
                <w:b/>
                <w:szCs w:val="24"/>
              </w:rPr>
            </w:pPr>
          </w:p>
        </w:tc>
        <w:tc>
          <w:tcPr>
            <w:tcW w:w="1275" w:type="dxa"/>
            <w:shd w:val="clear" w:color="auto" w:fill="D9D9D9"/>
            <w:vAlign w:val="center"/>
          </w:tcPr>
          <w:p w14:paraId="5248156E" w14:textId="77777777" w:rsidR="00567B46" w:rsidRPr="00567B46" w:rsidRDefault="00567B46" w:rsidP="00092B09">
            <w:pPr>
              <w:contextualSpacing/>
              <w:rPr>
                <w:rFonts w:cs="Arial"/>
                <w:b/>
                <w:szCs w:val="24"/>
              </w:rPr>
            </w:pPr>
            <w:r w:rsidRPr="00567B46">
              <w:rPr>
                <w:rFonts w:cs="Arial"/>
                <w:b/>
                <w:szCs w:val="24"/>
              </w:rPr>
              <w:t>Average Deposit Size</w:t>
            </w:r>
          </w:p>
        </w:tc>
        <w:tc>
          <w:tcPr>
            <w:tcW w:w="1560" w:type="dxa"/>
            <w:shd w:val="clear" w:color="auto" w:fill="D9D9D9"/>
            <w:vAlign w:val="center"/>
          </w:tcPr>
          <w:p w14:paraId="326AF8F9" w14:textId="77777777" w:rsidR="00567B46" w:rsidRPr="00567B46" w:rsidRDefault="00567B46" w:rsidP="00092B09">
            <w:pPr>
              <w:contextualSpacing/>
              <w:rPr>
                <w:rFonts w:cs="Arial"/>
                <w:b/>
                <w:szCs w:val="24"/>
              </w:rPr>
            </w:pPr>
            <w:r w:rsidRPr="00567B46">
              <w:rPr>
                <w:rFonts w:cs="Arial"/>
                <w:b/>
                <w:szCs w:val="24"/>
              </w:rPr>
              <w:t>Deposit Type</w:t>
            </w:r>
          </w:p>
        </w:tc>
        <w:tc>
          <w:tcPr>
            <w:tcW w:w="1275" w:type="dxa"/>
            <w:shd w:val="clear" w:color="auto" w:fill="D9D9D9"/>
            <w:vAlign w:val="center"/>
          </w:tcPr>
          <w:p w14:paraId="4CDE4465" w14:textId="77777777" w:rsidR="00567B46" w:rsidRPr="00567B46" w:rsidRDefault="00567B46" w:rsidP="00092B09">
            <w:pPr>
              <w:contextualSpacing/>
              <w:rPr>
                <w:rFonts w:cs="Arial"/>
                <w:b/>
                <w:szCs w:val="24"/>
              </w:rPr>
            </w:pPr>
            <w:r w:rsidRPr="00567B46">
              <w:rPr>
                <w:rFonts w:cs="Arial"/>
                <w:b/>
                <w:szCs w:val="24"/>
              </w:rPr>
              <w:t>Average Interest Rate</w:t>
            </w:r>
          </w:p>
        </w:tc>
        <w:tc>
          <w:tcPr>
            <w:tcW w:w="1418" w:type="dxa"/>
            <w:shd w:val="clear" w:color="auto" w:fill="D9D9D9"/>
            <w:vAlign w:val="center"/>
          </w:tcPr>
          <w:p w14:paraId="05F2ABAA" w14:textId="77777777" w:rsidR="00567B46" w:rsidRPr="00567B46" w:rsidRDefault="00567B46" w:rsidP="00092B09">
            <w:pPr>
              <w:contextualSpacing/>
              <w:rPr>
                <w:rFonts w:cs="Arial"/>
                <w:b/>
                <w:szCs w:val="24"/>
              </w:rPr>
            </w:pPr>
            <w:r w:rsidRPr="00567B46">
              <w:rPr>
                <w:rFonts w:cs="Arial"/>
                <w:b/>
                <w:szCs w:val="24"/>
              </w:rPr>
              <w:t>Interest Earned    £</w:t>
            </w:r>
          </w:p>
        </w:tc>
      </w:tr>
      <w:tr w:rsidR="00567B46" w:rsidRPr="00567B46" w14:paraId="3857B890" w14:textId="77777777" w:rsidTr="007311E5">
        <w:trPr>
          <w:trHeight w:val="397"/>
        </w:trPr>
        <w:tc>
          <w:tcPr>
            <w:tcW w:w="2835" w:type="dxa"/>
            <w:shd w:val="clear" w:color="auto" w:fill="D9D9D9"/>
            <w:vAlign w:val="center"/>
          </w:tcPr>
          <w:p w14:paraId="0B4CACC4" w14:textId="77777777" w:rsidR="00567B46" w:rsidRPr="00567B46" w:rsidRDefault="00567B46" w:rsidP="00092B09">
            <w:pPr>
              <w:contextualSpacing/>
              <w:rPr>
                <w:rFonts w:cs="Arial"/>
                <w:szCs w:val="24"/>
              </w:rPr>
            </w:pPr>
            <w:r w:rsidRPr="00567B46">
              <w:rPr>
                <w:rFonts w:cs="Arial"/>
                <w:szCs w:val="24"/>
              </w:rPr>
              <w:t>Other Local Authorities</w:t>
            </w:r>
          </w:p>
        </w:tc>
        <w:tc>
          <w:tcPr>
            <w:tcW w:w="1275" w:type="dxa"/>
            <w:vAlign w:val="center"/>
          </w:tcPr>
          <w:p w14:paraId="178C9114" w14:textId="77777777" w:rsidR="00567B46" w:rsidRPr="00567B46" w:rsidRDefault="00567B46" w:rsidP="00092B09">
            <w:pPr>
              <w:contextualSpacing/>
              <w:rPr>
                <w:rFonts w:cs="Arial"/>
                <w:szCs w:val="24"/>
              </w:rPr>
            </w:pPr>
            <w:r w:rsidRPr="00567B46">
              <w:rPr>
                <w:rFonts w:cs="Arial"/>
                <w:szCs w:val="24"/>
              </w:rPr>
              <w:t>£3.0m</w:t>
            </w:r>
          </w:p>
        </w:tc>
        <w:tc>
          <w:tcPr>
            <w:tcW w:w="1560" w:type="dxa"/>
            <w:vAlign w:val="center"/>
          </w:tcPr>
          <w:p w14:paraId="06A676C0" w14:textId="77777777" w:rsidR="00567B46" w:rsidRPr="00567B46" w:rsidRDefault="00567B46" w:rsidP="00092B09">
            <w:pPr>
              <w:contextualSpacing/>
              <w:rPr>
                <w:rFonts w:cs="Arial"/>
                <w:szCs w:val="24"/>
              </w:rPr>
            </w:pPr>
            <w:r w:rsidRPr="00567B46">
              <w:rPr>
                <w:rFonts w:cs="Arial"/>
                <w:szCs w:val="24"/>
              </w:rPr>
              <w:t>Fixed Term</w:t>
            </w:r>
          </w:p>
        </w:tc>
        <w:tc>
          <w:tcPr>
            <w:tcW w:w="1275" w:type="dxa"/>
            <w:vAlign w:val="center"/>
          </w:tcPr>
          <w:p w14:paraId="3B2645FE" w14:textId="77777777" w:rsidR="00567B46" w:rsidRPr="00567B46" w:rsidRDefault="00567B46" w:rsidP="00092B09">
            <w:pPr>
              <w:contextualSpacing/>
              <w:rPr>
                <w:rFonts w:cs="Arial"/>
                <w:szCs w:val="24"/>
              </w:rPr>
            </w:pPr>
            <w:r w:rsidRPr="00567B46">
              <w:rPr>
                <w:rFonts w:cs="Arial"/>
                <w:szCs w:val="24"/>
              </w:rPr>
              <w:t>1.87%</w:t>
            </w:r>
          </w:p>
        </w:tc>
        <w:tc>
          <w:tcPr>
            <w:tcW w:w="1418" w:type="dxa"/>
            <w:vAlign w:val="center"/>
          </w:tcPr>
          <w:p w14:paraId="4657FB7D" w14:textId="77777777" w:rsidR="00567B46" w:rsidRPr="00567B46" w:rsidRDefault="00567B46" w:rsidP="00092B09">
            <w:pPr>
              <w:contextualSpacing/>
              <w:rPr>
                <w:rFonts w:cs="Arial"/>
                <w:szCs w:val="24"/>
              </w:rPr>
            </w:pPr>
            <w:r w:rsidRPr="00567B46">
              <w:rPr>
                <w:rFonts w:cs="Arial"/>
                <w:szCs w:val="24"/>
              </w:rPr>
              <w:t>35,561</w:t>
            </w:r>
          </w:p>
        </w:tc>
      </w:tr>
      <w:tr w:rsidR="00567B46" w:rsidRPr="00567B46" w14:paraId="70741A66" w14:textId="77777777" w:rsidTr="00567B46">
        <w:trPr>
          <w:trHeight w:val="397"/>
        </w:trPr>
        <w:tc>
          <w:tcPr>
            <w:tcW w:w="2835" w:type="dxa"/>
            <w:shd w:val="clear" w:color="auto" w:fill="D9D9D9"/>
            <w:vAlign w:val="center"/>
          </w:tcPr>
          <w:p w14:paraId="18503119" w14:textId="77777777" w:rsidR="00567B46" w:rsidRPr="00567B46" w:rsidRDefault="00567B46" w:rsidP="00092B09">
            <w:pPr>
              <w:contextualSpacing/>
              <w:rPr>
                <w:rFonts w:cs="Arial"/>
                <w:szCs w:val="24"/>
              </w:rPr>
            </w:pPr>
            <w:r w:rsidRPr="00567B46">
              <w:rPr>
                <w:rFonts w:cs="Arial"/>
                <w:szCs w:val="24"/>
              </w:rPr>
              <w:t>CCLA Public Sector Deposit Fund</w:t>
            </w:r>
          </w:p>
        </w:tc>
        <w:tc>
          <w:tcPr>
            <w:tcW w:w="1275" w:type="dxa"/>
            <w:shd w:val="clear" w:color="auto" w:fill="FFFFFF"/>
            <w:vAlign w:val="center"/>
          </w:tcPr>
          <w:p w14:paraId="57785C2E" w14:textId="77777777" w:rsidR="00567B46" w:rsidRPr="00567B46" w:rsidRDefault="00567B46" w:rsidP="00092B09">
            <w:pPr>
              <w:contextualSpacing/>
              <w:rPr>
                <w:rFonts w:cs="Arial"/>
                <w:szCs w:val="24"/>
              </w:rPr>
            </w:pPr>
            <w:r w:rsidRPr="00567B46">
              <w:rPr>
                <w:rFonts w:cs="Arial"/>
                <w:szCs w:val="24"/>
              </w:rPr>
              <w:t>£3.2m</w:t>
            </w:r>
          </w:p>
        </w:tc>
        <w:tc>
          <w:tcPr>
            <w:tcW w:w="1560" w:type="dxa"/>
            <w:shd w:val="clear" w:color="auto" w:fill="FFFFFF"/>
            <w:vAlign w:val="center"/>
          </w:tcPr>
          <w:p w14:paraId="3F753138" w14:textId="77777777" w:rsidR="00567B46" w:rsidRPr="00567B46" w:rsidRDefault="00567B46" w:rsidP="00092B09">
            <w:pPr>
              <w:contextualSpacing/>
              <w:rPr>
                <w:rFonts w:cs="Arial"/>
                <w:szCs w:val="24"/>
              </w:rPr>
            </w:pPr>
            <w:r w:rsidRPr="00567B46">
              <w:rPr>
                <w:rFonts w:cs="Arial"/>
                <w:szCs w:val="24"/>
              </w:rPr>
              <w:t>Call A/c</w:t>
            </w:r>
          </w:p>
        </w:tc>
        <w:tc>
          <w:tcPr>
            <w:tcW w:w="1275" w:type="dxa"/>
            <w:shd w:val="clear" w:color="auto" w:fill="FFFFFF"/>
            <w:vAlign w:val="center"/>
          </w:tcPr>
          <w:p w14:paraId="0DEE0963" w14:textId="77777777" w:rsidR="00567B46" w:rsidRPr="00567B46" w:rsidRDefault="00567B46" w:rsidP="00092B09">
            <w:pPr>
              <w:contextualSpacing/>
              <w:rPr>
                <w:rFonts w:cs="Arial"/>
                <w:szCs w:val="24"/>
              </w:rPr>
            </w:pPr>
            <w:r w:rsidRPr="00567B46">
              <w:rPr>
                <w:rFonts w:cs="Arial"/>
                <w:szCs w:val="24"/>
              </w:rPr>
              <w:t>2.16%</w:t>
            </w:r>
          </w:p>
        </w:tc>
        <w:tc>
          <w:tcPr>
            <w:tcW w:w="1418" w:type="dxa"/>
            <w:shd w:val="clear" w:color="auto" w:fill="FFFFFF"/>
            <w:vAlign w:val="center"/>
          </w:tcPr>
          <w:p w14:paraId="7FEADED9" w14:textId="77777777" w:rsidR="00567B46" w:rsidRPr="00567B46" w:rsidRDefault="00567B46" w:rsidP="00092B09">
            <w:pPr>
              <w:contextualSpacing/>
              <w:rPr>
                <w:rFonts w:cs="Arial"/>
                <w:szCs w:val="24"/>
              </w:rPr>
            </w:pPr>
            <w:r w:rsidRPr="00567B46">
              <w:rPr>
                <w:rFonts w:cs="Arial"/>
                <w:szCs w:val="24"/>
              </w:rPr>
              <w:t xml:space="preserve"> 66,728</w:t>
            </w:r>
          </w:p>
        </w:tc>
      </w:tr>
      <w:tr w:rsidR="00567B46" w:rsidRPr="00567B46" w14:paraId="24D8041D" w14:textId="77777777" w:rsidTr="00567B46">
        <w:trPr>
          <w:trHeight w:val="397"/>
        </w:trPr>
        <w:tc>
          <w:tcPr>
            <w:tcW w:w="2835" w:type="dxa"/>
            <w:shd w:val="clear" w:color="auto" w:fill="D9D9D9"/>
            <w:vAlign w:val="center"/>
          </w:tcPr>
          <w:p w14:paraId="3125A6BA" w14:textId="77777777" w:rsidR="00567B46" w:rsidRPr="00567B46" w:rsidRDefault="00567B46" w:rsidP="00567B46">
            <w:pPr>
              <w:contextualSpacing/>
              <w:rPr>
                <w:rFonts w:cs="Arial"/>
                <w:szCs w:val="24"/>
              </w:rPr>
            </w:pPr>
            <w:r w:rsidRPr="00567B46">
              <w:rPr>
                <w:rFonts w:cs="Arial"/>
                <w:szCs w:val="24"/>
              </w:rPr>
              <w:lastRenderedPageBreak/>
              <w:t>SSGA Money Market Fund</w:t>
            </w:r>
          </w:p>
        </w:tc>
        <w:tc>
          <w:tcPr>
            <w:tcW w:w="1275" w:type="dxa"/>
            <w:shd w:val="clear" w:color="auto" w:fill="FFFFFF"/>
            <w:vAlign w:val="center"/>
          </w:tcPr>
          <w:p w14:paraId="0C7A0829" w14:textId="77777777" w:rsidR="00567B46" w:rsidRPr="00567B46" w:rsidRDefault="00567B46" w:rsidP="00567B46">
            <w:pPr>
              <w:contextualSpacing/>
              <w:jc w:val="center"/>
              <w:rPr>
                <w:rFonts w:cs="Arial"/>
                <w:szCs w:val="24"/>
              </w:rPr>
            </w:pPr>
            <w:r w:rsidRPr="00567B46">
              <w:rPr>
                <w:rFonts w:cs="Arial"/>
                <w:szCs w:val="24"/>
              </w:rPr>
              <w:t>£3.0m</w:t>
            </w:r>
          </w:p>
        </w:tc>
        <w:tc>
          <w:tcPr>
            <w:tcW w:w="1560" w:type="dxa"/>
            <w:shd w:val="clear" w:color="auto" w:fill="FFFFFF"/>
            <w:vAlign w:val="center"/>
          </w:tcPr>
          <w:p w14:paraId="4097D786" w14:textId="77777777" w:rsidR="00567B46" w:rsidRPr="00567B46" w:rsidRDefault="00567B46" w:rsidP="00567B46">
            <w:pPr>
              <w:contextualSpacing/>
              <w:jc w:val="center"/>
              <w:rPr>
                <w:rFonts w:cs="Arial"/>
                <w:szCs w:val="24"/>
              </w:rPr>
            </w:pPr>
            <w:r w:rsidRPr="00567B46">
              <w:rPr>
                <w:rFonts w:cs="Arial"/>
                <w:szCs w:val="24"/>
              </w:rPr>
              <w:t>Call A/c</w:t>
            </w:r>
          </w:p>
        </w:tc>
        <w:tc>
          <w:tcPr>
            <w:tcW w:w="1275" w:type="dxa"/>
            <w:shd w:val="clear" w:color="auto" w:fill="FFFFFF"/>
            <w:vAlign w:val="center"/>
          </w:tcPr>
          <w:p w14:paraId="1C340639" w14:textId="77777777" w:rsidR="00567B46" w:rsidRPr="00567B46" w:rsidRDefault="00567B46" w:rsidP="00567B46">
            <w:pPr>
              <w:contextualSpacing/>
              <w:jc w:val="center"/>
              <w:rPr>
                <w:rFonts w:cs="Arial"/>
                <w:szCs w:val="24"/>
              </w:rPr>
            </w:pPr>
            <w:r w:rsidRPr="00567B46">
              <w:rPr>
                <w:rFonts w:cs="Arial"/>
                <w:szCs w:val="24"/>
              </w:rPr>
              <w:t>3.37%</w:t>
            </w:r>
          </w:p>
        </w:tc>
        <w:tc>
          <w:tcPr>
            <w:tcW w:w="1418" w:type="dxa"/>
            <w:shd w:val="clear" w:color="auto" w:fill="FFFFFF"/>
            <w:vAlign w:val="center"/>
          </w:tcPr>
          <w:p w14:paraId="12DF8AAF" w14:textId="77777777" w:rsidR="00567B46" w:rsidRPr="00567B46" w:rsidRDefault="00567B46" w:rsidP="00567B46">
            <w:pPr>
              <w:contextualSpacing/>
              <w:jc w:val="right"/>
              <w:rPr>
                <w:rFonts w:cs="Arial"/>
                <w:szCs w:val="24"/>
              </w:rPr>
            </w:pPr>
            <w:r w:rsidRPr="00567B46">
              <w:rPr>
                <w:rFonts w:cs="Arial"/>
                <w:szCs w:val="24"/>
              </w:rPr>
              <w:t>26,424</w:t>
            </w:r>
          </w:p>
        </w:tc>
      </w:tr>
      <w:tr w:rsidR="00567B46" w:rsidRPr="00567B46" w14:paraId="4D1559E9" w14:textId="77777777" w:rsidTr="00567B46">
        <w:trPr>
          <w:trHeight w:val="397"/>
        </w:trPr>
        <w:tc>
          <w:tcPr>
            <w:tcW w:w="2835" w:type="dxa"/>
            <w:shd w:val="clear" w:color="auto" w:fill="D9D9D9"/>
            <w:vAlign w:val="center"/>
          </w:tcPr>
          <w:p w14:paraId="0E228A48" w14:textId="77777777" w:rsidR="00567B46" w:rsidRPr="00567B46" w:rsidRDefault="00567B46" w:rsidP="00567B46">
            <w:pPr>
              <w:contextualSpacing/>
              <w:rPr>
                <w:rFonts w:cs="Arial"/>
                <w:szCs w:val="24"/>
              </w:rPr>
            </w:pPr>
            <w:r w:rsidRPr="00567B46">
              <w:rPr>
                <w:rFonts w:cs="Arial"/>
                <w:szCs w:val="24"/>
              </w:rPr>
              <w:t>Barclays</w:t>
            </w:r>
          </w:p>
        </w:tc>
        <w:tc>
          <w:tcPr>
            <w:tcW w:w="1275" w:type="dxa"/>
            <w:shd w:val="clear" w:color="auto" w:fill="FFFFFF"/>
            <w:vAlign w:val="center"/>
          </w:tcPr>
          <w:p w14:paraId="5E1F930B" w14:textId="77777777" w:rsidR="00567B46" w:rsidRPr="00567B46" w:rsidRDefault="00567B46" w:rsidP="00567B46">
            <w:pPr>
              <w:contextualSpacing/>
              <w:jc w:val="center"/>
              <w:rPr>
                <w:rFonts w:cs="Arial"/>
                <w:szCs w:val="24"/>
              </w:rPr>
            </w:pPr>
            <w:r w:rsidRPr="00567B46">
              <w:rPr>
                <w:rFonts w:cs="Arial"/>
                <w:szCs w:val="24"/>
              </w:rPr>
              <w:t>£2.3m</w:t>
            </w:r>
          </w:p>
        </w:tc>
        <w:tc>
          <w:tcPr>
            <w:tcW w:w="1560" w:type="dxa"/>
            <w:shd w:val="clear" w:color="auto" w:fill="FFFFFF"/>
            <w:vAlign w:val="center"/>
          </w:tcPr>
          <w:p w14:paraId="7C58F13F" w14:textId="77777777" w:rsidR="00567B46" w:rsidRPr="00567B46" w:rsidRDefault="00567B46" w:rsidP="00567B46">
            <w:pPr>
              <w:contextualSpacing/>
              <w:jc w:val="center"/>
              <w:rPr>
                <w:rFonts w:cs="Arial"/>
                <w:szCs w:val="24"/>
              </w:rPr>
            </w:pPr>
            <w:r w:rsidRPr="00567B46">
              <w:rPr>
                <w:rFonts w:cs="Arial"/>
                <w:szCs w:val="24"/>
              </w:rPr>
              <w:t>Call A/c</w:t>
            </w:r>
          </w:p>
        </w:tc>
        <w:tc>
          <w:tcPr>
            <w:tcW w:w="1275" w:type="dxa"/>
            <w:shd w:val="clear" w:color="auto" w:fill="FFFFFF"/>
            <w:vAlign w:val="center"/>
          </w:tcPr>
          <w:p w14:paraId="7B2BFF6F" w14:textId="77777777" w:rsidR="00567B46" w:rsidRPr="00567B46" w:rsidRDefault="00567B46" w:rsidP="00567B46">
            <w:pPr>
              <w:contextualSpacing/>
              <w:jc w:val="center"/>
              <w:rPr>
                <w:rFonts w:cs="Arial"/>
                <w:szCs w:val="24"/>
              </w:rPr>
            </w:pPr>
            <w:r w:rsidRPr="00567B46">
              <w:rPr>
                <w:rFonts w:cs="Arial"/>
                <w:szCs w:val="24"/>
              </w:rPr>
              <w:t>2.10%</w:t>
            </w:r>
          </w:p>
        </w:tc>
        <w:tc>
          <w:tcPr>
            <w:tcW w:w="1418" w:type="dxa"/>
            <w:shd w:val="clear" w:color="auto" w:fill="FFFFFF"/>
            <w:vAlign w:val="center"/>
          </w:tcPr>
          <w:p w14:paraId="61F347C6" w14:textId="77777777" w:rsidR="00567B46" w:rsidRPr="00567B46" w:rsidRDefault="00567B46" w:rsidP="00567B46">
            <w:pPr>
              <w:contextualSpacing/>
              <w:jc w:val="right"/>
              <w:rPr>
                <w:rFonts w:cs="Arial"/>
                <w:szCs w:val="24"/>
              </w:rPr>
            </w:pPr>
            <w:r w:rsidRPr="00567B46">
              <w:rPr>
                <w:rFonts w:cs="Arial"/>
                <w:szCs w:val="24"/>
              </w:rPr>
              <w:t>45,805</w:t>
            </w:r>
          </w:p>
        </w:tc>
      </w:tr>
      <w:tr w:rsidR="00567B46" w:rsidRPr="00567B46" w14:paraId="1EC48E54" w14:textId="77777777" w:rsidTr="00567B46">
        <w:trPr>
          <w:trHeight w:val="397"/>
        </w:trPr>
        <w:tc>
          <w:tcPr>
            <w:tcW w:w="2835" w:type="dxa"/>
            <w:shd w:val="clear" w:color="auto" w:fill="D9D9D9"/>
            <w:vAlign w:val="center"/>
          </w:tcPr>
          <w:p w14:paraId="47271776" w14:textId="77777777" w:rsidR="00567B46" w:rsidRPr="00567B46" w:rsidRDefault="00567B46" w:rsidP="00567B46">
            <w:pPr>
              <w:contextualSpacing/>
              <w:rPr>
                <w:rFonts w:cs="Arial"/>
                <w:szCs w:val="24"/>
              </w:rPr>
            </w:pPr>
            <w:r w:rsidRPr="00567B46">
              <w:rPr>
                <w:rFonts w:cs="Arial"/>
                <w:szCs w:val="24"/>
              </w:rPr>
              <w:t xml:space="preserve">Santander </w:t>
            </w:r>
          </w:p>
        </w:tc>
        <w:tc>
          <w:tcPr>
            <w:tcW w:w="1275" w:type="dxa"/>
            <w:shd w:val="clear" w:color="auto" w:fill="FFFFFF"/>
            <w:vAlign w:val="center"/>
          </w:tcPr>
          <w:p w14:paraId="41BBDF36" w14:textId="77777777" w:rsidR="00567B46" w:rsidRPr="00567B46" w:rsidRDefault="00567B46" w:rsidP="00567B46">
            <w:pPr>
              <w:contextualSpacing/>
              <w:jc w:val="center"/>
              <w:rPr>
                <w:rFonts w:cs="Arial"/>
                <w:szCs w:val="24"/>
              </w:rPr>
            </w:pPr>
            <w:r w:rsidRPr="00567B46">
              <w:rPr>
                <w:rFonts w:cs="Arial"/>
                <w:szCs w:val="24"/>
              </w:rPr>
              <w:t>£2.7m</w:t>
            </w:r>
          </w:p>
        </w:tc>
        <w:tc>
          <w:tcPr>
            <w:tcW w:w="1560" w:type="dxa"/>
            <w:shd w:val="clear" w:color="auto" w:fill="FFFFFF"/>
            <w:vAlign w:val="center"/>
          </w:tcPr>
          <w:p w14:paraId="5F6EF02F" w14:textId="77777777" w:rsidR="00567B46" w:rsidRPr="00567B46" w:rsidRDefault="00567B46" w:rsidP="00567B46">
            <w:pPr>
              <w:contextualSpacing/>
              <w:jc w:val="center"/>
              <w:rPr>
                <w:rFonts w:cs="Arial"/>
                <w:szCs w:val="24"/>
              </w:rPr>
            </w:pPr>
            <w:r w:rsidRPr="00567B46">
              <w:rPr>
                <w:rFonts w:cs="Arial"/>
                <w:szCs w:val="24"/>
              </w:rPr>
              <w:t>Call A/c</w:t>
            </w:r>
          </w:p>
        </w:tc>
        <w:tc>
          <w:tcPr>
            <w:tcW w:w="1275" w:type="dxa"/>
            <w:shd w:val="clear" w:color="auto" w:fill="FFFFFF"/>
            <w:vAlign w:val="center"/>
          </w:tcPr>
          <w:p w14:paraId="3E01258C" w14:textId="77777777" w:rsidR="00567B46" w:rsidRPr="00567B46" w:rsidRDefault="00567B46" w:rsidP="00567B46">
            <w:pPr>
              <w:contextualSpacing/>
              <w:jc w:val="center"/>
              <w:rPr>
                <w:rFonts w:cs="Arial"/>
                <w:szCs w:val="24"/>
              </w:rPr>
            </w:pPr>
            <w:r w:rsidRPr="00567B46">
              <w:rPr>
                <w:rFonts w:cs="Arial"/>
                <w:szCs w:val="24"/>
              </w:rPr>
              <w:t>1.29%</w:t>
            </w:r>
          </w:p>
        </w:tc>
        <w:tc>
          <w:tcPr>
            <w:tcW w:w="1418" w:type="dxa"/>
            <w:shd w:val="clear" w:color="auto" w:fill="FFFFFF"/>
            <w:vAlign w:val="center"/>
          </w:tcPr>
          <w:p w14:paraId="4D0A49F8" w14:textId="77777777" w:rsidR="00567B46" w:rsidRPr="00567B46" w:rsidRDefault="00567B46" w:rsidP="00567B46">
            <w:pPr>
              <w:contextualSpacing/>
              <w:jc w:val="right"/>
              <w:rPr>
                <w:rFonts w:cs="Arial"/>
                <w:szCs w:val="24"/>
              </w:rPr>
            </w:pPr>
            <w:r w:rsidRPr="00567B46">
              <w:rPr>
                <w:rFonts w:cs="Arial"/>
                <w:szCs w:val="24"/>
              </w:rPr>
              <w:t xml:space="preserve"> 28,534</w:t>
            </w:r>
          </w:p>
        </w:tc>
      </w:tr>
      <w:tr w:rsidR="00567B46" w:rsidRPr="00567B46" w14:paraId="03DD3CAD" w14:textId="77777777" w:rsidTr="00567B46">
        <w:trPr>
          <w:trHeight w:val="397"/>
        </w:trPr>
        <w:tc>
          <w:tcPr>
            <w:tcW w:w="2835" w:type="dxa"/>
            <w:shd w:val="clear" w:color="auto" w:fill="D9D9D9"/>
            <w:vAlign w:val="center"/>
          </w:tcPr>
          <w:p w14:paraId="7595012F" w14:textId="77777777" w:rsidR="00567B46" w:rsidRPr="00567B46" w:rsidRDefault="00567B46" w:rsidP="00567B46">
            <w:pPr>
              <w:contextualSpacing/>
              <w:rPr>
                <w:rFonts w:cs="Arial"/>
                <w:szCs w:val="24"/>
              </w:rPr>
            </w:pPr>
            <w:r w:rsidRPr="00567B46">
              <w:rPr>
                <w:rFonts w:cs="Arial"/>
                <w:szCs w:val="24"/>
              </w:rPr>
              <w:t>Bank of Scotland</w:t>
            </w:r>
          </w:p>
        </w:tc>
        <w:tc>
          <w:tcPr>
            <w:tcW w:w="1275" w:type="dxa"/>
            <w:shd w:val="clear" w:color="auto" w:fill="FFFFFF"/>
            <w:vAlign w:val="center"/>
          </w:tcPr>
          <w:p w14:paraId="705B4BA7" w14:textId="77777777" w:rsidR="00567B46" w:rsidRPr="00567B46" w:rsidRDefault="00567B46" w:rsidP="00567B46">
            <w:pPr>
              <w:contextualSpacing/>
              <w:jc w:val="center"/>
              <w:rPr>
                <w:rFonts w:cs="Arial"/>
                <w:szCs w:val="24"/>
              </w:rPr>
            </w:pPr>
            <w:r w:rsidRPr="00567B46">
              <w:rPr>
                <w:rFonts w:cs="Arial"/>
                <w:szCs w:val="24"/>
              </w:rPr>
              <w:t>£1.4m</w:t>
            </w:r>
          </w:p>
        </w:tc>
        <w:tc>
          <w:tcPr>
            <w:tcW w:w="1560" w:type="dxa"/>
            <w:shd w:val="clear" w:color="auto" w:fill="FFFFFF"/>
            <w:vAlign w:val="center"/>
          </w:tcPr>
          <w:p w14:paraId="79722EF0" w14:textId="77777777" w:rsidR="00567B46" w:rsidRPr="00567B46" w:rsidRDefault="00567B46" w:rsidP="00567B46">
            <w:pPr>
              <w:contextualSpacing/>
              <w:jc w:val="center"/>
              <w:rPr>
                <w:rFonts w:cs="Arial"/>
                <w:szCs w:val="24"/>
              </w:rPr>
            </w:pPr>
            <w:r w:rsidRPr="00567B46">
              <w:rPr>
                <w:rFonts w:cs="Arial"/>
                <w:szCs w:val="24"/>
              </w:rPr>
              <w:t>Call A/c</w:t>
            </w:r>
          </w:p>
        </w:tc>
        <w:tc>
          <w:tcPr>
            <w:tcW w:w="1275" w:type="dxa"/>
            <w:shd w:val="clear" w:color="auto" w:fill="FFFFFF"/>
            <w:vAlign w:val="center"/>
          </w:tcPr>
          <w:p w14:paraId="2C7FB555" w14:textId="77777777" w:rsidR="00567B46" w:rsidRPr="00567B46" w:rsidRDefault="00567B46" w:rsidP="00567B46">
            <w:pPr>
              <w:contextualSpacing/>
              <w:jc w:val="center"/>
              <w:rPr>
                <w:rFonts w:cs="Arial"/>
                <w:szCs w:val="24"/>
              </w:rPr>
            </w:pPr>
            <w:r w:rsidRPr="00567B46">
              <w:rPr>
                <w:rFonts w:cs="Arial"/>
                <w:szCs w:val="24"/>
              </w:rPr>
              <w:t>0.90%</w:t>
            </w:r>
          </w:p>
        </w:tc>
        <w:tc>
          <w:tcPr>
            <w:tcW w:w="1418" w:type="dxa"/>
            <w:shd w:val="clear" w:color="auto" w:fill="FFFFFF"/>
            <w:vAlign w:val="center"/>
          </w:tcPr>
          <w:p w14:paraId="3A5C595E" w14:textId="77777777" w:rsidR="00567B46" w:rsidRPr="00567B46" w:rsidRDefault="00567B46" w:rsidP="00567B46">
            <w:pPr>
              <w:contextualSpacing/>
              <w:jc w:val="right"/>
              <w:rPr>
                <w:rFonts w:cs="Arial"/>
                <w:szCs w:val="24"/>
              </w:rPr>
            </w:pPr>
            <w:r w:rsidRPr="00567B46">
              <w:rPr>
                <w:rFonts w:cs="Arial"/>
                <w:szCs w:val="24"/>
              </w:rPr>
              <w:t>4,611</w:t>
            </w:r>
          </w:p>
        </w:tc>
      </w:tr>
      <w:tr w:rsidR="00567B46" w:rsidRPr="00567B46" w14:paraId="69EE03CE" w14:textId="77777777" w:rsidTr="00567B46">
        <w:trPr>
          <w:trHeight w:val="397"/>
        </w:trPr>
        <w:tc>
          <w:tcPr>
            <w:tcW w:w="2835" w:type="dxa"/>
            <w:shd w:val="clear" w:color="auto" w:fill="D9D9D9"/>
            <w:vAlign w:val="center"/>
          </w:tcPr>
          <w:p w14:paraId="596D5DF0" w14:textId="77777777" w:rsidR="00567B46" w:rsidRPr="00567B46" w:rsidRDefault="00567B46" w:rsidP="00567B46">
            <w:pPr>
              <w:contextualSpacing/>
              <w:rPr>
                <w:rFonts w:cs="Arial"/>
                <w:szCs w:val="24"/>
              </w:rPr>
            </w:pPr>
            <w:r w:rsidRPr="00567B46">
              <w:rPr>
                <w:rFonts w:cs="Arial"/>
                <w:szCs w:val="24"/>
              </w:rPr>
              <w:t>Lloyds</w:t>
            </w:r>
          </w:p>
        </w:tc>
        <w:tc>
          <w:tcPr>
            <w:tcW w:w="1275" w:type="dxa"/>
            <w:shd w:val="clear" w:color="auto" w:fill="FFFFFF"/>
            <w:vAlign w:val="center"/>
          </w:tcPr>
          <w:p w14:paraId="53B996A7" w14:textId="77777777" w:rsidR="00567B46" w:rsidRPr="00567B46" w:rsidRDefault="00567B46" w:rsidP="00567B46">
            <w:pPr>
              <w:contextualSpacing/>
              <w:jc w:val="center"/>
              <w:rPr>
                <w:rFonts w:cs="Arial"/>
                <w:szCs w:val="24"/>
              </w:rPr>
            </w:pPr>
            <w:r w:rsidRPr="00567B46">
              <w:rPr>
                <w:rFonts w:cs="Arial"/>
                <w:szCs w:val="24"/>
              </w:rPr>
              <w:t>£0.7m</w:t>
            </w:r>
          </w:p>
        </w:tc>
        <w:tc>
          <w:tcPr>
            <w:tcW w:w="1560" w:type="dxa"/>
            <w:shd w:val="clear" w:color="auto" w:fill="FFFFFF"/>
            <w:vAlign w:val="center"/>
          </w:tcPr>
          <w:p w14:paraId="11D5760A" w14:textId="77777777" w:rsidR="00567B46" w:rsidRPr="00567B46" w:rsidRDefault="00567B46" w:rsidP="00567B46">
            <w:pPr>
              <w:contextualSpacing/>
              <w:jc w:val="center"/>
              <w:rPr>
                <w:rFonts w:cs="Arial"/>
                <w:szCs w:val="24"/>
              </w:rPr>
            </w:pPr>
            <w:r w:rsidRPr="00567B46">
              <w:rPr>
                <w:rFonts w:cs="Arial"/>
                <w:szCs w:val="24"/>
              </w:rPr>
              <w:t>Call A/c</w:t>
            </w:r>
          </w:p>
        </w:tc>
        <w:tc>
          <w:tcPr>
            <w:tcW w:w="1275" w:type="dxa"/>
            <w:shd w:val="clear" w:color="auto" w:fill="FFFFFF"/>
            <w:vAlign w:val="center"/>
          </w:tcPr>
          <w:p w14:paraId="451E0A4A" w14:textId="77777777" w:rsidR="00567B46" w:rsidRPr="00567B46" w:rsidRDefault="00567B46" w:rsidP="00567B46">
            <w:pPr>
              <w:contextualSpacing/>
              <w:jc w:val="center"/>
              <w:rPr>
                <w:rFonts w:cs="Arial"/>
                <w:szCs w:val="24"/>
              </w:rPr>
            </w:pPr>
            <w:r w:rsidRPr="00567B46">
              <w:rPr>
                <w:rFonts w:cs="Arial"/>
                <w:szCs w:val="24"/>
              </w:rPr>
              <w:t>0.21%</w:t>
            </w:r>
          </w:p>
        </w:tc>
        <w:tc>
          <w:tcPr>
            <w:tcW w:w="1418" w:type="dxa"/>
            <w:shd w:val="clear" w:color="auto" w:fill="FFFFFF"/>
            <w:vAlign w:val="center"/>
          </w:tcPr>
          <w:p w14:paraId="2C7D9C9D" w14:textId="77777777" w:rsidR="00567B46" w:rsidRPr="00567B46" w:rsidRDefault="00567B46" w:rsidP="00567B46">
            <w:pPr>
              <w:contextualSpacing/>
              <w:jc w:val="right"/>
              <w:rPr>
                <w:rFonts w:cs="Arial"/>
                <w:szCs w:val="24"/>
              </w:rPr>
            </w:pPr>
            <w:r w:rsidRPr="00567B46">
              <w:rPr>
                <w:rFonts w:cs="Arial"/>
                <w:szCs w:val="24"/>
              </w:rPr>
              <w:t>1,497</w:t>
            </w:r>
          </w:p>
        </w:tc>
      </w:tr>
      <w:tr w:rsidR="00567B46" w:rsidRPr="00567B46" w14:paraId="721F372B" w14:textId="77777777" w:rsidTr="007311E5">
        <w:trPr>
          <w:trHeight w:val="397"/>
        </w:trPr>
        <w:tc>
          <w:tcPr>
            <w:tcW w:w="2835" w:type="dxa"/>
            <w:shd w:val="clear" w:color="auto" w:fill="D9D9D9"/>
            <w:vAlign w:val="center"/>
          </w:tcPr>
          <w:p w14:paraId="6B14EEB1" w14:textId="77777777" w:rsidR="00567B46" w:rsidRPr="00567B46" w:rsidRDefault="00567B46" w:rsidP="00567B46">
            <w:pPr>
              <w:contextualSpacing/>
              <w:rPr>
                <w:rFonts w:cs="Arial"/>
                <w:b/>
                <w:szCs w:val="24"/>
              </w:rPr>
            </w:pPr>
            <w:r w:rsidRPr="00567B46">
              <w:rPr>
                <w:rFonts w:cs="Arial"/>
                <w:b/>
                <w:szCs w:val="24"/>
              </w:rPr>
              <w:t>Total</w:t>
            </w:r>
          </w:p>
        </w:tc>
        <w:tc>
          <w:tcPr>
            <w:tcW w:w="1275" w:type="dxa"/>
            <w:shd w:val="clear" w:color="auto" w:fill="D9D9D9"/>
            <w:vAlign w:val="center"/>
          </w:tcPr>
          <w:p w14:paraId="1D15FBFB" w14:textId="77777777" w:rsidR="00567B46" w:rsidRPr="00567B46" w:rsidRDefault="00567B46" w:rsidP="00567B46">
            <w:pPr>
              <w:contextualSpacing/>
              <w:jc w:val="center"/>
              <w:rPr>
                <w:rFonts w:cs="Arial"/>
                <w:b/>
                <w:szCs w:val="24"/>
              </w:rPr>
            </w:pPr>
          </w:p>
        </w:tc>
        <w:tc>
          <w:tcPr>
            <w:tcW w:w="1560" w:type="dxa"/>
            <w:shd w:val="clear" w:color="auto" w:fill="D9D9D9"/>
            <w:vAlign w:val="center"/>
          </w:tcPr>
          <w:p w14:paraId="6F709370" w14:textId="77777777" w:rsidR="00567B46" w:rsidRPr="00567B46" w:rsidRDefault="00567B46" w:rsidP="00567B46">
            <w:pPr>
              <w:contextualSpacing/>
              <w:jc w:val="center"/>
              <w:rPr>
                <w:rFonts w:cs="Arial"/>
                <w:b/>
                <w:szCs w:val="24"/>
              </w:rPr>
            </w:pPr>
          </w:p>
        </w:tc>
        <w:tc>
          <w:tcPr>
            <w:tcW w:w="1275" w:type="dxa"/>
            <w:shd w:val="clear" w:color="auto" w:fill="D9D9D9"/>
            <w:vAlign w:val="center"/>
          </w:tcPr>
          <w:p w14:paraId="4CD525ED" w14:textId="77777777" w:rsidR="00567B46" w:rsidRPr="00567B46" w:rsidRDefault="00567B46" w:rsidP="00567B46">
            <w:pPr>
              <w:contextualSpacing/>
              <w:jc w:val="center"/>
              <w:rPr>
                <w:rFonts w:cs="Arial"/>
                <w:b/>
                <w:szCs w:val="24"/>
              </w:rPr>
            </w:pPr>
          </w:p>
        </w:tc>
        <w:tc>
          <w:tcPr>
            <w:tcW w:w="1418" w:type="dxa"/>
            <w:shd w:val="clear" w:color="auto" w:fill="D9D9D9"/>
            <w:vAlign w:val="center"/>
          </w:tcPr>
          <w:p w14:paraId="281CC0DA" w14:textId="77777777" w:rsidR="00567B46" w:rsidRPr="00567B46" w:rsidRDefault="00567B46" w:rsidP="00567B46">
            <w:pPr>
              <w:contextualSpacing/>
              <w:jc w:val="right"/>
              <w:rPr>
                <w:rFonts w:cs="Arial"/>
                <w:b/>
                <w:szCs w:val="24"/>
              </w:rPr>
            </w:pPr>
            <w:r w:rsidRPr="00567B46">
              <w:rPr>
                <w:rFonts w:cs="Arial"/>
                <w:b/>
                <w:szCs w:val="24"/>
              </w:rPr>
              <w:t>£209,160</w:t>
            </w:r>
          </w:p>
        </w:tc>
      </w:tr>
    </w:tbl>
    <w:p w14:paraId="329473DE" w14:textId="77777777" w:rsidR="00567B46" w:rsidRPr="00567B46" w:rsidRDefault="00567B46" w:rsidP="00567B46">
      <w:pPr>
        <w:tabs>
          <w:tab w:val="center" w:pos="4513"/>
          <w:tab w:val="right" w:pos="9026"/>
        </w:tabs>
        <w:rPr>
          <w:rFonts w:eastAsia="Times New Roman" w:cs="Arial"/>
          <w:bCs/>
          <w:szCs w:val="20"/>
        </w:rPr>
      </w:pPr>
    </w:p>
    <w:p w14:paraId="042DE03F" w14:textId="77777777" w:rsidR="00567B46" w:rsidRPr="00567B46" w:rsidRDefault="00567B46" w:rsidP="00092B09">
      <w:pPr>
        <w:rPr>
          <w:rFonts w:eastAsia="Times New Roman" w:cs="Arial"/>
          <w:szCs w:val="20"/>
        </w:rPr>
      </w:pPr>
      <w:r w:rsidRPr="00567B46">
        <w:rPr>
          <w:rFonts w:eastAsia="Times New Roman" w:cs="Arial"/>
          <w:szCs w:val="20"/>
        </w:rPr>
        <w:t>The amount of funds held on short term deposits at 31/03/23 was £9.5m at an average interest rate of 4.1%.</w:t>
      </w:r>
    </w:p>
    <w:p w14:paraId="6F008722" w14:textId="77777777" w:rsidR="00567B46" w:rsidRPr="00567B46" w:rsidRDefault="00567B46" w:rsidP="00092B09">
      <w:pPr>
        <w:rPr>
          <w:rFonts w:eastAsia="Times New Roman" w:cs="Arial"/>
          <w:szCs w:val="20"/>
        </w:rPr>
      </w:pPr>
    </w:p>
    <w:p w14:paraId="024D10AD" w14:textId="77777777" w:rsidR="00567B46" w:rsidRPr="00567B46" w:rsidRDefault="00567B46" w:rsidP="00092B09">
      <w:pPr>
        <w:rPr>
          <w:rFonts w:eastAsia="Times New Roman" w:cs="Arial"/>
          <w:szCs w:val="20"/>
        </w:rPr>
      </w:pPr>
      <w:r w:rsidRPr="00567B46">
        <w:rPr>
          <w:rFonts w:eastAsia="Times New Roman" w:cs="Arial"/>
          <w:szCs w:val="20"/>
        </w:rPr>
        <w:t xml:space="preserve">The Council’s limit for total principal sums invested for periods longer than 364 days is £500k.  During 2022/23, the Council did not enter into any investments which were for periods longer than 364 days. </w:t>
      </w:r>
    </w:p>
    <w:p w14:paraId="618570EC" w14:textId="77777777" w:rsidR="00567B46" w:rsidRPr="00567B46" w:rsidRDefault="00567B46" w:rsidP="00092B09">
      <w:pPr>
        <w:rPr>
          <w:rFonts w:eastAsia="Times New Roman" w:cs="Arial"/>
          <w:szCs w:val="20"/>
        </w:rPr>
      </w:pPr>
    </w:p>
    <w:p w14:paraId="4AA76B2B" w14:textId="2E39BF05" w:rsidR="00567B46" w:rsidRPr="00567B46" w:rsidRDefault="00567B46" w:rsidP="00092B09">
      <w:pPr>
        <w:rPr>
          <w:rFonts w:eastAsia="Times New Roman" w:cs="Arial"/>
          <w:szCs w:val="20"/>
        </w:rPr>
      </w:pPr>
      <w:r w:rsidRPr="00567B46">
        <w:rPr>
          <w:rFonts w:eastAsia="Times New Roman" w:cs="Arial"/>
          <w:szCs w:val="20"/>
        </w:rPr>
        <w:t>Currently the Council placed surplus funds in call accounts with a limited number of ‘credit quality’ approved counterparties. A number of institutions now offered ‘green’ investment options; however, these were generally for longer fixed term investments. Management would consult with its treasury advisors regarding availability of call accounts of this nature. Nonetheless, it should be noted that Council’s primary responsibility in respect of this strategy was that of security.</w:t>
      </w:r>
    </w:p>
    <w:p w14:paraId="13C73F25" w14:textId="77777777" w:rsidR="00567B46" w:rsidRPr="00567B46" w:rsidRDefault="00567B46" w:rsidP="00092B09">
      <w:pPr>
        <w:rPr>
          <w:rFonts w:eastAsia="Times New Roman" w:cs="Arial"/>
          <w:szCs w:val="20"/>
        </w:rPr>
      </w:pPr>
    </w:p>
    <w:p w14:paraId="5DCE1ED8" w14:textId="77777777" w:rsidR="00567B46" w:rsidRPr="00567B46" w:rsidRDefault="00567B46" w:rsidP="00092B09">
      <w:pPr>
        <w:tabs>
          <w:tab w:val="left" w:pos="756"/>
          <w:tab w:val="right" w:pos="9026"/>
        </w:tabs>
        <w:rPr>
          <w:rFonts w:eastAsia="Times New Roman" w:cs="Arial"/>
          <w:b/>
          <w:bCs/>
          <w:szCs w:val="20"/>
        </w:rPr>
      </w:pPr>
      <w:r w:rsidRPr="00567B46">
        <w:rPr>
          <w:rFonts w:eastAsia="Times New Roman" w:cs="Arial"/>
          <w:b/>
          <w:bCs/>
          <w:szCs w:val="20"/>
        </w:rPr>
        <w:t>2.2</w:t>
      </w:r>
      <w:r w:rsidRPr="00567B46">
        <w:rPr>
          <w:rFonts w:eastAsia="Times New Roman" w:cs="Arial"/>
          <w:b/>
          <w:bCs/>
          <w:szCs w:val="20"/>
        </w:rPr>
        <w:tab/>
        <w:t>Debt Related Treasury Activity Limits</w:t>
      </w:r>
    </w:p>
    <w:p w14:paraId="47822B58" w14:textId="77777777" w:rsidR="00567B46" w:rsidRPr="00567B46" w:rsidRDefault="00567B46" w:rsidP="00092B09">
      <w:pPr>
        <w:tabs>
          <w:tab w:val="center" w:pos="4513"/>
          <w:tab w:val="right" w:pos="9026"/>
        </w:tabs>
        <w:rPr>
          <w:rFonts w:eastAsia="Times New Roman" w:cs="Arial"/>
          <w:bCs/>
          <w:szCs w:val="20"/>
        </w:rPr>
      </w:pPr>
    </w:p>
    <w:p w14:paraId="67C5B7DE" w14:textId="55DFB8AA" w:rsidR="00567B46" w:rsidRPr="00567B46" w:rsidRDefault="00567B46" w:rsidP="00092B09">
      <w:pPr>
        <w:spacing w:after="120" w:line="180" w:lineRule="atLeast"/>
        <w:rPr>
          <w:rFonts w:eastAsia="Times New Roman" w:cs="Arial"/>
          <w:szCs w:val="20"/>
        </w:rPr>
      </w:pPr>
      <w:r w:rsidRPr="00567B46">
        <w:rPr>
          <w:rFonts w:eastAsia="Times New Roman" w:cs="Arial"/>
          <w:szCs w:val="20"/>
        </w:rPr>
        <w:t>There were three debt related treasury activity limits.  The purpose of th</w:t>
      </w:r>
      <w:r w:rsidR="00261CA5">
        <w:rPr>
          <w:rFonts w:eastAsia="Times New Roman" w:cs="Arial"/>
          <w:szCs w:val="20"/>
        </w:rPr>
        <w:t>o</w:t>
      </w:r>
      <w:r w:rsidRPr="00567B46">
        <w:rPr>
          <w:rFonts w:eastAsia="Times New Roman" w:cs="Arial"/>
          <w:szCs w:val="20"/>
        </w:rPr>
        <w:t xml:space="preserve">se were to restrain the activity of the treasury function within certain limits, thereby managing risk and reducing the impact of any adverse movement in interest rates.  </w:t>
      </w:r>
      <w:r w:rsidRPr="00567B46">
        <w:rPr>
          <w:rFonts w:eastAsia="Times New Roman" w:cs="Arial"/>
          <w:iCs/>
          <w:szCs w:val="20"/>
        </w:rPr>
        <w:t>However, if t</w:t>
      </w:r>
      <w:r w:rsidR="00261CA5">
        <w:rPr>
          <w:rFonts w:eastAsia="Times New Roman" w:cs="Arial"/>
          <w:iCs/>
          <w:szCs w:val="20"/>
        </w:rPr>
        <w:t>ho</w:t>
      </w:r>
      <w:r w:rsidRPr="00567B46">
        <w:rPr>
          <w:rFonts w:eastAsia="Times New Roman" w:cs="Arial"/>
          <w:iCs/>
          <w:szCs w:val="20"/>
        </w:rPr>
        <w:t>se were set to be too restrictive, they would impair the opportunities to reduce costs / improve performance</w:t>
      </w:r>
      <w:r w:rsidRPr="00567B46">
        <w:rPr>
          <w:rFonts w:eastAsia="Times New Roman" w:cs="Arial"/>
          <w:i/>
          <w:iCs/>
          <w:szCs w:val="20"/>
        </w:rPr>
        <w:t>.</w:t>
      </w:r>
      <w:r w:rsidRPr="00567B46">
        <w:rPr>
          <w:rFonts w:eastAsia="Times New Roman" w:cs="Arial"/>
          <w:szCs w:val="20"/>
        </w:rPr>
        <w:t xml:space="preserve">  The indicators were:</w:t>
      </w:r>
    </w:p>
    <w:p w14:paraId="272BA4E1" w14:textId="77777777" w:rsidR="00567B46" w:rsidRPr="00567B46" w:rsidRDefault="00567B46" w:rsidP="00092B09">
      <w:pPr>
        <w:numPr>
          <w:ilvl w:val="0"/>
          <w:numId w:val="9"/>
        </w:numPr>
        <w:tabs>
          <w:tab w:val="num" w:pos="1440"/>
        </w:tabs>
        <w:spacing w:after="120"/>
        <w:ind w:left="738" w:hanging="454"/>
        <w:rPr>
          <w:rFonts w:eastAsia="Times New Roman" w:cs="Arial"/>
          <w:i/>
          <w:szCs w:val="20"/>
        </w:rPr>
      </w:pPr>
      <w:r w:rsidRPr="00567B46">
        <w:rPr>
          <w:rFonts w:eastAsia="Times New Roman" w:cs="Arial"/>
          <w:szCs w:val="20"/>
        </w:rPr>
        <w:t>Upper limits on variable interest rate exposure. This identifies a maximum limit for variable interest rates based upon the debt position net of investments;</w:t>
      </w:r>
    </w:p>
    <w:p w14:paraId="50610E6C" w14:textId="77777777" w:rsidR="00567B46" w:rsidRPr="00567B46" w:rsidRDefault="00567B46" w:rsidP="00092B09">
      <w:pPr>
        <w:numPr>
          <w:ilvl w:val="0"/>
          <w:numId w:val="9"/>
        </w:numPr>
        <w:tabs>
          <w:tab w:val="num" w:pos="1440"/>
        </w:tabs>
        <w:spacing w:after="120"/>
        <w:ind w:left="738" w:hanging="454"/>
        <w:rPr>
          <w:rFonts w:eastAsia="Times New Roman" w:cs="Arial"/>
          <w:szCs w:val="20"/>
        </w:rPr>
      </w:pPr>
      <w:r w:rsidRPr="00567B46">
        <w:rPr>
          <w:rFonts w:eastAsia="Times New Roman" w:cs="Arial"/>
          <w:szCs w:val="20"/>
        </w:rPr>
        <w:t>Upper limits on fixed interest rate exposure.  This was similar to the previous indicator and covered a maximum limit on fixed interest rates;</w:t>
      </w:r>
    </w:p>
    <w:p w14:paraId="36733866" w14:textId="77777777" w:rsidR="00567B46" w:rsidRPr="00567B46" w:rsidRDefault="00567B46" w:rsidP="00092B09">
      <w:pPr>
        <w:numPr>
          <w:ilvl w:val="0"/>
          <w:numId w:val="9"/>
        </w:numPr>
        <w:tabs>
          <w:tab w:val="num" w:pos="1440"/>
        </w:tabs>
        <w:spacing w:after="240"/>
        <w:ind w:left="738" w:hanging="454"/>
        <w:rPr>
          <w:rFonts w:eastAsia="Times New Roman" w:cs="Arial"/>
          <w:i/>
          <w:szCs w:val="20"/>
        </w:rPr>
      </w:pPr>
      <w:r w:rsidRPr="00567B46">
        <w:rPr>
          <w:rFonts w:eastAsia="Times New Roman" w:cs="Arial"/>
          <w:szCs w:val="20"/>
        </w:rPr>
        <w:t>Maturity structure of borrowing. These gross limits were set to reduce the Council’s exposure to large fixed rate sums falling due for refinancing and were required for upper and lower limits.</w:t>
      </w:r>
    </w:p>
    <w:p w14:paraId="7D4781DC" w14:textId="07600414" w:rsidR="00567B46" w:rsidRPr="00567B46" w:rsidRDefault="00567B46" w:rsidP="00092B09">
      <w:pPr>
        <w:spacing w:after="120" w:line="180" w:lineRule="atLeast"/>
        <w:rPr>
          <w:rFonts w:eastAsia="Times New Roman" w:cs="Arial"/>
          <w:szCs w:val="20"/>
        </w:rPr>
      </w:pPr>
      <w:r w:rsidRPr="00567B46">
        <w:rPr>
          <w:rFonts w:eastAsia="Times New Roman" w:cs="Arial"/>
          <w:szCs w:val="20"/>
        </w:rPr>
        <w:t>The table below showed the position at 31 March 2023 against the limits set for the year for each th</w:t>
      </w:r>
      <w:r w:rsidR="00261CA5">
        <w:rPr>
          <w:rFonts w:eastAsia="Times New Roman" w:cs="Arial"/>
          <w:szCs w:val="20"/>
        </w:rPr>
        <w:t>o</w:t>
      </w:r>
      <w:r w:rsidRPr="00567B46">
        <w:rPr>
          <w:rFonts w:eastAsia="Times New Roman" w:cs="Arial"/>
          <w:szCs w:val="20"/>
        </w:rPr>
        <w:t>se indicators.  The Council remained within the limits set for all indicators.</w:t>
      </w:r>
    </w:p>
    <w:p w14:paraId="3B4DC8D6" w14:textId="77777777" w:rsidR="00567B46" w:rsidRPr="00567B46" w:rsidRDefault="00567B46" w:rsidP="00567B46">
      <w:pPr>
        <w:spacing w:after="120" w:line="180" w:lineRule="atLeast"/>
        <w:jc w:val="both"/>
        <w:rPr>
          <w:rFonts w:eastAsia="Times New Roman" w:cs="Arial"/>
          <w:sz w:val="10"/>
          <w:szCs w:val="8"/>
        </w:rPr>
      </w:pPr>
      <w:r w:rsidRPr="00567B46">
        <w:rPr>
          <w:rFonts w:eastAsia="Times New Roman" w:cs="Arial"/>
          <w:sz w:val="22"/>
          <w:szCs w:val="20"/>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417"/>
        <w:gridCol w:w="1418"/>
      </w:tblGrid>
      <w:tr w:rsidR="00567B46" w:rsidRPr="00567B46" w14:paraId="53E18582" w14:textId="77777777" w:rsidTr="007311E5">
        <w:trPr>
          <w:cantSplit/>
          <w:trHeight w:val="624"/>
        </w:trPr>
        <w:tc>
          <w:tcPr>
            <w:tcW w:w="5949" w:type="dxa"/>
            <w:shd w:val="clear" w:color="auto" w:fill="C0C0C0"/>
            <w:vAlign w:val="center"/>
          </w:tcPr>
          <w:p w14:paraId="321E9395" w14:textId="77777777" w:rsidR="00567B46" w:rsidRPr="00567B46" w:rsidRDefault="00567B46" w:rsidP="00567B46">
            <w:pPr>
              <w:spacing w:line="180" w:lineRule="atLeast"/>
              <w:jc w:val="both"/>
              <w:rPr>
                <w:rFonts w:eastAsia="Times New Roman" w:cs="Arial"/>
                <w:b/>
                <w:bCs/>
                <w:sz w:val="22"/>
                <w:szCs w:val="20"/>
              </w:rPr>
            </w:pPr>
            <w:r w:rsidRPr="00567B46">
              <w:rPr>
                <w:rFonts w:eastAsia="Times New Roman" w:cs="Arial"/>
                <w:b/>
                <w:bCs/>
                <w:sz w:val="22"/>
                <w:szCs w:val="20"/>
              </w:rPr>
              <w:t>Interest rate exposures</w:t>
            </w:r>
          </w:p>
        </w:tc>
        <w:tc>
          <w:tcPr>
            <w:tcW w:w="1417" w:type="dxa"/>
            <w:shd w:val="clear" w:color="auto" w:fill="C0C0C0"/>
            <w:vAlign w:val="center"/>
          </w:tcPr>
          <w:p w14:paraId="5A108CCD" w14:textId="77777777" w:rsidR="00567B46" w:rsidRPr="00567B46" w:rsidRDefault="00567B46" w:rsidP="00567B46">
            <w:pPr>
              <w:spacing w:line="180" w:lineRule="atLeast"/>
              <w:jc w:val="center"/>
              <w:rPr>
                <w:rFonts w:eastAsia="Times New Roman" w:cs="Arial"/>
                <w:b/>
                <w:bCs/>
                <w:sz w:val="22"/>
                <w:szCs w:val="20"/>
              </w:rPr>
            </w:pPr>
            <w:r w:rsidRPr="00567B46">
              <w:rPr>
                <w:rFonts w:eastAsia="Times New Roman" w:cs="Arial"/>
                <w:b/>
                <w:bCs/>
                <w:sz w:val="22"/>
                <w:szCs w:val="20"/>
              </w:rPr>
              <w:t>Limit set for 2022/23</w:t>
            </w:r>
          </w:p>
        </w:tc>
        <w:tc>
          <w:tcPr>
            <w:tcW w:w="1418" w:type="dxa"/>
            <w:shd w:val="clear" w:color="auto" w:fill="C0C0C0"/>
            <w:vAlign w:val="center"/>
          </w:tcPr>
          <w:p w14:paraId="47F66DDD" w14:textId="77777777" w:rsidR="00567B46" w:rsidRPr="00567B46" w:rsidRDefault="00567B46" w:rsidP="00567B46">
            <w:pPr>
              <w:spacing w:line="180" w:lineRule="atLeast"/>
              <w:jc w:val="center"/>
              <w:rPr>
                <w:rFonts w:eastAsia="Times New Roman" w:cs="Arial"/>
                <w:b/>
                <w:bCs/>
                <w:sz w:val="22"/>
                <w:szCs w:val="20"/>
              </w:rPr>
            </w:pPr>
            <w:r w:rsidRPr="00567B46">
              <w:rPr>
                <w:rFonts w:eastAsia="Times New Roman" w:cs="Arial"/>
                <w:b/>
                <w:bCs/>
                <w:sz w:val="22"/>
                <w:szCs w:val="20"/>
              </w:rPr>
              <w:t>Actual at 31/03/23</w:t>
            </w:r>
          </w:p>
        </w:tc>
      </w:tr>
      <w:tr w:rsidR="00567B46" w:rsidRPr="00567B46" w14:paraId="0D7D43A2" w14:textId="77777777" w:rsidTr="007311E5">
        <w:trPr>
          <w:trHeight w:val="454"/>
        </w:trPr>
        <w:tc>
          <w:tcPr>
            <w:tcW w:w="5949" w:type="dxa"/>
            <w:vAlign w:val="center"/>
          </w:tcPr>
          <w:p w14:paraId="0DCBBE59" w14:textId="77777777" w:rsidR="00567B46" w:rsidRPr="00567B46" w:rsidRDefault="00567B46" w:rsidP="00567B46">
            <w:pPr>
              <w:spacing w:line="180" w:lineRule="atLeast"/>
              <w:rPr>
                <w:rFonts w:eastAsia="Times New Roman" w:cs="Arial"/>
                <w:b/>
                <w:bCs/>
                <w:sz w:val="22"/>
                <w:szCs w:val="20"/>
              </w:rPr>
            </w:pPr>
            <w:r w:rsidRPr="00567B46">
              <w:rPr>
                <w:rFonts w:eastAsia="Times New Roman" w:cs="Arial"/>
                <w:bCs/>
                <w:sz w:val="22"/>
                <w:szCs w:val="20"/>
              </w:rPr>
              <w:t>Quantity of debt held at variable interest rates - upper limit</w:t>
            </w:r>
          </w:p>
        </w:tc>
        <w:tc>
          <w:tcPr>
            <w:tcW w:w="1417" w:type="dxa"/>
            <w:vAlign w:val="center"/>
          </w:tcPr>
          <w:p w14:paraId="5C5201F2"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30%</w:t>
            </w:r>
          </w:p>
        </w:tc>
        <w:tc>
          <w:tcPr>
            <w:tcW w:w="1418" w:type="dxa"/>
            <w:vAlign w:val="center"/>
          </w:tcPr>
          <w:p w14:paraId="512181CC"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3%</w:t>
            </w:r>
          </w:p>
        </w:tc>
      </w:tr>
      <w:tr w:rsidR="00567B46" w:rsidRPr="00567B46" w14:paraId="153AE6E4" w14:textId="77777777" w:rsidTr="007311E5">
        <w:trPr>
          <w:trHeight w:val="454"/>
        </w:trPr>
        <w:tc>
          <w:tcPr>
            <w:tcW w:w="5949" w:type="dxa"/>
            <w:vAlign w:val="center"/>
          </w:tcPr>
          <w:p w14:paraId="19984D22" w14:textId="77777777" w:rsidR="00567B46" w:rsidRPr="00567B46" w:rsidRDefault="00567B46" w:rsidP="00567B46">
            <w:pPr>
              <w:spacing w:line="180" w:lineRule="atLeast"/>
              <w:rPr>
                <w:rFonts w:eastAsia="Times New Roman" w:cs="Arial"/>
                <w:bCs/>
                <w:sz w:val="22"/>
                <w:szCs w:val="20"/>
              </w:rPr>
            </w:pPr>
            <w:r w:rsidRPr="00567B46">
              <w:rPr>
                <w:rFonts w:eastAsia="Times New Roman" w:cs="Arial"/>
                <w:bCs/>
                <w:sz w:val="22"/>
                <w:szCs w:val="20"/>
              </w:rPr>
              <w:lastRenderedPageBreak/>
              <w:t>Quantity of debt held at fixed interest rates - upper limit</w:t>
            </w:r>
          </w:p>
        </w:tc>
        <w:tc>
          <w:tcPr>
            <w:tcW w:w="1417" w:type="dxa"/>
            <w:vAlign w:val="center"/>
          </w:tcPr>
          <w:p w14:paraId="02D3DC6F"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100%</w:t>
            </w:r>
          </w:p>
        </w:tc>
        <w:tc>
          <w:tcPr>
            <w:tcW w:w="1418" w:type="dxa"/>
            <w:vAlign w:val="center"/>
          </w:tcPr>
          <w:p w14:paraId="14BC41F4"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97%</w:t>
            </w:r>
          </w:p>
        </w:tc>
      </w:tr>
    </w:tbl>
    <w:p w14:paraId="0FB87A9E" w14:textId="77777777" w:rsidR="00567B46" w:rsidRPr="00567B46" w:rsidRDefault="00567B46" w:rsidP="00567B46">
      <w:pPr>
        <w:rPr>
          <w:rFonts w:eastAsia="Times New Roman"/>
          <w:sz w:val="14"/>
          <w:szCs w:val="10"/>
        </w:rPr>
      </w:pPr>
    </w:p>
    <w:p w14:paraId="3344C54F" w14:textId="77777777" w:rsidR="00567B46" w:rsidRPr="00567B46" w:rsidRDefault="00567B46" w:rsidP="00567B46">
      <w:pPr>
        <w:rPr>
          <w:rFonts w:eastAsia="Times New Roman"/>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701"/>
        <w:gridCol w:w="1559"/>
        <w:gridCol w:w="1418"/>
      </w:tblGrid>
      <w:tr w:rsidR="00567B46" w:rsidRPr="00567B46" w14:paraId="3C1CC341" w14:textId="77777777" w:rsidTr="007311E5">
        <w:trPr>
          <w:cantSplit/>
          <w:trHeight w:val="737"/>
        </w:trPr>
        <w:tc>
          <w:tcPr>
            <w:tcW w:w="4106" w:type="dxa"/>
            <w:shd w:val="clear" w:color="auto" w:fill="C0C0C0"/>
            <w:vAlign w:val="center"/>
          </w:tcPr>
          <w:p w14:paraId="70522D3B" w14:textId="77777777" w:rsidR="00567B46" w:rsidRPr="00567B46" w:rsidRDefault="00567B46" w:rsidP="00567B46">
            <w:pPr>
              <w:spacing w:line="180" w:lineRule="atLeast"/>
              <w:jc w:val="both"/>
              <w:rPr>
                <w:rFonts w:eastAsia="Times New Roman" w:cs="Arial"/>
                <w:b/>
                <w:bCs/>
                <w:sz w:val="22"/>
                <w:szCs w:val="20"/>
              </w:rPr>
            </w:pPr>
            <w:r w:rsidRPr="00567B46">
              <w:rPr>
                <w:rFonts w:eastAsia="Times New Roman" w:cs="Arial"/>
                <w:b/>
                <w:bCs/>
                <w:sz w:val="22"/>
                <w:szCs w:val="20"/>
              </w:rPr>
              <w:t xml:space="preserve">Maturity structure of fixed interest rate borrowing </w:t>
            </w:r>
          </w:p>
        </w:tc>
        <w:tc>
          <w:tcPr>
            <w:tcW w:w="1701" w:type="dxa"/>
            <w:shd w:val="clear" w:color="auto" w:fill="C0C0C0"/>
            <w:vAlign w:val="center"/>
          </w:tcPr>
          <w:p w14:paraId="1B9E1FDB" w14:textId="77777777" w:rsidR="00567B46" w:rsidRPr="00567B46" w:rsidRDefault="00567B46" w:rsidP="00567B46">
            <w:pPr>
              <w:spacing w:line="180" w:lineRule="atLeast"/>
              <w:jc w:val="center"/>
              <w:rPr>
                <w:rFonts w:eastAsia="Times New Roman" w:cs="Arial"/>
                <w:b/>
                <w:bCs/>
                <w:sz w:val="22"/>
                <w:szCs w:val="20"/>
              </w:rPr>
            </w:pPr>
            <w:r w:rsidRPr="00567B46">
              <w:rPr>
                <w:rFonts w:eastAsia="Times New Roman" w:cs="Arial"/>
                <w:b/>
                <w:bCs/>
                <w:sz w:val="22"/>
                <w:szCs w:val="20"/>
              </w:rPr>
              <w:t>Lower Limit set for 2022/23</w:t>
            </w:r>
          </w:p>
        </w:tc>
        <w:tc>
          <w:tcPr>
            <w:tcW w:w="1559" w:type="dxa"/>
            <w:shd w:val="clear" w:color="auto" w:fill="C0C0C0"/>
            <w:vAlign w:val="center"/>
          </w:tcPr>
          <w:p w14:paraId="1C38CBEF" w14:textId="77777777" w:rsidR="00567B46" w:rsidRPr="00567B46" w:rsidRDefault="00567B46" w:rsidP="00567B46">
            <w:pPr>
              <w:spacing w:line="180" w:lineRule="atLeast"/>
              <w:jc w:val="center"/>
              <w:rPr>
                <w:rFonts w:eastAsia="Times New Roman" w:cs="Arial"/>
                <w:b/>
                <w:bCs/>
                <w:sz w:val="22"/>
                <w:szCs w:val="20"/>
              </w:rPr>
            </w:pPr>
            <w:r w:rsidRPr="00567B46">
              <w:rPr>
                <w:rFonts w:eastAsia="Times New Roman" w:cs="Arial"/>
                <w:b/>
                <w:bCs/>
                <w:sz w:val="22"/>
                <w:szCs w:val="20"/>
              </w:rPr>
              <w:t>Upper Limit set for 2022/23</w:t>
            </w:r>
          </w:p>
        </w:tc>
        <w:tc>
          <w:tcPr>
            <w:tcW w:w="1418" w:type="dxa"/>
            <w:shd w:val="clear" w:color="auto" w:fill="C0C0C0"/>
            <w:vAlign w:val="center"/>
          </w:tcPr>
          <w:p w14:paraId="49F44C37" w14:textId="77777777" w:rsidR="00567B46" w:rsidRPr="00567B46" w:rsidRDefault="00567B46" w:rsidP="00567B46">
            <w:pPr>
              <w:spacing w:line="180" w:lineRule="atLeast"/>
              <w:jc w:val="center"/>
              <w:rPr>
                <w:rFonts w:eastAsia="Times New Roman" w:cs="Arial"/>
                <w:b/>
                <w:bCs/>
                <w:sz w:val="22"/>
                <w:szCs w:val="20"/>
              </w:rPr>
            </w:pPr>
            <w:r w:rsidRPr="00567B46">
              <w:rPr>
                <w:rFonts w:eastAsia="Times New Roman" w:cs="Arial"/>
                <w:b/>
                <w:bCs/>
                <w:sz w:val="22"/>
                <w:szCs w:val="20"/>
              </w:rPr>
              <w:t>Actual at 31/03/23</w:t>
            </w:r>
          </w:p>
        </w:tc>
      </w:tr>
      <w:tr w:rsidR="00567B46" w:rsidRPr="00567B46" w14:paraId="65027D25" w14:textId="77777777" w:rsidTr="007311E5">
        <w:trPr>
          <w:cantSplit/>
          <w:trHeight w:val="454"/>
        </w:trPr>
        <w:tc>
          <w:tcPr>
            <w:tcW w:w="4106" w:type="dxa"/>
            <w:vAlign w:val="center"/>
          </w:tcPr>
          <w:p w14:paraId="367B7652" w14:textId="77777777" w:rsidR="00567B46" w:rsidRPr="00567B46" w:rsidRDefault="00567B46" w:rsidP="00567B46">
            <w:pPr>
              <w:spacing w:line="180" w:lineRule="atLeast"/>
              <w:jc w:val="both"/>
              <w:rPr>
                <w:rFonts w:eastAsia="Times New Roman" w:cs="Arial"/>
                <w:sz w:val="22"/>
                <w:szCs w:val="20"/>
              </w:rPr>
            </w:pPr>
            <w:r w:rsidRPr="00567B46">
              <w:rPr>
                <w:rFonts w:eastAsia="Times New Roman" w:cs="Arial"/>
                <w:sz w:val="22"/>
                <w:szCs w:val="20"/>
              </w:rPr>
              <w:t>Under 12 months</w:t>
            </w:r>
          </w:p>
        </w:tc>
        <w:tc>
          <w:tcPr>
            <w:tcW w:w="1701" w:type="dxa"/>
            <w:vAlign w:val="center"/>
          </w:tcPr>
          <w:p w14:paraId="3976FC3C"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0%</w:t>
            </w:r>
          </w:p>
        </w:tc>
        <w:tc>
          <w:tcPr>
            <w:tcW w:w="1559" w:type="dxa"/>
            <w:vAlign w:val="center"/>
          </w:tcPr>
          <w:p w14:paraId="24B75879"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15%</w:t>
            </w:r>
          </w:p>
        </w:tc>
        <w:tc>
          <w:tcPr>
            <w:tcW w:w="1418" w:type="dxa"/>
            <w:vAlign w:val="center"/>
          </w:tcPr>
          <w:p w14:paraId="28C9E928"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6.4%</w:t>
            </w:r>
          </w:p>
        </w:tc>
      </w:tr>
      <w:tr w:rsidR="00567B46" w:rsidRPr="00567B46" w14:paraId="311B013D" w14:textId="77777777" w:rsidTr="007311E5">
        <w:trPr>
          <w:cantSplit/>
          <w:trHeight w:val="454"/>
        </w:trPr>
        <w:tc>
          <w:tcPr>
            <w:tcW w:w="4106" w:type="dxa"/>
            <w:vAlign w:val="center"/>
          </w:tcPr>
          <w:p w14:paraId="2B87D793" w14:textId="77777777" w:rsidR="00567B46" w:rsidRPr="00567B46" w:rsidRDefault="00567B46" w:rsidP="00567B46">
            <w:pPr>
              <w:spacing w:line="180" w:lineRule="atLeast"/>
              <w:jc w:val="both"/>
              <w:rPr>
                <w:rFonts w:eastAsia="Times New Roman" w:cs="Arial"/>
                <w:sz w:val="22"/>
                <w:szCs w:val="20"/>
              </w:rPr>
            </w:pPr>
            <w:r w:rsidRPr="00567B46">
              <w:rPr>
                <w:rFonts w:eastAsia="Times New Roman" w:cs="Arial"/>
                <w:sz w:val="22"/>
                <w:szCs w:val="20"/>
              </w:rPr>
              <w:t>12 months to 2 years</w:t>
            </w:r>
          </w:p>
        </w:tc>
        <w:tc>
          <w:tcPr>
            <w:tcW w:w="1701" w:type="dxa"/>
            <w:vAlign w:val="center"/>
          </w:tcPr>
          <w:p w14:paraId="1565E1CB"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0%</w:t>
            </w:r>
          </w:p>
        </w:tc>
        <w:tc>
          <w:tcPr>
            <w:tcW w:w="1559" w:type="dxa"/>
            <w:vAlign w:val="center"/>
          </w:tcPr>
          <w:p w14:paraId="0093F5DA"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15%</w:t>
            </w:r>
          </w:p>
        </w:tc>
        <w:tc>
          <w:tcPr>
            <w:tcW w:w="1418" w:type="dxa"/>
            <w:vAlign w:val="center"/>
          </w:tcPr>
          <w:p w14:paraId="474B5C26"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4.4%</w:t>
            </w:r>
          </w:p>
        </w:tc>
      </w:tr>
      <w:tr w:rsidR="00567B46" w:rsidRPr="00567B46" w14:paraId="5E2843E4" w14:textId="77777777" w:rsidTr="007311E5">
        <w:trPr>
          <w:cantSplit/>
          <w:trHeight w:val="454"/>
        </w:trPr>
        <w:tc>
          <w:tcPr>
            <w:tcW w:w="4106" w:type="dxa"/>
            <w:vAlign w:val="center"/>
          </w:tcPr>
          <w:p w14:paraId="740B4185" w14:textId="77777777" w:rsidR="00567B46" w:rsidRPr="00567B46" w:rsidRDefault="00567B46" w:rsidP="00567B46">
            <w:pPr>
              <w:spacing w:line="180" w:lineRule="atLeast"/>
              <w:jc w:val="both"/>
              <w:rPr>
                <w:rFonts w:eastAsia="Times New Roman" w:cs="Arial"/>
                <w:sz w:val="22"/>
                <w:szCs w:val="20"/>
              </w:rPr>
            </w:pPr>
            <w:r w:rsidRPr="00567B46">
              <w:rPr>
                <w:rFonts w:eastAsia="Times New Roman" w:cs="Arial"/>
                <w:sz w:val="22"/>
                <w:szCs w:val="20"/>
              </w:rPr>
              <w:t>2 years to 5 years</w:t>
            </w:r>
          </w:p>
        </w:tc>
        <w:tc>
          <w:tcPr>
            <w:tcW w:w="1701" w:type="dxa"/>
            <w:vAlign w:val="center"/>
          </w:tcPr>
          <w:p w14:paraId="6EDD8CA4"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0%</w:t>
            </w:r>
          </w:p>
        </w:tc>
        <w:tc>
          <w:tcPr>
            <w:tcW w:w="1559" w:type="dxa"/>
            <w:vAlign w:val="center"/>
          </w:tcPr>
          <w:p w14:paraId="44695D33"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20%</w:t>
            </w:r>
          </w:p>
        </w:tc>
        <w:tc>
          <w:tcPr>
            <w:tcW w:w="1418" w:type="dxa"/>
            <w:vAlign w:val="center"/>
          </w:tcPr>
          <w:p w14:paraId="19293D7B"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14.6%</w:t>
            </w:r>
          </w:p>
        </w:tc>
      </w:tr>
      <w:tr w:rsidR="00567B46" w:rsidRPr="00567B46" w14:paraId="2FFA4C0A" w14:textId="77777777" w:rsidTr="007311E5">
        <w:trPr>
          <w:cantSplit/>
          <w:trHeight w:val="454"/>
        </w:trPr>
        <w:tc>
          <w:tcPr>
            <w:tcW w:w="4106" w:type="dxa"/>
            <w:vAlign w:val="center"/>
          </w:tcPr>
          <w:p w14:paraId="49C1621C" w14:textId="77777777" w:rsidR="00567B46" w:rsidRPr="00567B46" w:rsidRDefault="00567B46" w:rsidP="00567B46">
            <w:pPr>
              <w:spacing w:line="180" w:lineRule="atLeast"/>
              <w:jc w:val="both"/>
              <w:rPr>
                <w:rFonts w:eastAsia="Times New Roman" w:cs="Arial"/>
                <w:sz w:val="22"/>
                <w:szCs w:val="20"/>
              </w:rPr>
            </w:pPr>
            <w:r w:rsidRPr="00567B46">
              <w:rPr>
                <w:rFonts w:eastAsia="Times New Roman" w:cs="Arial"/>
                <w:sz w:val="22"/>
                <w:szCs w:val="20"/>
              </w:rPr>
              <w:t>5 years to 10 years</w:t>
            </w:r>
          </w:p>
        </w:tc>
        <w:tc>
          <w:tcPr>
            <w:tcW w:w="1701" w:type="dxa"/>
            <w:vAlign w:val="center"/>
          </w:tcPr>
          <w:p w14:paraId="1ADDB5AC"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0%</w:t>
            </w:r>
          </w:p>
        </w:tc>
        <w:tc>
          <w:tcPr>
            <w:tcW w:w="1559" w:type="dxa"/>
            <w:vAlign w:val="center"/>
          </w:tcPr>
          <w:p w14:paraId="468F57BC"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30%</w:t>
            </w:r>
          </w:p>
        </w:tc>
        <w:tc>
          <w:tcPr>
            <w:tcW w:w="1418" w:type="dxa"/>
            <w:vAlign w:val="center"/>
          </w:tcPr>
          <w:p w14:paraId="04258F62"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25.4%</w:t>
            </w:r>
          </w:p>
        </w:tc>
      </w:tr>
      <w:tr w:rsidR="00567B46" w:rsidRPr="00567B46" w14:paraId="4F65500F" w14:textId="77777777" w:rsidTr="007311E5">
        <w:trPr>
          <w:cantSplit/>
          <w:trHeight w:val="454"/>
        </w:trPr>
        <w:tc>
          <w:tcPr>
            <w:tcW w:w="4106" w:type="dxa"/>
            <w:vAlign w:val="center"/>
          </w:tcPr>
          <w:p w14:paraId="3043E045" w14:textId="77777777" w:rsidR="00567B46" w:rsidRPr="00567B46" w:rsidRDefault="00567B46" w:rsidP="00567B46">
            <w:pPr>
              <w:spacing w:line="180" w:lineRule="atLeast"/>
              <w:jc w:val="both"/>
              <w:rPr>
                <w:rFonts w:eastAsia="Times New Roman" w:cs="Arial"/>
                <w:sz w:val="22"/>
                <w:szCs w:val="20"/>
              </w:rPr>
            </w:pPr>
            <w:r w:rsidRPr="00567B46">
              <w:rPr>
                <w:rFonts w:eastAsia="Times New Roman" w:cs="Arial"/>
                <w:sz w:val="22"/>
                <w:szCs w:val="20"/>
              </w:rPr>
              <w:t>10 years and above</w:t>
            </w:r>
          </w:p>
        </w:tc>
        <w:tc>
          <w:tcPr>
            <w:tcW w:w="1701" w:type="dxa"/>
            <w:vAlign w:val="center"/>
          </w:tcPr>
          <w:p w14:paraId="36FF793B"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30%</w:t>
            </w:r>
          </w:p>
        </w:tc>
        <w:tc>
          <w:tcPr>
            <w:tcW w:w="1559" w:type="dxa"/>
            <w:vAlign w:val="center"/>
          </w:tcPr>
          <w:p w14:paraId="01DA8ED3"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90%</w:t>
            </w:r>
          </w:p>
        </w:tc>
        <w:tc>
          <w:tcPr>
            <w:tcW w:w="1418" w:type="dxa"/>
            <w:vAlign w:val="center"/>
          </w:tcPr>
          <w:p w14:paraId="38A5E595" w14:textId="77777777" w:rsidR="00567B46" w:rsidRPr="00567B46" w:rsidRDefault="00567B46" w:rsidP="00567B46">
            <w:pPr>
              <w:spacing w:line="180" w:lineRule="atLeast"/>
              <w:jc w:val="center"/>
              <w:rPr>
                <w:rFonts w:eastAsia="Times New Roman" w:cs="Arial"/>
                <w:sz w:val="22"/>
                <w:szCs w:val="20"/>
              </w:rPr>
            </w:pPr>
            <w:r w:rsidRPr="00567B46">
              <w:rPr>
                <w:rFonts w:eastAsia="Times New Roman" w:cs="Arial"/>
                <w:sz w:val="22"/>
                <w:szCs w:val="20"/>
              </w:rPr>
              <w:t>49.2%</w:t>
            </w:r>
          </w:p>
        </w:tc>
      </w:tr>
    </w:tbl>
    <w:p w14:paraId="7CBD3280" w14:textId="77777777" w:rsidR="00567B46" w:rsidRPr="00567B46" w:rsidRDefault="00567B46" w:rsidP="00567B46">
      <w:pPr>
        <w:overflowPunct w:val="0"/>
        <w:autoSpaceDE w:val="0"/>
        <w:autoSpaceDN w:val="0"/>
        <w:adjustRightInd w:val="0"/>
        <w:jc w:val="both"/>
        <w:textAlignment w:val="baseline"/>
        <w:rPr>
          <w:rFonts w:eastAsia="Times New Roman" w:cs="Arial"/>
          <w:bCs/>
          <w:szCs w:val="20"/>
        </w:rPr>
      </w:pPr>
    </w:p>
    <w:p w14:paraId="4A9A9BBD" w14:textId="652FF2F9" w:rsidR="003F68EC" w:rsidRDefault="00567B46" w:rsidP="00092B09">
      <w:pPr>
        <w:tabs>
          <w:tab w:val="center" w:pos="4513"/>
          <w:tab w:val="right" w:pos="9026"/>
        </w:tabs>
        <w:rPr>
          <w:rFonts w:eastAsia="Times New Roman" w:cs="Arial"/>
          <w:bCs/>
          <w:szCs w:val="20"/>
        </w:rPr>
      </w:pPr>
      <w:r w:rsidRPr="00567B46">
        <w:rPr>
          <w:rFonts w:eastAsia="Times New Roman" w:cs="Arial"/>
          <w:szCs w:val="20"/>
        </w:rPr>
        <w:t>RECOMMENDED that Council</w:t>
      </w:r>
      <w:r w:rsidRPr="00567B46">
        <w:rPr>
          <w:rFonts w:eastAsia="Times New Roman" w:cs="Arial"/>
          <w:bCs/>
          <w:szCs w:val="20"/>
        </w:rPr>
        <w:t xml:space="preserve"> notes the 2022/23 Annual Report on the Prudential Indicators for capital expenditure, capital financing and treasury management activities.</w:t>
      </w:r>
    </w:p>
    <w:p w14:paraId="7B0F16E5" w14:textId="77777777" w:rsidR="00A1680B" w:rsidRDefault="00A1680B" w:rsidP="00092B09">
      <w:pPr>
        <w:tabs>
          <w:tab w:val="center" w:pos="4513"/>
          <w:tab w:val="right" w:pos="9026"/>
        </w:tabs>
        <w:rPr>
          <w:rFonts w:eastAsia="Times New Roman" w:cs="Arial"/>
          <w:bCs/>
          <w:szCs w:val="20"/>
        </w:rPr>
      </w:pPr>
    </w:p>
    <w:p w14:paraId="1C97BC8A" w14:textId="117CCAB5" w:rsidR="00A1680B" w:rsidRDefault="00A1680B" w:rsidP="00092B09">
      <w:pPr>
        <w:tabs>
          <w:tab w:val="center" w:pos="4513"/>
          <w:tab w:val="right" w:pos="9026"/>
        </w:tabs>
        <w:rPr>
          <w:rFonts w:eastAsia="Times New Roman" w:cs="Arial"/>
          <w:bCs/>
          <w:szCs w:val="20"/>
        </w:rPr>
      </w:pPr>
      <w:r>
        <w:rPr>
          <w:rFonts w:eastAsia="Times New Roman" w:cs="Arial"/>
          <w:bCs/>
          <w:szCs w:val="20"/>
        </w:rPr>
        <w:t xml:space="preserve">The Director </w:t>
      </w:r>
      <w:r w:rsidR="004F3F57">
        <w:rPr>
          <w:rFonts w:eastAsia="Times New Roman" w:cs="Arial"/>
          <w:bCs/>
          <w:szCs w:val="20"/>
        </w:rPr>
        <w:t>outlined the report, advising that i</w:t>
      </w:r>
      <w:r>
        <w:rPr>
          <w:rFonts w:eastAsia="Times New Roman" w:cs="Arial"/>
          <w:bCs/>
          <w:szCs w:val="20"/>
        </w:rPr>
        <w:t>nitial outturn</w:t>
      </w:r>
      <w:r w:rsidR="004F3F57">
        <w:rPr>
          <w:rFonts w:eastAsia="Times New Roman" w:cs="Arial"/>
          <w:bCs/>
          <w:szCs w:val="20"/>
        </w:rPr>
        <w:t>, as an overspend, before any release of reserves was</w:t>
      </w:r>
      <w:r>
        <w:rPr>
          <w:rFonts w:eastAsia="Times New Roman" w:cs="Arial"/>
          <w:bCs/>
          <w:szCs w:val="20"/>
        </w:rPr>
        <w:t xml:space="preserve"> </w:t>
      </w:r>
      <w:r w:rsidR="004F3F57">
        <w:rPr>
          <w:rFonts w:eastAsia="Times New Roman" w:cs="Arial"/>
          <w:bCs/>
          <w:szCs w:val="20"/>
        </w:rPr>
        <w:t>£</w:t>
      </w:r>
      <w:r>
        <w:rPr>
          <w:rFonts w:eastAsia="Times New Roman" w:cs="Arial"/>
          <w:bCs/>
          <w:szCs w:val="20"/>
        </w:rPr>
        <w:t>2.7m</w:t>
      </w:r>
      <w:r w:rsidR="004F3F57">
        <w:rPr>
          <w:rFonts w:eastAsia="Times New Roman" w:cs="Arial"/>
          <w:bCs/>
          <w:szCs w:val="20"/>
        </w:rPr>
        <w:t xml:space="preserve">. This was </w:t>
      </w:r>
      <w:r w:rsidR="00C85FBD">
        <w:rPr>
          <w:rFonts w:eastAsia="Times New Roman" w:cs="Arial"/>
          <w:bCs/>
          <w:szCs w:val="20"/>
        </w:rPr>
        <w:t>resulting</w:t>
      </w:r>
      <w:r w:rsidR="004F3F57">
        <w:rPr>
          <w:rFonts w:eastAsia="Times New Roman" w:cs="Arial"/>
          <w:bCs/>
          <w:szCs w:val="20"/>
        </w:rPr>
        <w:t xml:space="preserve"> largely</w:t>
      </w:r>
      <w:r w:rsidR="00C85FBD">
        <w:rPr>
          <w:rFonts w:eastAsia="Times New Roman" w:cs="Arial"/>
          <w:bCs/>
          <w:szCs w:val="20"/>
        </w:rPr>
        <w:t xml:space="preserve"> from</w:t>
      </w:r>
      <w:r w:rsidR="004F3F57">
        <w:rPr>
          <w:rFonts w:eastAsia="Times New Roman" w:cs="Arial"/>
          <w:bCs/>
          <w:szCs w:val="20"/>
        </w:rPr>
        <w:t xml:space="preserve"> the</w:t>
      </w:r>
      <w:r w:rsidR="00C85FBD">
        <w:rPr>
          <w:rFonts w:eastAsia="Times New Roman" w:cs="Arial"/>
          <w:bCs/>
          <w:szCs w:val="20"/>
        </w:rPr>
        <w:t xml:space="preserve"> staff pay </w:t>
      </w:r>
      <w:r w:rsidR="004F3F57">
        <w:rPr>
          <w:rFonts w:eastAsia="Times New Roman" w:cs="Arial"/>
          <w:bCs/>
          <w:szCs w:val="20"/>
        </w:rPr>
        <w:t>award</w:t>
      </w:r>
      <w:r w:rsidR="00C85FBD">
        <w:rPr>
          <w:rFonts w:eastAsia="Times New Roman" w:cs="Arial"/>
          <w:bCs/>
          <w:szCs w:val="20"/>
        </w:rPr>
        <w:t xml:space="preserve"> and energy costs. Those were known at budget setting and provided for in the reserves</w:t>
      </w:r>
      <w:r w:rsidR="004F3F57">
        <w:rPr>
          <w:rFonts w:eastAsia="Times New Roman" w:cs="Arial"/>
          <w:bCs/>
          <w:szCs w:val="20"/>
        </w:rPr>
        <w:t xml:space="preserve"> with an expectation of releasing £5.7m from the reserves in order to combat those pressures</w:t>
      </w:r>
      <w:r w:rsidR="00C85FBD">
        <w:rPr>
          <w:rFonts w:eastAsia="Times New Roman" w:cs="Arial"/>
          <w:bCs/>
          <w:szCs w:val="20"/>
        </w:rPr>
        <w:t xml:space="preserve">. Vacancy management and income streams recovering more quickly than expected </w:t>
      </w:r>
      <w:r w:rsidR="004F3F57">
        <w:rPr>
          <w:rFonts w:eastAsia="Times New Roman" w:cs="Arial"/>
          <w:bCs/>
          <w:szCs w:val="20"/>
        </w:rPr>
        <w:t xml:space="preserve">had </w:t>
      </w:r>
      <w:r w:rsidR="00C85FBD">
        <w:rPr>
          <w:rFonts w:eastAsia="Times New Roman" w:cs="Arial"/>
          <w:bCs/>
          <w:szCs w:val="20"/>
        </w:rPr>
        <w:t>meant that more money could now be put back in to reserves than had been expected earlier in the year.</w:t>
      </w:r>
    </w:p>
    <w:p w14:paraId="40AA7C3A" w14:textId="77777777" w:rsidR="00C85FBD" w:rsidRDefault="00C85FBD" w:rsidP="00092B09">
      <w:pPr>
        <w:tabs>
          <w:tab w:val="center" w:pos="4513"/>
          <w:tab w:val="right" w:pos="9026"/>
        </w:tabs>
        <w:rPr>
          <w:rFonts w:eastAsia="Times New Roman" w:cs="Arial"/>
          <w:bCs/>
          <w:szCs w:val="20"/>
        </w:rPr>
      </w:pPr>
    </w:p>
    <w:p w14:paraId="4B705F9E" w14:textId="504925D6" w:rsidR="00C85FBD" w:rsidRDefault="00C85FBD" w:rsidP="00092B09">
      <w:pPr>
        <w:tabs>
          <w:tab w:val="center" w:pos="4513"/>
          <w:tab w:val="right" w:pos="9026"/>
        </w:tabs>
        <w:rPr>
          <w:rFonts w:eastAsia="Times New Roman" w:cs="Arial"/>
          <w:bCs/>
          <w:szCs w:val="20"/>
        </w:rPr>
      </w:pPr>
      <w:r>
        <w:rPr>
          <w:rFonts w:eastAsia="Times New Roman" w:cs="Arial"/>
          <w:bCs/>
          <w:szCs w:val="20"/>
        </w:rPr>
        <w:t xml:space="preserve">While still early </w:t>
      </w:r>
      <w:r w:rsidR="004F3F57">
        <w:rPr>
          <w:rFonts w:eastAsia="Times New Roman" w:cs="Arial"/>
          <w:bCs/>
          <w:szCs w:val="20"/>
        </w:rPr>
        <w:t>into</w:t>
      </w:r>
      <w:r>
        <w:rPr>
          <w:rFonts w:eastAsia="Times New Roman" w:cs="Arial"/>
          <w:bCs/>
          <w:szCs w:val="20"/>
        </w:rPr>
        <w:t xml:space="preserve"> the new financial year, he explained there were still uncertainties around pay awards and energy costs along with other inflationary pressures such as </w:t>
      </w:r>
      <w:r w:rsidR="004F3F57">
        <w:rPr>
          <w:rFonts w:eastAsia="Times New Roman" w:cs="Arial"/>
          <w:bCs/>
          <w:szCs w:val="20"/>
        </w:rPr>
        <w:t>construction</w:t>
      </w:r>
      <w:r>
        <w:rPr>
          <w:rFonts w:eastAsia="Times New Roman" w:cs="Arial"/>
          <w:bCs/>
          <w:szCs w:val="20"/>
        </w:rPr>
        <w:t xml:space="preserve"> costs. </w:t>
      </w:r>
      <w:r w:rsidR="004F3F57">
        <w:rPr>
          <w:rFonts w:eastAsia="Times New Roman" w:cs="Arial"/>
          <w:bCs/>
          <w:szCs w:val="20"/>
        </w:rPr>
        <w:t>While these were recommendations around the use of reserves currently it</w:t>
      </w:r>
      <w:r>
        <w:rPr>
          <w:rFonts w:eastAsia="Times New Roman" w:cs="Arial"/>
          <w:bCs/>
          <w:szCs w:val="20"/>
        </w:rPr>
        <w:t xml:space="preserve"> was possible that this would need to be </w:t>
      </w:r>
      <w:r w:rsidR="004F3F57">
        <w:rPr>
          <w:rFonts w:eastAsia="Times New Roman" w:cs="Arial"/>
          <w:bCs/>
          <w:szCs w:val="20"/>
        </w:rPr>
        <w:t>re-examined</w:t>
      </w:r>
      <w:r>
        <w:rPr>
          <w:rFonts w:eastAsia="Times New Roman" w:cs="Arial"/>
          <w:bCs/>
          <w:szCs w:val="20"/>
        </w:rPr>
        <w:t xml:space="preserve"> later in the year.</w:t>
      </w:r>
    </w:p>
    <w:p w14:paraId="3DB78FC2" w14:textId="77777777" w:rsidR="008F4ECB" w:rsidRDefault="008F4ECB" w:rsidP="00092B09">
      <w:pPr>
        <w:tabs>
          <w:tab w:val="center" w:pos="4513"/>
          <w:tab w:val="right" w:pos="9026"/>
        </w:tabs>
        <w:rPr>
          <w:rFonts w:eastAsia="Times New Roman" w:cs="Arial"/>
          <w:bCs/>
          <w:szCs w:val="20"/>
        </w:rPr>
      </w:pPr>
    </w:p>
    <w:p w14:paraId="5CDA3A6D" w14:textId="12841191" w:rsidR="008F4ECB" w:rsidRDefault="008F4ECB" w:rsidP="00092B09">
      <w:pPr>
        <w:tabs>
          <w:tab w:val="center" w:pos="4513"/>
          <w:tab w:val="right" w:pos="9026"/>
        </w:tabs>
        <w:rPr>
          <w:rFonts w:eastAsia="Times New Roman" w:cs="Arial"/>
          <w:bCs/>
          <w:szCs w:val="20"/>
        </w:rPr>
      </w:pPr>
      <w:r>
        <w:rPr>
          <w:rFonts w:eastAsia="Times New Roman" w:cs="Arial"/>
          <w:bCs/>
          <w:szCs w:val="20"/>
        </w:rPr>
        <w:t>Alderman Smith proposed, seconded by Councillor</w:t>
      </w:r>
      <w:r w:rsidR="000D185F">
        <w:rPr>
          <w:rFonts w:eastAsia="Times New Roman" w:cs="Arial"/>
          <w:bCs/>
          <w:szCs w:val="20"/>
        </w:rPr>
        <w:t xml:space="preserve"> W</w:t>
      </w:r>
      <w:r>
        <w:rPr>
          <w:rFonts w:eastAsia="Times New Roman" w:cs="Arial"/>
          <w:bCs/>
          <w:szCs w:val="20"/>
        </w:rPr>
        <w:t xml:space="preserve"> Irvine, that the recommendation be adopted.</w:t>
      </w:r>
    </w:p>
    <w:p w14:paraId="070E722A" w14:textId="77777777" w:rsidR="008F4ECB" w:rsidRDefault="008F4ECB" w:rsidP="00092B09">
      <w:pPr>
        <w:tabs>
          <w:tab w:val="center" w:pos="4513"/>
          <w:tab w:val="right" w:pos="9026"/>
        </w:tabs>
        <w:rPr>
          <w:rFonts w:eastAsia="Times New Roman" w:cs="Arial"/>
          <w:bCs/>
          <w:szCs w:val="20"/>
        </w:rPr>
      </w:pPr>
    </w:p>
    <w:p w14:paraId="06C5F4A5" w14:textId="61E1390D" w:rsidR="008F4ECB" w:rsidRDefault="008F4ECB" w:rsidP="00092B09">
      <w:pPr>
        <w:tabs>
          <w:tab w:val="center" w:pos="4513"/>
          <w:tab w:val="right" w:pos="9026"/>
        </w:tabs>
        <w:rPr>
          <w:rFonts w:eastAsia="Times New Roman" w:cs="Arial"/>
          <w:bCs/>
          <w:szCs w:val="20"/>
        </w:rPr>
      </w:pPr>
      <w:r>
        <w:rPr>
          <w:rFonts w:eastAsia="Times New Roman" w:cs="Arial"/>
          <w:bCs/>
          <w:szCs w:val="20"/>
        </w:rPr>
        <w:t>Alderman Smith was pleased to see that borrowing was healthily within the set parameters</w:t>
      </w:r>
      <w:r w:rsidR="004F3F57">
        <w:rPr>
          <w:rFonts w:eastAsia="Times New Roman" w:cs="Arial"/>
          <w:bCs/>
          <w:szCs w:val="20"/>
        </w:rPr>
        <w:t xml:space="preserve"> and hoped that trend would continue.</w:t>
      </w:r>
    </w:p>
    <w:p w14:paraId="3458F4DB" w14:textId="77777777" w:rsidR="002A3143" w:rsidRDefault="002A3143" w:rsidP="00092B09">
      <w:pPr>
        <w:tabs>
          <w:tab w:val="center" w:pos="4513"/>
          <w:tab w:val="right" w:pos="9026"/>
        </w:tabs>
        <w:rPr>
          <w:rFonts w:eastAsia="Times New Roman" w:cs="Arial"/>
          <w:bCs/>
          <w:szCs w:val="20"/>
        </w:rPr>
      </w:pPr>
    </w:p>
    <w:p w14:paraId="7490BC8C" w14:textId="4D380C8E" w:rsidR="00567B46" w:rsidRPr="003F68EC" w:rsidRDefault="00567B46" w:rsidP="00092B09">
      <w:pPr>
        <w:pStyle w:val="Normal0"/>
      </w:pPr>
      <w:bookmarkStart w:id="25" w:name="_Hlk138065325"/>
      <w:bookmarkEnd w:id="23"/>
      <w:bookmarkEnd w:id="24"/>
      <w:r w:rsidRPr="007F0DD5">
        <w:rPr>
          <w:b/>
          <w:bCs/>
          <w:sz w:val="24"/>
          <w:lang w:eastAsia="en-US"/>
        </w:rPr>
        <w:t xml:space="preserve">AGREED TO RECOMMEND, on the proposal of </w:t>
      </w:r>
      <w:r w:rsidR="002A3143">
        <w:rPr>
          <w:b/>
          <w:bCs/>
          <w:sz w:val="24"/>
          <w:lang w:eastAsia="en-US"/>
        </w:rPr>
        <w:t>Alderman Smith</w:t>
      </w:r>
      <w:r w:rsidRPr="007F0DD5">
        <w:rPr>
          <w:b/>
          <w:bCs/>
          <w:sz w:val="24"/>
          <w:lang w:eastAsia="en-US"/>
        </w:rPr>
        <w:t xml:space="preserve">, seconded by </w:t>
      </w:r>
      <w:r w:rsidR="002A3143">
        <w:rPr>
          <w:b/>
          <w:bCs/>
          <w:sz w:val="24"/>
          <w:lang w:eastAsia="en-US"/>
        </w:rPr>
        <w:t>Councillor</w:t>
      </w:r>
      <w:r w:rsidR="000D185F">
        <w:rPr>
          <w:b/>
          <w:bCs/>
          <w:sz w:val="24"/>
          <w:lang w:eastAsia="en-US"/>
        </w:rPr>
        <w:t xml:space="preserve"> W</w:t>
      </w:r>
      <w:r w:rsidR="002A3143">
        <w:rPr>
          <w:b/>
          <w:bCs/>
          <w:sz w:val="24"/>
          <w:lang w:eastAsia="en-US"/>
        </w:rPr>
        <w:t xml:space="preserve"> Irvine</w:t>
      </w:r>
      <w:r w:rsidRPr="007F0DD5">
        <w:rPr>
          <w:b/>
          <w:bCs/>
          <w:sz w:val="24"/>
          <w:lang w:eastAsia="en-US"/>
        </w:rPr>
        <w:t xml:space="preserve">, that </w:t>
      </w:r>
      <w:r>
        <w:rPr>
          <w:b/>
          <w:bCs/>
          <w:sz w:val="24"/>
          <w:lang w:eastAsia="en-US"/>
        </w:rPr>
        <w:t>the recommendation be adopted.</w:t>
      </w:r>
    </w:p>
    <w:bookmarkEnd w:id="25"/>
    <w:p w14:paraId="2B0D1167" w14:textId="77777777" w:rsidR="00F45AA5" w:rsidRDefault="00F45AA5" w:rsidP="00147812">
      <w:pPr>
        <w:shd w:val="clear" w:color="auto" w:fill="FFFFFF"/>
        <w:rPr>
          <w:rFonts w:eastAsia="Times New Roman" w:cs="Arial"/>
          <w:szCs w:val="24"/>
        </w:rPr>
      </w:pPr>
    </w:p>
    <w:p w14:paraId="341FDE40" w14:textId="3EC9B33B" w:rsidR="0033058C" w:rsidRPr="008261AE" w:rsidRDefault="00393882" w:rsidP="00594424">
      <w:pPr>
        <w:pStyle w:val="Heading1"/>
        <w:ind w:left="720" w:hanging="720"/>
        <w:rPr>
          <w:rFonts w:eastAsia="Times New Roman"/>
          <w:b w:val="0"/>
          <w:bCs/>
          <w:caps w:val="0"/>
          <w:sz w:val="24"/>
          <w:szCs w:val="24"/>
        </w:rPr>
      </w:pPr>
      <w:r>
        <w:rPr>
          <w:noProof/>
        </w:rPr>
        <w:t>8</w:t>
      </w:r>
      <w:r w:rsidR="0033058C">
        <w:rPr>
          <w:noProof/>
        </w:rPr>
        <w:t>.</w:t>
      </w:r>
      <w:r w:rsidR="0033058C">
        <w:rPr>
          <w:noProof/>
        </w:rPr>
        <w:tab/>
      </w:r>
      <w:r w:rsidR="005804A0" w:rsidRPr="005804A0">
        <w:rPr>
          <w:rFonts w:eastAsia="Calibri" w:cs="Arial"/>
          <w:szCs w:val="28"/>
          <w:u w:val="single"/>
        </w:rPr>
        <w:t>Climate Change Act Northern Ireland - Reporting consultation</w:t>
      </w:r>
      <w:r w:rsidR="005804A0">
        <w:rPr>
          <w:rFonts w:eastAsia="Calibri" w:cs="Arial"/>
          <w:szCs w:val="28"/>
          <w:u w:val="single"/>
        </w:rPr>
        <w:t xml:space="preserve"> (FILE SUS1)</w:t>
      </w:r>
    </w:p>
    <w:p w14:paraId="27938ADA" w14:textId="639C8240" w:rsidR="0084133A" w:rsidRPr="009C0D9B" w:rsidRDefault="00124D06" w:rsidP="009C0D9B">
      <w:pPr>
        <w:pStyle w:val="ListParagraph"/>
        <w:ind w:left="567" w:hanging="567"/>
        <w:rPr>
          <w:rFonts w:ascii="Arial" w:eastAsia="Times New Roman" w:hAnsi="Arial" w:cs="Arial"/>
          <w:sz w:val="24"/>
          <w:szCs w:val="24"/>
        </w:rPr>
      </w:pPr>
      <w:r>
        <w:rPr>
          <w:rFonts w:ascii="Arial" w:eastAsia="Times New Roman" w:hAnsi="Arial" w:cs="Arial"/>
          <w:color w:val="FF0000"/>
          <w:sz w:val="24"/>
          <w:szCs w:val="24"/>
        </w:rPr>
        <w:tab/>
      </w:r>
      <w:r w:rsidRPr="00124D06">
        <w:rPr>
          <w:rFonts w:ascii="Arial" w:eastAsia="Times New Roman" w:hAnsi="Arial" w:cs="Arial"/>
          <w:sz w:val="24"/>
          <w:szCs w:val="24"/>
        </w:rPr>
        <w:tab/>
        <w:t xml:space="preserve">(Appendix </w:t>
      </w:r>
      <w:r w:rsidR="0073012D">
        <w:rPr>
          <w:rFonts w:ascii="Arial" w:eastAsia="Times New Roman" w:hAnsi="Arial" w:cs="Arial"/>
          <w:sz w:val="24"/>
          <w:szCs w:val="24"/>
        </w:rPr>
        <w:t>X</w:t>
      </w:r>
      <w:r w:rsidRPr="00124D06">
        <w:rPr>
          <w:rFonts w:ascii="Arial" w:eastAsia="Times New Roman" w:hAnsi="Arial" w:cs="Arial"/>
          <w:sz w:val="24"/>
          <w:szCs w:val="24"/>
        </w:rPr>
        <w:t>)</w:t>
      </w:r>
      <w:r w:rsidR="0033058C" w:rsidRPr="00124D06">
        <w:rPr>
          <w:rFonts w:ascii="Arial" w:eastAsia="Times New Roman" w:hAnsi="Arial" w:cs="Arial"/>
          <w:sz w:val="24"/>
          <w:szCs w:val="24"/>
        </w:rPr>
        <w:tab/>
      </w:r>
      <w:r w:rsidR="0033058C">
        <w:rPr>
          <w:rFonts w:ascii="Arial" w:eastAsia="Times New Roman" w:hAnsi="Arial" w:cs="Arial"/>
          <w:color w:val="FF0000"/>
          <w:sz w:val="24"/>
          <w:szCs w:val="24"/>
        </w:rPr>
        <w:tab/>
      </w:r>
    </w:p>
    <w:p w14:paraId="22E11E67" w14:textId="77777777" w:rsidR="00124D06" w:rsidRDefault="00124D06" w:rsidP="00966BAE">
      <w:pPr>
        <w:rPr>
          <w:rFonts w:cs="Arial"/>
          <w:bCs/>
          <w:caps/>
          <w:szCs w:val="24"/>
        </w:rPr>
      </w:pPr>
      <w:bookmarkStart w:id="26" w:name="_Hlk129092071"/>
      <w:bookmarkStart w:id="27" w:name="_Hlk127437126"/>
    </w:p>
    <w:p w14:paraId="4A6F695D" w14:textId="77777777" w:rsidR="0073012D" w:rsidRDefault="002A5F7E" w:rsidP="00966BAE">
      <w:pPr>
        <w:rPr>
          <w:rFonts w:cs="Arial"/>
          <w:szCs w:val="24"/>
        </w:rPr>
      </w:pPr>
      <w:bookmarkStart w:id="28" w:name="_Hlk138067156"/>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w:t>
      </w:r>
      <w:r w:rsidR="0073012D">
        <w:rPr>
          <w:rFonts w:cs="Arial"/>
          <w:szCs w:val="24"/>
        </w:rPr>
        <w:t xml:space="preserve"> outlined as follows:</w:t>
      </w:r>
    </w:p>
    <w:bookmarkEnd w:id="28"/>
    <w:p w14:paraId="33BC0F16" w14:textId="116F5066" w:rsidR="002A5F7E" w:rsidRDefault="002A5F7E" w:rsidP="0073012D">
      <w:pPr>
        <w:rPr>
          <w:rFonts w:cs="Arial"/>
          <w:szCs w:val="24"/>
        </w:rPr>
      </w:pPr>
    </w:p>
    <w:p w14:paraId="6C9A9B75" w14:textId="77777777" w:rsidR="00261CA5" w:rsidRDefault="00261CA5" w:rsidP="0073012D">
      <w:pPr>
        <w:rPr>
          <w:rFonts w:eastAsia="Times New Roman"/>
          <w:b/>
          <w:bCs/>
          <w:szCs w:val="20"/>
        </w:rPr>
      </w:pPr>
    </w:p>
    <w:p w14:paraId="09550467" w14:textId="09891FEE" w:rsidR="0073012D" w:rsidRPr="0073012D" w:rsidRDefault="0073012D" w:rsidP="0073012D">
      <w:pPr>
        <w:rPr>
          <w:rFonts w:eastAsia="Times New Roman"/>
          <w:b/>
          <w:bCs/>
          <w:szCs w:val="20"/>
        </w:rPr>
      </w:pPr>
      <w:r w:rsidRPr="0073012D">
        <w:rPr>
          <w:rFonts w:eastAsia="Times New Roman"/>
          <w:b/>
          <w:bCs/>
          <w:szCs w:val="20"/>
        </w:rPr>
        <w:lastRenderedPageBreak/>
        <w:t>Background</w:t>
      </w:r>
    </w:p>
    <w:p w14:paraId="1D96983F" w14:textId="77777777" w:rsidR="0073012D" w:rsidRPr="0073012D" w:rsidRDefault="0073012D" w:rsidP="0073012D">
      <w:pPr>
        <w:rPr>
          <w:rFonts w:eastAsia="Times New Roman"/>
          <w:b/>
          <w:bCs/>
          <w:szCs w:val="20"/>
        </w:rPr>
      </w:pPr>
    </w:p>
    <w:p w14:paraId="355B5E89" w14:textId="77777777" w:rsidR="0073012D" w:rsidRPr="0073012D" w:rsidRDefault="0073012D" w:rsidP="0073012D">
      <w:pPr>
        <w:rPr>
          <w:rFonts w:eastAsia="Times New Roman" w:cs="Arial"/>
          <w:szCs w:val="24"/>
        </w:rPr>
      </w:pPr>
      <w:r w:rsidRPr="0073012D">
        <w:rPr>
          <w:rFonts w:eastAsia="Times New Roman" w:cs="Arial"/>
          <w:szCs w:val="24"/>
        </w:rPr>
        <w:t>The Climate Change Act (Northern Ireland) 2022 (‘the Act’) received Royal Assent on 6th June 2022. A briefing of the Act was reported to Corporate Committee, 15 February 2023.  To summarise The Act would:</w:t>
      </w:r>
    </w:p>
    <w:p w14:paraId="0D4689B6" w14:textId="77777777" w:rsidR="0073012D" w:rsidRPr="0073012D" w:rsidRDefault="0073012D" w:rsidP="00CF34D3">
      <w:pPr>
        <w:numPr>
          <w:ilvl w:val="0"/>
          <w:numId w:val="2"/>
        </w:numPr>
        <w:spacing w:before="240" w:after="160"/>
        <w:ind w:left="426" w:hanging="426"/>
        <w:contextualSpacing/>
        <w:rPr>
          <w:rFonts w:eastAsia="Times New Roman" w:cs="Arial"/>
          <w:szCs w:val="24"/>
        </w:rPr>
      </w:pPr>
      <w:r w:rsidRPr="0073012D">
        <w:rPr>
          <w:rFonts w:eastAsia="Times New Roman" w:cs="Arial"/>
          <w:szCs w:val="24"/>
        </w:rPr>
        <w:t xml:space="preserve">set targets for net zero for the years 2050, 2040 and 2030 for the reduction of greenhouse gas emissions </w:t>
      </w:r>
    </w:p>
    <w:p w14:paraId="661DB9B8" w14:textId="77777777" w:rsidR="0073012D" w:rsidRPr="0073012D" w:rsidRDefault="0073012D" w:rsidP="00CF34D3">
      <w:pPr>
        <w:numPr>
          <w:ilvl w:val="0"/>
          <w:numId w:val="2"/>
        </w:numPr>
        <w:spacing w:after="160"/>
        <w:ind w:left="426" w:hanging="426"/>
        <w:contextualSpacing/>
        <w:rPr>
          <w:rFonts w:eastAsia="Times New Roman" w:cs="Arial"/>
          <w:szCs w:val="24"/>
        </w:rPr>
      </w:pPr>
      <w:r w:rsidRPr="0073012D">
        <w:rPr>
          <w:rFonts w:eastAsia="Times New Roman" w:cs="Arial"/>
          <w:szCs w:val="24"/>
        </w:rPr>
        <w:t>set out a carbon budgeting framework (Carbon budget was a term used to refer to the maximum amount of carbon dioxide (CO2) emissions allowed over a period of time, to limit global warming to 1.5 degrees Celsius);</w:t>
      </w:r>
    </w:p>
    <w:p w14:paraId="1D6AC74D" w14:textId="77777777" w:rsidR="0073012D" w:rsidRPr="0073012D" w:rsidRDefault="0073012D" w:rsidP="00CF34D3">
      <w:pPr>
        <w:numPr>
          <w:ilvl w:val="0"/>
          <w:numId w:val="2"/>
        </w:numPr>
        <w:spacing w:after="160"/>
        <w:ind w:left="426" w:hanging="426"/>
        <w:contextualSpacing/>
        <w:rPr>
          <w:rFonts w:eastAsia="Times New Roman" w:cs="Arial"/>
          <w:szCs w:val="24"/>
        </w:rPr>
      </w:pPr>
      <w:r w:rsidRPr="0073012D">
        <w:rPr>
          <w:rFonts w:eastAsia="Times New Roman" w:cs="Arial"/>
          <w:szCs w:val="24"/>
        </w:rPr>
        <w:t xml:space="preserve">provide for reporting and statements against those targets and budgets; </w:t>
      </w:r>
    </w:p>
    <w:p w14:paraId="246C8754" w14:textId="77777777" w:rsidR="0073012D" w:rsidRPr="0073012D" w:rsidRDefault="0073012D" w:rsidP="00CF34D3">
      <w:pPr>
        <w:numPr>
          <w:ilvl w:val="0"/>
          <w:numId w:val="2"/>
        </w:numPr>
        <w:spacing w:after="160"/>
        <w:ind w:left="426" w:hanging="426"/>
        <w:contextualSpacing/>
        <w:rPr>
          <w:rFonts w:eastAsia="Times New Roman" w:cs="Arial"/>
          <w:szCs w:val="24"/>
        </w:rPr>
      </w:pPr>
      <w:r w:rsidRPr="0073012D">
        <w:rPr>
          <w:rFonts w:eastAsia="Times New Roman" w:cs="Arial"/>
          <w:szCs w:val="24"/>
        </w:rPr>
        <w:t xml:space="preserve">confer power to impose climate change reporting duties on public bodies; </w:t>
      </w:r>
    </w:p>
    <w:p w14:paraId="72905763" w14:textId="77777777" w:rsidR="0073012D" w:rsidRPr="0073012D" w:rsidRDefault="0073012D" w:rsidP="00CF34D3">
      <w:pPr>
        <w:numPr>
          <w:ilvl w:val="0"/>
          <w:numId w:val="2"/>
        </w:numPr>
        <w:spacing w:after="160"/>
        <w:ind w:left="426" w:hanging="426"/>
        <w:contextualSpacing/>
        <w:rPr>
          <w:rFonts w:eastAsia="Times New Roman" w:cs="Arial"/>
          <w:szCs w:val="24"/>
        </w:rPr>
      </w:pPr>
      <w:r w:rsidRPr="0073012D">
        <w:rPr>
          <w:rFonts w:eastAsia="Times New Roman" w:cs="Arial"/>
          <w:szCs w:val="24"/>
        </w:rPr>
        <w:t>establish a Northern Ireland Climate Change Commission and appoint a Climate Change Commissioner to oversee and report on the operations of the Act and stated a commitment to developing a climate action plan within 2 years of the Act receiving Royal Ascent.</w:t>
      </w:r>
    </w:p>
    <w:p w14:paraId="267561CF" w14:textId="77777777" w:rsidR="0073012D" w:rsidRPr="0073012D" w:rsidRDefault="0073012D" w:rsidP="0073012D">
      <w:pPr>
        <w:rPr>
          <w:rFonts w:eastAsia="Times New Roman" w:cs="Arial"/>
          <w:b/>
          <w:bCs/>
          <w:szCs w:val="24"/>
        </w:rPr>
      </w:pPr>
    </w:p>
    <w:p w14:paraId="00360AF5" w14:textId="77777777" w:rsidR="0073012D" w:rsidRPr="0073012D" w:rsidRDefault="0073012D" w:rsidP="0073012D">
      <w:pPr>
        <w:rPr>
          <w:rFonts w:eastAsia="Times New Roman" w:cs="Arial"/>
          <w:b/>
          <w:bCs/>
          <w:szCs w:val="24"/>
        </w:rPr>
      </w:pPr>
      <w:r w:rsidRPr="0073012D">
        <w:rPr>
          <w:rFonts w:eastAsia="Times New Roman" w:cs="Arial"/>
          <w:b/>
          <w:bCs/>
          <w:szCs w:val="24"/>
        </w:rPr>
        <w:t xml:space="preserve">What were the reporting guidelines under the Act: </w:t>
      </w:r>
    </w:p>
    <w:p w14:paraId="344F1ACB" w14:textId="77777777" w:rsidR="0073012D" w:rsidRPr="0073012D" w:rsidRDefault="0073012D" w:rsidP="0073012D">
      <w:pPr>
        <w:rPr>
          <w:rFonts w:eastAsia="Times New Roman" w:cs="Arial"/>
          <w:b/>
          <w:bCs/>
          <w:szCs w:val="24"/>
        </w:rPr>
      </w:pPr>
    </w:p>
    <w:p w14:paraId="59C3A3A8" w14:textId="77777777" w:rsidR="0073012D" w:rsidRPr="001E6952" w:rsidRDefault="0073012D" w:rsidP="00AA40B7">
      <w:pPr>
        <w:pStyle w:val="Normal00"/>
        <w:numPr>
          <w:ilvl w:val="0"/>
          <w:numId w:val="38"/>
        </w:numPr>
        <w:rPr>
          <w:rFonts w:cs="Arial"/>
          <w:szCs w:val="24"/>
        </w:rPr>
      </w:pPr>
      <w:r w:rsidRPr="001E6952">
        <w:rPr>
          <w:rFonts w:cs="Arial"/>
          <w:szCs w:val="24"/>
        </w:rPr>
        <w:t xml:space="preserve">There was a statutory requirement in the Act under Section 42 for DAERA, acting on behalf of the Northern Ireland Executive, to make new legislation (i.e., new regulations), which would require climate change reporting by specified public bodies. </w:t>
      </w:r>
    </w:p>
    <w:p w14:paraId="416A37F4" w14:textId="67244B2E" w:rsidR="0073012D" w:rsidRPr="001E6952" w:rsidRDefault="0073012D" w:rsidP="001E6952">
      <w:pPr>
        <w:pStyle w:val="ListParagraph"/>
        <w:numPr>
          <w:ilvl w:val="0"/>
          <w:numId w:val="38"/>
        </w:numPr>
        <w:rPr>
          <w:rFonts w:ascii="Arial" w:hAnsi="Arial" w:cs="Arial"/>
          <w:sz w:val="24"/>
          <w:szCs w:val="24"/>
        </w:rPr>
      </w:pPr>
      <w:r w:rsidRPr="001E6952">
        <w:rPr>
          <w:rFonts w:ascii="Arial" w:hAnsi="Arial" w:cs="Arial"/>
          <w:sz w:val="24"/>
          <w:szCs w:val="24"/>
        </w:rPr>
        <w:t>The new legislation needed to be made and come into operation before 6th December 2023. </w:t>
      </w:r>
    </w:p>
    <w:p w14:paraId="22F14FE7" w14:textId="77777777" w:rsidR="0073012D" w:rsidRPr="001E6952" w:rsidRDefault="0073012D" w:rsidP="00AA40B7">
      <w:pPr>
        <w:pStyle w:val="Normal00"/>
        <w:numPr>
          <w:ilvl w:val="0"/>
          <w:numId w:val="38"/>
        </w:numPr>
        <w:rPr>
          <w:rFonts w:cs="Arial"/>
          <w:szCs w:val="24"/>
        </w:rPr>
      </w:pPr>
      <w:r w:rsidRPr="001E6952">
        <w:rPr>
          <w:rFonts w:cs="Arial"/>
          <w:szCs w:val="24"/>
        </w:rPr>
        <w:t>The Act requires prior consultation with relevant stakeholders before the regulations came into operation. This was currently being carried out by Climate NI on behalf of DAERA.</w:t>
      </w:r>
    </w:p>
    <w:p w14:paraId="1E93169B" w14:textId="77777777" w:rsidR="0073012D" w:rsidRPr="001E6952" w:rsidRDefault="0073012D" w:rsidP="00AA40B7">
      <w:pPr>
        <w:pStyle w:val="Normal00"/>
        <w:numPr>
          <w:ilvl w:val="0"/>
          <w:numId w:val="38"/>
        </w:numPr>
        <w:rPr>
          <w:rFonts w:cs="Arial"/>
          <w:szCs w:val="24"/>
        </w:rPr>
      </w:pPr>
      <w:r w:rsidRPr="001E6952">
        <w:rPr>
          <w:rFonts w:cs="Arial"/>
          <w:szCs w:val="24"/>
        </w:rPr>
        <w:t xml:space="preserve">Section 42 of the Act gave powers to make new regulations which set duties on specified public bodies to report on climate change. </w:t>
      </w:r>
    </w:p>
    <w:p w14:paraId="0BD6E8F1" w14:textId="77777777" w:rsidR="0073012D" w:rsidRPr="001E6952" w:rsidRDefault="0073012D" w:rsidP="00AA40B7">
      <w:pPr>
        <w:pStyle w:val="Normal00"/>
        <w:numPr>
          <w:ilvl w:val="0"/>
          <w:numId w:val="38"/>
        </w:numPr>
        <w:rPr>
          <w:rFonts w:cs="Arial"/>
          <w:szCs w:val="24"/>
        </w:rPr>
      </w:pPr>
      <w:r w:rsidRPr="001E6952">
        <w:rPr>
          <w:rFonts w:cs="Arial"/>
          <w:szCs w:val="24"/>
        </w:rPr>
        <w:t xml:space="preserve">However, it did not contain any powers or duties to require public bodies to deliver their functions in a certain way or to take any other specific actions beyond fulfilling their climate reporting duty. </w:t>
      </w:r>
    </w:p>
    <w:p w14:paraId="4EB3149B" w14:textId="77777777" w:rsidR="0073012D" w:rsidRPr="001E6952" w:rsidRDefault="0073012D" w:rsidP="00AA40B7">
      <w:pPr>
        <w:pStyle w:val="Normal00"/>
        <w:numPr>
          <w:ilvl w:val="0"/>
          <w:numId w:val="38"/>
        </w:numPr>
        <w:rPr>
          <w:rFonts w:cs="Arial"/>
          <w:szCs w:val="24"/>
        </w:rPr>
      </w:pPr>
      <w:r w:rsidRPr="001E6952">
        <w:rPr>
          <w:rFonts w:cs="Arial"/>
          <w:szCs w:val="24"/>
        </w:rPr>
        <w:t xml:space="preserve">The climate change reporting duties that the regulations may impose, on specified public bodies, included preparing reports containing any of the following: </w:t>
      </w:r>
    </w:p>
    <w:p w14:paraId="472A5AD8" w14:textId="77777777" w:rsidR="0073012D" w:rsidRPr="0073012D" w:rsidRDefault="0073012D" w:rsidP="00CF34D3">
      <w:pPr>
        <w:numPr>
          <w:ilvl w:val="0"/>
          <w:numId w:val="3"/>
        </w:numPr>
        <w:spacing w:after="160"/>
        <w:contextualSpacing/>
        <w:rPr>
          <w:rFonts w:eastAsia="Times New Roman" w:cs="Arial"/>
          <w:szCs w:val="24"/>
        </w:rPr>
      </w:pPr>
      <w:r w:rsidRPr="0073012D">
        <w:rPr>
          <w:rFonts w:eastAsia="Times New Roman" w:cs="Arial"/>
          <w:szCs w:val="24"/>
        </w:rPr>
        <w:t xml:space="preserve">an assessment of the current and predicted impact of climate change in relation to the body’s functions; </w:t>
      </w:r>
    </w:p>
    <w:p w14:paraId="3EEBF6D2" w14:textId="77777777" w:rsidR="0073012D" w:rsidRPr="0073012D" w:rsidRDefault="0073012D" w:rsidP="00CF34D3">
      <w:pPr>
        <w:numPr>
          <w:ilvl w:val="0"/>
          <w:numId w:val="3"/>
        </w:numPr>
        <w:spacing w:after="160"/>
        <w:contextualSpacing/>
        <w:rPr>
          <w:rFonts w:eastAsia="Times New Roman" w:cs="Arial"/>
          <w:szCs w:val="24"/>
        </w:rPr>
      </w:pPr>
      <w:r w:rsidRPr="0073012D">
        <w:rPr>
          <w:rFonts w:eastAsia="Times New Roman" w:cs="Arial"/>
          <w:szCs w:val="24"/>
        </w:rPr>
        <w:t xml:space="preserve">a statement of the body’s proposals and policies for adapting to, or mitigating the effects of, climate change in the exercise of its functions; </w:t>
      </w:r>
    </w:p>
    <w:p w14:paraId="7D68B4C5" w14:textId="77777777" w:rsidR="0073012D" w:rsidRPr="0073012D" w:rsidRDefault="0073012D" w:rsidP="00CF34D3">
      <w:pPr>
        <w:numPr>
          <w:ilvl w:val="0"/>
          <w:numId w:val="3"/>
        </w:numPr>
        <w:spacing w:after="160"/>
        <w:contextualSpacing/>
        <w:rPr>
          <w:rFonts w:eastAsia="Times New Roman" w:cs="Arial"/>
          <w:szCs w:val="24"/>
        </w:rPr>
      </w:pPr>
      <w:r w:rsidRPr="0073012D">
        <w:rPr>
          <w:rFonts w:eastAsia="Times New Roman" w:cs="Arial"/>
          <w:szCs w:val="24"/>
        </w:rPr>
        <w:t xml:space="preserve">a statement of the timescales for implementing those proposals and policies; and </w:t>
      </w:r>
    </w:p>
    <w:p w14:paraId="34EBEBA5" w14:textId="77777777" w:rsidR="0073012D" w:rsidRPr="0073012D" w:rsidRDefault="0073012D" w:rsidP="00CF34D3">
      <w:pPr>
        <w:numPr>
          <w:ilvl w:val="0"/>
          <w:numId w:val="3"/>
        </w:numPr>
        <w:spacing w:after="160"/>
        <w:contextualSpacing/>
        <w:rPr>
          <w:rFonts w:eastAsia="Times New Roman" w:cs="Arial"/>
          <w:szCs w:val="24"/>
        </w:rPr>
      </w:pPr>
      <w:r w:rsidRPr="0073012D">
        <w:rPr>
          <w:rFonts w:eastAsia="Times New Roman" w:cs="Arial"/>
          <w:szCs w:val="24"/>
        </w:rPr>
        <w:t xml:space="preserve">an assessment of the progress made by the body towards implementing the proposals and policies set out in any previous reports prepared under the regulations. </w:t>
      </w:r>
    </w:p>
    <w:p w14:paraId="59BBD901" w14:textId="77777777" w:rsidR="0073012D" w:rsidRDefault="0073012D" w:rsidP="00AA40B7">
      <w:pPr>
        <w:spacing w:after="160"/>
        <w:ind w:left="1440"/>
        <w:contextualSpacing/>
        <w:rPr>
          <w:rFonts w:eastAsia="Times New Roman" w:cs="Arial"/>
          <w:szCs w:val="24"/>
        </w:rPr>
      </w:pPr>
    </w:p>
    <w:p w14:paraId="4675E1E2" w14:textId="77777777" w:rsidR="00AA40B7" w:rsidRDefault="00AA40B7" w:rsidP="00AA40B7">
      <w:pPr>
        <w:spacing w:after="160"/>
        <w:ind w:left="1440"/>
        <w:contextualSpacing/>
        <w:rPr>
          <w:rFonts w:eastAsia="Times New Roman" w:cs="Arial"/>
          <w:szCs w:val="24"/>
        </w:rPr>
      </w:pPr>
    </w:p>
    <w:p w14:paraId="2473C26A" w14:textId="77777777" w:rsidR="00AA40B7" w:rsidRDefault="00AA40B7" w:rsidP="00AA40B7">
      <w:pPr>
        <w:spacing w:after="160"/>
        <w:ind w:left="1440"/>
        <w:contextualSpacing/>
        <w:rPr>
          <w:rFonts w:eastAsia="Times New Roman" w:cs="Arial"/>
          <w:szCs w:val="24"/>
        </w:rPr>
      </w:pPr>
    </w:p>
    <w:p w14:paraId="05F286AC" w14:textId="77777777" w:rsidR="00AA40B7" w:rsidRPr="0073012D" w:rsidRDefault="00AA40B7" w:rsidP="00AA40B7">
      <w:pPr>
        <w:spacing w:after="160"/>
        <w:ind w:left="1440"/>
        <w:contextualSpacing/>
        <w:rPr>
          <w:rFonts w:eastAsia="Times New Roman" w:cs="Arial"/>
          <w:szCs w:val="24"/>
        </w:rPr>
      </w:pPr>
    </w:p>
    <w:p w14:paraId="1680E0D2" w14:textId="77777777" w:rsidR="0073012D" w:rsidRPr="0073012D" w:rsidRDefault="0073012D" w:rsidP="0073012D">
      <w:pPr>
        <w:rPr>
          <w:rFonts w:eastAsia="Times New Roman" w:cs="Arial"/>
          <w:b/>
          <w:bCs/>
          <w:szCs w:val="24"/>
        </w:rPr>
      </w:pPr>
      <w:r w:rsidRPr="0073012D">
        <w:rPr>
          <w:rFonts w:eastAsia="Times New Roman" w:cs="Arial"/>
          <w:b/>
          <w:bCs/>
          <w:szCs w:val="24"/>
        </w:rPr>
        <w:lastRenderedPageBreak/>
        <w:t xml:space="preserve">What public bodies </w:t>
      </w:r>
      <w:r w:rsidRPr="0073012D">
        <w:rPr>
          <w:rFonts w:eastAsia="Times New Roman" w:cs="Arial"/>
          <w:b/>
          <w:bCs/>
          <w:szCs w:val="24"/>
          <w:u w:val="single"/>
        </w:rPr>
        <w:t>may</w:t>
      </w:r>
      <w:r w:rsidRPr="0073012D">
        <w:rPr>
          <w:rFonts w:eastAsia="Times New Roman" w:cs="Arial"/>
          <w:b/>
          <w:bCs/>
          <w:szCs w:val="24"/>
        </w:rPr>
        <w:t xml:space="preserve"> have to consider when preparing reports:</w:t>
      </w:r>
    </w:p>
    <w:p w14:paraId="693D8984" w14:textId="77777777" w:rsidR="0073012D" w:rsidRPr="0073012D" w:rsidRDefault="0073012D" w:rsidP="0073012D">
      <w:pPr>
        <w:rPr>
          <w:rFonts w:eastAsia="Times New Roman" w:cs="Arial"/>
          <w:b/>
          <w:bCs/>
          <w:szCs w:val="24"/>
        </w:rPr>
      </w:pPr>
    </w:p>
    <w:p w14:paraId="78D173C0" w14:textId="77777777" w:rsidR="0073012D" w:rsidRPr="0073012D" w:rsidRDefault="0073012D" w:rsidP="0073012D">
      <w:pPr>
        <w:rPr>
          <w:rFonts w:eastAsia="Times New Roman" w:cs="Arial"/>
          <w:szCs w:val="24"/>
        </w:rPr>
      </w:pPr>
      <w:r w:rsidRPr="0073012D">
        <w:rPr>
          <w:rFonts w:eastAsia="Times New Roman" w:cs="Arial"/>
          <w:szCs w:val="24"/>
        </w:rPr>
        <w:t xml:space="preserve">The Act gave powers to DAERA to include in the regulations a requirement for the specified bodies, when preparing the reports, to have regard for: </w:t>
      </w:r>
    </w:p>
    <w:p w14:paraId="1652950C" w14:textId="77777777" w:rsidR="0073012D" w:rsidRPr="0073012D" w:rsidRDefault="0073012D" w:rsidP="0073012D">
      <w:pPr>
        <w:rPr>
          <w:rFonts w:eastAsia="Times New Roman" w:cs="Arial"/>
          <w:szCs w:val="24"/>
        </w:rPr>
      </w:pPr>
    </w:p>
    <w:p w14:paraId="792CB06B" w14:textId="77777777" w:rsidR="0073012D" w:rsidRPr="0073012D" w:rsidRDefault="0073012D" w:rsidP="0073012D">
      <w:pPr>
        <w:ind w:left="426" w:hanging="426"/>
        <w:rPr>
          <w:rFonts w:eastAsia="Times New Roman" w:cs="Arial"/>
          <w:szCs w:val="24"/>
        </w:rPr>
      </w:pPr>
      <w:r w:rsidRPr="0073012D">
        <w:rPr>
          <w:rFonts w:eastAsia="Times New Roman" w:cs="Arial"/>
          <w:szCs w:val="24"/>
        </w:rPr>
        <w:t xml:space="preserve">a)   the most recent report under section 56 of the Climate Change Act 2008 (i.e., the latest UK-wide Climate Change Risk Assessment); </w:t>
      </w:r>
    </w:p>
    <w:p w14:paraId="4278E884" w14:textId="77777777" w:rsidR="0073012D" w:rsidRPr="0073012D" w:rsidRDefault="0073012D" w:rsidP="0073012D">
      <w:pPr>
        <w:ind w:left="426" w:hanging="426"/>
        <w:rPr>
          <w:rFonts w:eastAsia="Times New Roman" w:cs="Arial"/>
          <w:szCs w:val="24"/>
        </w:rPr>
      </w:pPr>
      <w:r w:rsidRPr="0073012D">
        <w:rPr>
          <w:rFonts w:eastAsia="Times New Roman" w:cs="Arial"/>
          <w:szCs w:val="24"/>
        </w:rPr>
        <w:t xml:space="preserve">b)   the most recent programme under section 60 of that Act (i.e., the latest Northern Ireland Climate Change Adaptation Programme); and </w:t>
      </w:r>
    </w:p>
    <w:p w14:paraId="337CDC4E" w14:textId="77777777" w:rsidR="0073012D" w:rsidRPr="0073012D" w:rsidRDefault="0073012D" w:rsidP="0073012D">
      <w:pPr>
        <w:ind w:left="426" w:hanging="426"/>
        <w:rPr>
          <w:rFonts w:eastAsia="Times New Roman" w:cs="Arial"/>
          <w:szCs w:val="24"/>
        </w:rPr>
      </w:pPr>
      <w:r w:rsidRPr="0073012D">
        <w:rPr>
          <w:rFonts w:eastAsia="Times New Roman" w:cs="Arial"/>
          <w:szCs w:val="24"/>
        </w:rPr>
        <w:t>c)   the desirability of co-ordinating the body’s proposals and policies for adapting to, or mitigating the effects of, climate change with corresponding proposals and policies of bodies in other parts of the United Kingdom, in the Republic of Ireland or elsewhere.</w:t>
      </w:r>
    </w:p>
    <w:p w14:paraId="581C79B2" w14:textId="77777777" w:rsidR="0073012D" w:rsidRPr="0073012D" w:rsidRDefault="0073012D" w:rsidP="0073012D">
      <w:pPr>
        <w:rPr>
          <w:rFonts w:eastAsia="Times New Roman" w:cs="Arial"/>
          <w:szCs w:val="24"/>
        </w:rPr>
      </w:pPr>
    </w:p>
    <w:p w14:paraId="577587F1" w14:textId="77777777" w:rsidR="0073012D" w:rsidRPr="0073012D" w:rsidRDefault="0073012D" w:rsidP="0073012D">
      <w:pPr>
        <w:rPr>
          <w:rFonts w:eastAsia="Times New Roman" w:cs="Arial"/>
          <w:szCs w:val="24"/>
        </w:rPr>
      </w:pPr>
      <w:r w:rsidRPr="0073012D">
        <w:rPr>
          <w:rFonts w:eastAsia="Times New Roman" w:cs="Arial"/>
          <w:szCs w:val="24"/>
        </w:rPr>
        <w:t>DAERA was seeking views to inform the development of new regulations that would place climate change reporting duties on specified public bodies.</w:t>
      </w:r>
    </w:p>
    <w:p w14:paraId="52ED0011" w14:textId="77777777" w:rsidR="0073012D" w:rsidRPr="0073012D" w:rsidRDefault="0073012D" w:rsidP="0073012D">
      <w:pPr>
        <w:rPr>
          <w:rFonts w:eastAsia="Times New Roman" w:cs="Arial"/>
          <w:szCs w:val="24"/>
        </w:rPr>
      </w:pPr>
    </w:p>
    <w:p w14:paraId="69286C02" w14:textId="77777777" w:rsidR="0073012D" w:rsidRPr="0073012D" w:rsidRDefault="0073012D" w:rsidP="0073012D">
      <w:pPr>
        <w:rPr>
          <w:rFonts w:eastAsia="Times New Roman" w:cs="Arial"/>
          <w:szCs w:val="24"/>
        </w:rPr>
      </w:pPr>
      <w:r w:rsidRPr="0073012D">
        <w:rPr>
          <w:rFonts w:eastAsia="Times New Roman" w:cs="Arial"/>
          <w:szCs w:val="24"/>
        </w:rPr>
        <w:t>In developing this response council had considered comments from Sustainable NI, Climate NI and other councils for a more collective and consistent response.</w:t>
      </w:r>
    </w:p>
    <w:p w14:paraId="4EC46EC7" w14:textId="77777777" w:rsidR="0073012D" w:rsidRPr="0073012D" w:rsidRDefault="0073012D" w:rsidP="0073012D">
      <w:pPr>
        <w:rPr>
          <w:rFonts w:eastAsia="Times New Roman" w:cs="Arial"/>
          <w:szCs w:val="24"/>
        </w:rPr>
      </w:pPr>
    </w:p>
    <w:p w14:paraId="60DAB144" w14:textId="77777777" w:rsidR="0073012D" w:rsidRPr="0073012D" w:rsidRDefault="0073012D" w:rsidP="0073012D">
      <w:pPr>
        <w:rPr>
          <w:rFonts w:eastAsia="Times New Roman" w:cs="Arial"/>
          <w:szCs w:val="24"/>
        </w:rPr>
      </w:pPr>
      <w:r w:rsidRPr="0073012D">
        <w:rPr>
          <w:rFonts w:eastAsia="Times New Roman" w:cs="Arial"/>
          <w:szCs w:val="24"/>
        </w:rPr>
        <w:t>An extension had been requested to the response due to elections.</w:t>
      </w:r>
    </w:p>
    <w:p w14:paraId="5D5A3F39" w14:textId="77777777" w:rsidR="0073012D" w:rsidRPr="0073012D" w:rsidRDefault="0073012D" w:rsidP="0073012D">
      <w:pPr>
        <w:rPr>
          <w:rFonts w:eastAsia="Times New Roman"/>
          <w:szCs w:val="20"/>
        </w:rPr>
      </w:pPr>
    </w:p>
    <w:p w14:paraId="6A384B24" w14:textId="1A2F9589" w:rsidR="0073012D" w:rsidRDefault="0073012D" w:rsidP="0073012D">
      <w:pPr>
        <w:rPr>
          <w:rFonts w:eastAsia="Times New Roman"/>
          <w:szCs w:val="20"/>
        </w:rPr>
      </w:pPr>
      <w:r w:rsidRPr="0073012D">
        <w:rPr>
          <w:rFonts w:eastAsia="Times New Roman"/>
          <w:szCs w:val="20"/>
        </w:rPr>
        <w:t>RECOMMENDED that Council approved this consultation response.</w:t>
      </w:r>
    </w:p>
    <w:p w14:paraId="72DEAD93" w14:textId="77777777" w:rsidR="002A3143" w:rsidRDefault="002A3143" w:rsidP="0073012D">
      <w:pPr>
        <w:rPr>
          <w:rFonts w:eastAsia="Times New Roman"/>
          <w:szCs w:val="20"/>
        </w:rPr>
      </w:pPr>
    </w:p>
    <w:p w14:paraId="4640FAB5" w14:textId="07F79629" w:rsidR="002A3143" w:rsidRDefault="002A3143" w:rsidP="0073012D">
      <w:pPr>
        <w:rPr>
          <w:rFonts w:eastAsia="Times New Roman"/>
          <w:szCs w:val="20"/>
        </w:rPr>
      </w:pPr>
      <w:r>
        <w:rPr>
          <w:rFonts w:eastAsia="Times New Roman"/>
          <w:szCs w:val="20"/>
        </w:rPr>
        <w:t>Alderman Smith proposed, seconded by Councillor McRandal, that the recommendation be adopted.</w:t>
      </w:r>
    </w:p>
    <w:p w14:paraId="3090FE6B" w14:textId="77777777" w:rsidR="00693BAC" w:rsidRDefault="00693BAC" w:rsidP="0073012D">
      <w:pPr>
        <w:rPr>
          <w:rFonts w:eastAsia="Times New Roman"/>
          <w:szCs w:val="20"/>
        </w:rPr>
      </w:pPr>
    </w:p>
    <w:p w14:paraId="6E55F6DD" w14:textId="19F790DA" w:rsidR="00693BAC" w:rsidRDefault="008F4ECB" w:rsidP="0073012D">
      <w:pPr>
        <w:rPr>
          <w:rFonts w:eastAsia="Times New Roman"/>
          <w:szCs w:val="20"/>
        </w:rPr>
      </w:pPr>
      <w:r>
        <w:rPr>
          <w:rFonts w:eastAsia="Times New Roman"/>
          <w:szCs w:val="20"/>
        </w:rPr>
        <w:t xml:space="preserve">Alderman Smith wished to reiterate what was stated in the response, </w:t>
      </w:r>
      <w:r w:rsidR="003F2DFE">
        <w:rPr>
          <w:rFonts w:eastAsia="Times New Roman"/>
          <w:szCs w:val="20"/>
        </w:rPr>
        <w:t>agreeing that any new system needed to be user friendly.</w:t>
      </w:r>
    </w:p>
    <w:p w14:paraId="52D2254A" w14:textId="77777777" w:rsidR="003F2DFE" w:rsidRDefault="003F2DFE" w:rsidP="0073012D">
      <w:pPr>
        <w:rPr>
          <w:rFonts w:eastAsia="Times New Roman"/>
          <w:szCs w:val="20"/>
        </w:rPr>
      </w:pPr>
    </w:p>
    <w:p w14:paraId="480A0509" w14:textId="40A7ED6F" w:rsidR="003F2DFE" w:rsidRDefault="003F2DFE" w:rsidP="0073012D">
      <w:pPr>
        <w:rPr>
          <w:rFonts w:eastAsia="Times New Roman"/>
          <w:szCs w:val="20"/>
        </w:rPr>
      </w:pPr>
      <w:r>
        <w:rPr>
          <w:rFonts w:eastAsia="Times New Roman"/>
          <w:szCs w:val="20"/>
        </w:rPr>
        <w:t>Councillor McRandal felt the response was comprehensive and well considered.</w:t>
      </w:r>
    </w:p>
    <w:p w14:paraId="404A8E6E" w14:textId="77777777" w:rsidR="0073012D" w:rsidRDefault="0073012D" w:rsidP="0073012D">
      <w:pPr>
        <w:rPr>
          <w:rFonts w:eastAsia="Times New Roman"/>
          <w:szCs w:val="20"/>
        </w:rPr>
      </w:pPr>
    </w:p>
    <w:p w14:paraId="2A350E90" w14:textId="778B9DA0" w:rsidR="0073012D" w:rsidRDefault="0073012D" w:rsidP="0073012D">
      <w:pPr>
        <w:pStyle w:val="Normal0"/>
        <w:rPr>
          <w:rFonts w:cs="Arial"/>
          <w:b/>
          <w:bCs/>
          <w:szCs w:val="24"/>
        </w:rPr>
      </w:pPr>
      <w:bookmarkStart w:id="29" w:name="_Hlk138067242"/>
      <w:r w:rsidRPr="007F0DD5">
        <w:rPr>
          <w:b/>
          <w:bCs/>
          <w:sz w:val="24"/>
          <w:lang w:eastAsia="en-US"/>
        </w:rPr>
        <w:t xml:space="preserve">AGREED TO RECOMMEND, on the proposal of </w:t>
      </w:r>
      <w:r w:rsidR="00693BAC">
        <w:rPr>
          <w:b/>
          <w:bCs/>
          <w:sz w:val="24"/>
          <w:lang w:eastAsia="en-US"/>
        </w:rPr>
        <w:t>Alderman Smith</w:t>
      </w:r>
      <w:r w:rsidRPr="007F0DD5">
        <w:rPr>
          <w:b/>
          <w:bCs/>
          <w:sz w:val="24"/>
          <w:lang w:eastAsia="en-US"/>
        </w:rPr>
        <w:t xml:space="preserve">, seconded by </w:t>
      </w:r>
      <w:r w:rsidR="00693BAC">
        <w:rPr>
          <w:b/>
          <w:bCs/>
          <w:sz w:val="24"/>
          <w:lang w:eastAsia="en-US"/>
        </w:rPr>
        <w:t>Councillor McRandal</w:t>
      </w:r>
      <w:r w:rsidRPr="007F0DD5">
        <w:rPr>
          <w:b/>
          <w:bCs/>
          <w:sz w:val="24"/>
          <w:lang w:eastAsia="en-US"/>
        </w:rPr>
        <w:t xml:space="preserve">, that </w:t>
      </w:r>
      <w:r>
        <w:rPr>
          <w:b/>
          <w:bCs/>
          <w:sz w:val="24"/>
          <w:lang w:eastAsia="en-US"/>
        </w:rPr>
        <w:t>the recommendation be adopted.</w:t>
      </w:r>
    </w:p>
    <w:bookmarkEnd w:id="26"/>
    <w:bookmarkEnd w:id="29"/>
    <w:p w14:paraId="31C1396F" w14:textId="77777777" w:rsidR="0084133A" w:rsidRPr="006F0BB7" w:rsidRDefault="0084133A" w:rsidP="00147812">
      <w:pPr>
        <w:pStyle w:val="ListParagraph"/>
        <w:ind w:left="567" w:hanging="567"/>
        <w:rPr>
          <w:rFonts w:ascii="Arial" w:eastAsia="Times New Roman" w:hAnsi="Arial" w:cs="Arial"/>
          <w:sz w:val="24"/>
          <w:szCs w:val="24"/>
        </w:rPr>
      </w:pPr>
    </w:p>
    <w:p w14:paraId="64A63C3F" w14:textId="53E2D85D" w:rsidR="0033058C" w:rsidRDefault="00393882" w:rsidP="00147812">
      <w:pPr>
        <w:pStyle w:val="Heading1"/>
        <w:ind w:left="720" w:hanging="720"/>
        <w:rPr>
          <w:rFonts w:eastAsia="Calibri" w:cs="Arial"/>
          <w:szCs w:val="28"/>
          <w:u w:val="single"/>
        </w:rPr>
      </w:pPr>
      <w:r>
        <w:t>9</w:t>
      </w:r>
      <w:r w:rsidR="0033058C">
        <w:t>.</w:t>
      </w:r>
      <w:r w:rsidR="0033058C">
        <w:tab/>
      </w:r>
      <w:r w:rsidR="005804A0" w:rsidRPr="005804A0">
        <w:rPr>
          <w:rFonts w:eastAsia="Calibri" w:cs="Arial"/>
          <w:szCs w:val="28"/>
          <w:u w:val="single"/>
        </w:rPr>
        <w:t>Roadmap to Sustainability</w:t>
      </w:r>
      <w:r w:rsidR="005804A0">
        <w:rPr>
          <w:rFonts w:eastAsia="Calibri" w:cs="Arial"/>
          <w:szCs w:val="28"/>
          <w:u w:val="single"/>
        </w:rPr>
        <w:t xml:space="preserve"> (FILE SUS1)</w:t>
      </w:r>
    </w:p>
    <w:p w14:paraId="5734077D" w14:textId="627F7E1B" w:rsidR="005804A0" w:rsidRDefault="005804A0" w:rsidP="005804A0">
      <w:pPr>
        <w:rPr>
          <w:rFonts w:cs="Arial"/>
          <w:bCs/>
          <w:caps/>
          <w:szCs w:val="24"/>
        </w:rPr>
      </w:pPr>
      <w:r>
        <w:tab/>
        <w:t>(APPENDIX XI)</w:t>
      </w:r>
      <w:bookmarkEnd w:id="27"/>
    </w:p>
    <w:p w14:paraId="3F788B82" w14:textId="77777777" w:rsidR="005804A0" w:rsidRDefault="005804A0" w:rsidP="005804A0">
      <w:pPr>
        <w:rPr>
          <w:rFonts w:cs="Arial"/>
          <w:bCs/>
          <w:caps/>
          <w:szCs w:val="24"/>
        </w:rPr>
      </w:pPr>
    </w:p>
    <w:p w14:paraId="04DAFD6F" w14:textId="02101EC1" w:rsidR="005804A0" w:rsidRPr="005804A0" w:rsidRDefault="005804A0" w:rsidP="00092B09">
      <w:pPr>
        <w:rPr>
          <w:rFonts w:eastAsia="Tw Cen MT" w:cs="Arial"/>
          <w:szCs w:val="24"/>
          <w:lang w:eastAsia="en-GB"/>
        </w:rPr>
      </w:pPr>
      <w:bookmarkStart w:id="30" w:name="_Hlk138067476"/>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w:t>
      </w:r>
      <w:bookmarkEnd w:id="30"/>
      <w:r>
        <w:rPr>
          <w:rFonts w:cs="Arial"/>
          <w:szCs w:val="24"/>
        </w:rPr>
        <w:t>the</w:t>
      </w:r>
      <w:r w:rsidRPr="005804A0">
        <w:rPr>
          <w:rFonts w:eastAsia="Tw Cen MT" w:cs="Arial"/>
          <w:szCs w:val="24"/>
          <w:lang w:eastAsia="en-GB"/>
        </w:rPr>
        <w:t xml:space="preserve"> Roadmap to Sustainability (the Roadmap) was agreed by Council in March 2021. It had been developed to formalise the Council’s commitment to becoming more sustainable and to act as a key enabler in that regard.</w:t>
      </w:r>
    </w:p>
    <w:p w14:paraId="60392B64" w14:textId="77777777" w:rsidR="005804A0" w:rsidRPr="005804A0" w:rsidRDefault="005804A0" w:rsidP="00092B09">
      <w:pPr>
        <w:rPr>
          <w:rFonts w:eastAsia="Tw Cen MT" w:cs="Arial"/>
          <w:szCs w:val="24"/>
          <w:lang w:eastAsia="en-GB"/>
        </w:rPr>
      </w:pPr>
    </w:p>
    <w:p w14:paraId="0C4291A5" w14:textId="77777777" w:rsidR="005804A0" w:rsidRPr="005804A0" w:rsidRDefault="005804A0" w:rsidP="00092B09">
      <w:pPr>
        <w:rPr>
          <w:rFonts w:eastAsia="Tw Cen MT" w:cs="Arial"/>
          <w:bCs/>
          <w:szCs w:val="24"/>
          <w:lang w:eastAsia="en-GB"/>
        </w:rPr>
      </w:pPr>
      <w:r w:rsidRPr="005804A0">
        <w:rPr>
          <w:rFonts w:eastAsia="Tw Cen MT" w:cs="Arial"/>
          <w:bCs/>
          <w:szCs w:val="24"/>
          <w:lang w:eastAsia="en-GB"/>
        </w:rPr>
        <w:t xml:space="preserve">The Roadmap ran from the period 2021 to 2028 to coincide with 2 Corporate Plan phases.  It would be updated periodically, with the accompanying Action Plan reviewed and updated on an annual basis. </w:t>
      </w:r>
    </w:p>
    <w:p w14:paraId="70DA1325" w14:textId="77777777" w:rsidR="005804A0" w:rsidRPr="005804A0" w:rsidRDefault="005804A0" w:rsidP="00092B09">
      <w:pPr>
        <w:rPr>
          <w:rFonts w:ascii="Times New Roman" w:eastAsia="Times New Roman" w:hAnsi="Times New Roman" w:cs="Arial"/>
          <w:color w:val="000000"/>
          <w:szCs w:val="24"/>
          <w:lang w:eastAsia="en-GB"/>
        </w:rPr>
      </w:pPr>
    </w:p>
    <w:p w14:paraId="791D7916" w14:textId="77777777" w:rsidR="005804A0" w:rsidRPr="005804A0" w:rsidRDefault="005804A0" w:rsidP="00092B09">
      <w:pPr>
        <w:rPr>
          <w:rFonts w:eastAsia="Tw Cen MT" w:cs="Arial"/>
          <w:szCs w:val="24"/>
          <w:lang w:eastAsia="en-GB"/>
        </w:rPr>
      </w:pPr>
      <w:r w:rsidRPr="005804A0">
        <w:rPr>
          <w:rFonts w:eastAsia="Tw Cen MT" w:cs="Arial"/>
          <w:szCs w:val="24"/>
          <w:lang w:eastAsia="en-GB"/>
        </w:rPr>
        <w:t xml:space="preserve">The first update report summarising progress against the key actions agreed in the Roadmap was provided to Council in December 2021 with further updates provided </w:t>
      </w:r>
      <w:r w:rsidRPr="005804A0">
        <w:rPr>
          <w:rFonts w:eastAsia="Tw Cen MT" w:cs="Arial"/>
          <w:szCs w:val="24"/>
          <w:lang w:eastAsia="en-GB"/>
        </w:rPr>
        <w:lastRenderedPageBreak/>
        <w:t>every six months since. The latest six-monthly update against actions had been prepared for Members and was attached.</w:t>
      </w:r>
    </w:p>
    <w:p w14:paraId="7ABB2A90" w14:textId="77777777" w:rsidR="005804A0" w:rsidRPr="005804A0" w:rsidRDefault="005804A0" w:rsidP="00092B09">
      <w:pPr>
        <w:rPr>
          <w:rFonts w:eastAsia="Tw Cen MT" w:cs="Arial"/>
          <w:szCs w:val="24"/>
          <w:lang w:eastAsia="en-GB"/>
        </w:rPr>
      </w:pPr>
    </w:p>
    <w:p w14:paraId="795CD3F7" w14:textId="07411A12" w:rsidR="005804A0" w:rsidRPr="005804A0" w:rsidRDefault="005804A0" w:rsidP="00092B09">
      <w:pPr>
        <w:rPr>
          <w:rFonts w:eastAsia="Tw Cen MT" w:cs="Arial"/>
          <w:szCs w:val="24"/>
          <w:lang w:eastAsia="en-GB"/>
        </w:rPr>
      </w:pPr>
      <w:r w:rsidRPr="005804A0">
        <w:rPr>
          <w:rFonts w:eastAsia="Tw Cen MT" w:cs="Arial"/>
          <w:szCs w:val="24"/>
          <w:lang w:eastAsia="en-GB"/>
        </w:rPr>
        <w:t>As a result of an advisory audit by Deloitte in Jan 2023, a number of changes had been recommended for the Roadmap going forward to ensure that the delivery of the actions was realised and of value.  Th</w:t>
      </w:r>
      <w:r w:rsidR="00261CA5">
        <w:rPr>
          <w:rFonts w:eastAsia="Tw Cen MT" w:cs="Arial"/>
          <w:szCs w:val="24"/>
          <w:lang w:eastAsia="en-GB"/>
        </w:rPr>
        <w:t>o</w:t>
      </w:r>
      <w:r w:rsidRPr="005804A0">
        <w:rPr>
          <w:rFonts w:eastAsia="Tw Cen MT" w:cs="Arial"/>
          <w:szCs w:val="24"/>
          <w:lang w:eastAsia="en-GB"/>
        </w:rPr>
        <w:t>se had been reviewed by officers and changes would be implemented for the next Roadmap update in December 2023.</w:t>
      </w:r>
    </w:p>
    <w:p w14:paraId="793C9C18" w14:textId="77777777" w:rsidR="005804A0" w:rsidRPr="005804A0" w:rsidRDefault="005804A0" w:rsidP="00092B09">
      <w:pPr>
        <w:rPr>
          <w:rFonts w:eastAsia="Times New Roman"/>
          <w:szCs w:val="20"/>
        </w:rPr>
      </w:pPr>
    </w:p>
    <w:p w14:paraId="122E2BDB" w14:textId="40D94F4D" w:rsidR="005804A0" w:rsidRDefault="005804A0" w:rsidP="00092B09">
      <w:pPr>
        <w:rPr>
          <w:rFonts w:eastAsia="Times New Roman"/>
          <w:szCs w:val="20"/>
        </w:rPr>
      </w:pPr>
      <w:r w:rsidRPr="005804A0">
        <w:rPr>
          <w:rFonts w:eastAsia="Times New Roman"/>
          <w:szCs w:val="20"/>
        </w:rPr>
        <w:t>RECOMMENDED that Council notes this update report.</w:t>
      </w:r>
    </w:p>
    <w:p w14:paraId="23E789EA" w14:textId="77777777" w:rsidR="00425E05" w:rsidRDefault="00425E05" w:rsidP="005804A0">
      <w:pPr>
        <w:rPr>
          <w:rFonts w:eastAsia="Times New Roman"/>
          <w:szCs w:val="20"/>
        </w:rPr>
      </w:pPr>
    </w:p>
    <w:p w14:paraId="6C44776A" w14:textId="28621882" w:rsidR="00425E05" w:rsidRDefault="00425E05" w:rsidP="005804A0">
      <w:pPr>
        <w:rPr>
          <w:rFonts w:eastAsia="Times New Roman"/>
          <w:szCs w:val="20"/>
        </w:rPr>
      </w:pPr>
      <w:r>
        <w:rPr>
          <w:rFonts w:eastAsia="Times New Roman"/>
          <w:szCs w:val="20"/>
        </w:rPr>
        <w:t>Alderman Smith proposed, seconded by Alderman McIlveen, that the recommendation be adopted.</w:t>
      </w:r>
    </w:p>
    <w:p w14:paraId="28D1BB72" w14:textId="77777777" w:rsidR="00AA051A" w:rsidRDefault="00AA051A" w:rsidP="005804A0">
      <w:pPr>
        <w:rPr>
          <w:rFonts w:eastAsia="Times New Roman"/>
          <w:szCs w:val="20"/>
        </w:rPr>
      </w:pPr>
    </w:p>
    <w:p w14:paraId="43900E0D" w14:textId="532C6471" w:rsidR="00EB730F" w:rsidRDefault="00AA051A" w:rsidP="005804A0">
      <w:pPr>
        <w:rPr>
          <w:rFonts w:eastAsia="Times New Roman"/>
          <w:szCs w:val="20"/>
        </w:rPr>
      </w:pPr>
      <w:r w:rsidRPr="00AA051A">
        <w:rPr>
          <w:rFonts w:eastAsia="Times New Roman"/>
          <w:szCs w:val="20"/>
        </w:rPr>
        <w:t>Alderman Smith welcomed the update and the reported progress.</w:t>
      </w:r>
      <w:r>
        <w:rPr>
          <w:rFonts w:eastAsia="Times New Roman"/>
          <w:szCs w:val="20"/>
        </w:rPr>
        <w:t xml:space="preserve"> Referring to targets listed </w:t>
      </w:r>
      <w:r w:rsidR="00EB730F">
        <w:rPr>
          <w:rFonts w:eastAsia="Times New Roman"/>
          <w:szCs w:val="20"/>
        </w:rPr>
        <w:t>under the Tree and Woodland Strategy section within the attached appendix, he asked how the reported 15,000 trees planted related to the percentage of population accessibility target of 10.3% by 2025 and UK average of 21.1% by 2030. The Head of Administration would report back directly with that information as it sat with another directorate.</w:t>
      </w:r>
    </w:p>
    <w:p w14:paraId="100BCC41" w14:textId="77777777" w:rsidR="00EB730F" w:rsidRDefault="00EB730F" w:rsidP="005804A0">
      <w:pPr>
        <w:rPr>
          <w:rFonts w:eastAsia="Times New Roman"/>
          <w:szCs w:val="20"/>
        </w:rPr>
      </w:pPr>
    </w:p>
    <w:p w14:paraId="26182174" w14:textId="1F1C3EFD" w:rsidR="00573F43" w:rsidRDefault="00573F43" w:rsidP="005804A0">
      <w:pPr>
        <w:rPr>
          <w:rFonts w:eastAsia="Times New Roman"/>
          <w:szCs w:val="20"/>
        </w:rPr>
      </w:pPr>
      <w:r>
        <w:rPr>
          <w:rFonts w:eastAsia="Times New Roman"/>
          <w:szCs w:val="20"/>
        </w:rPr>
        <w:t xml:space="preserve">Alderman Smith noted that exploratory work was ongoing to </w:t>
      </w:r>
      <w:r w:rsidRPr="00573F43">
        <w:rPr>
          <w:rFonts w:eastAsia="Times New Roman"/>
          <w:szCs w:val="20"/>
        </w:rPr>
        <w:t>move</w:t>
      </w:r>
      <w:r>
        <w:rPr>
          <w:rFonts w:eastAsia="Times New Roman"/>
          <w:szCs w:val="20"/>
        </w:rPr>
        <w:t xml:space="preserve"> the</w:t>
      </w:r>
      <w:r w:rsidR="00566ACF">
        <w:rPr>
          <w:rFonts w:eastAsia="Times New Roman"/>
          <w:szCs w:val="20"/>
        </w:rPr>
        <w:t xml:space="preserve"> Council’s vehicle</w:t>
      </w:r>
      <w:r w:rsidRPr="00573F43">
        <w:rPr>
          <w:rFonts w:eastAsia="Times New Roman"/>
          <w:szCs w:val="20"/>
        </w:rPr>
        <w:t xml:space="preserve"> fleet – infrastructure and capital – towards net zero</w:t>
      </w:r>
      <w:r>
        <w:rPr>
          <w:rFonts w:eastAsia="Times New Roman"/>
          <w:szCs w:val="20"/>
        </w:rPr>
        <w:t xml:space="preserve"> and asked for an indication of timescale for this, feeling that it should be a priority.</w:t>
      </w:r>
    </w:p>
    <w:p w14:paraId="486A3BEF" w14:textId="77777777" w:rsidR="00573F43" w:rsidRDefault="00573F43" w:rsidP="005804A0">
      <w:pPr>
        <w:rPr>
          <w:rFonts w:eastAsia="Times New Roman"/>
          <w:szCs w:val="20"/>
        </w:rPr>
      </w:pPr>
    </w:p>
    <w:p w14:paraId="2A55AEE7" w14:textId="4AB3CFD5" w:rsidR="005804A0" w:rsidRDefault="00573F43" w:rsidP="005804A0">
      <w:pPr>
        <w:rPr>
          <w:rFonts w:eastAsia="Times New Roman"/>
          <w:szCs w:val="20"/>
        </w:rPr>
      </w:pPr>
      <w:r>
        <w:rPr>
          <w:rFonts w:eastAsia="Times New Roman"/>
          <w:szCs w:val="20"/>
        </w:rPr>
        <w:t>The Officer advised that relevant officers were reviewing each of the actions in order to provide a comprehensive plan which would provide a clear timeline</w:t>
      </w:r>
      <w:r w:rsidR="0078139A">
        <w:rPr>
          <w:rFonts w:eastAsia="Times New Roman"/>
          <w:szCs w:val="20"/>
        </w:rPr>
        <w:t xml:space="preserve"> and that would coincide with the </w:t>
      </w:r>
      <w:r w:rsidR="00693BAC">
        <w:rPr>
          <w:rFonts w:eastAsia="Times New Roman"/>
          <w:szCs w:val="20"/>
        </w:rPr>
        <w:t>six-monthly</w:t>
      </w:r>
      <w:r w:rsidR="0078139A">
        <w:rPr>
          <w:rFonts w:eastAsia="Times New Roman"/>
          <w:szCs w:val="20"/>
        </w:rPr>
        <w:t xml:space="preserve"> update.</w:t>
      </w:r>
    </w:p>
    <w:p w14:paraId="380DFF3D" w14:textId="77777777" w:rsidR="00566ACF" w:rsidRDefault="00566ACF" w:rsidP="005804A0">
      <w:pPr>
        <w:rPr>
          <w:rFonts w:eastAsia="Times New Roman"/>
          <w:szCs w:val="20"/>
        </w:rPr>
      </w:pPr>
    </w:p>
    <w:p w14:paraId="4B1E9B4A" w14:textId="55F82CFD" w:rsidR="00566ACF" w:rsidRDefault="00566ACF" w:rsidP="005804A0">
      <w:pPr>
        <w:rPr>
          <w:rFonts w:eastAsia="Times New Roman"/>
          <w:szCs w:val="20"/>
        </w:rPr>
      </w:pPr>
      <w:r>
        <w:rPr>
          <w:rFonts w:eastAsia="Times New Roman"/>
          <w:szCs w:val="20"/>
        </w:rPr>
        <w:t xml:space="preserve">Alderman McIlveen recalled previous intentions </w:t>
      </w:r>
      <w:r w:rsidR="0078139A">
        <w:rPr>
          <w:rFonts w:eastAsia="Times New Roman"/>
          <w:szCs w:val="20"/>
        </w:rPr>
        <w:t>discussed</w:t>
      </w:r>
      <w:r>
        <w:rPr>
          <w:rFonts w:eastAsia="Times New Roman"/>
          <w:szCs w:val="20"/>
        </w:rPr>
        <w:t xml:space="preserve"> in the Mayoral term of Councillor Smart, for the Council to begin purchasing zero carbon vehicles but he did not believe that had been actioned to date and would welcome an update.</w:t>
      </w:r>
    </w:p>
    <w:p w14:paraId="3CC00DDE" w14:textId="77777777" w:rsidR="00566ACF" w:rsidRDefault="00566ACF" w:rsidP="005804A0">
      <w:pPr>
        <w:rPr>
          <w:rFonts w:eastAsia="Times New Roman"/>
          <w:szCs w:val="20"/>
        </w:rPr>
      </w:pPr>
    </w:p>
    <w:p w14:paraId="0002E741" w14:textId="1332203C" w:rsidR="00566ACF" w:rsidRDefault="00566ACF" w:rsidP="005804A0">
      <w:pPr>
        <w:rPr>
          <w:rFonts w:eastAsia="Times New Roman"/>
          <w:szCs w:val="20"/>
        </w:rPr>
      </w:pPr>
      <w:r>
        <w:rPr>
          <w:rFonts w:eastAsia="Times New Roman"/>
          <w:szCs w:val="20"/>
        </w:rPr>
        <w:t>In terms of tree planting, he was aware that not all newly planted trees would surviv</w:t>
      </w:r>
      <w:r w:rsidR="00425E05">
        <w:rPr>
          <w:rFonts w:eastAsia="Times New Roman"/>
          <w:szCs w:val="20"/>
        </w:rPr>
        <w:t xml:space="preserve">e the </w:t>
      </w:r>
      <w:r w:rsidR="0078139A">
        <w:rPr>
          <w:rFonts w:eastAsia="Times New Roman"/>
          <w:szCs w:val="20"/>
        </w:rPr>
        <w:t>initial</w:t>
      </w:r>
      <w:r w:rsidR="00425E05">
        <w:rPr>
          <w:rFonts w:eastAsia="Times New Roman"/>
          <w:szCs w:val="20"/>
        </w:rPr>
        <w:t xml:space="preserve"> root establishment phase and asked what action was being taken to ensure as many as possible would survive. This information would be requested and reported back given it fell under the remit of the Parks </w:t>
      </w:r>
      <w:r w:rsidR="00693BAC">
        <w:rPr>
          <w:rFonts w:eastAsia="Times New Roman"/>
          <w:szCs w:val="20"/>
        </w:rPr>
        <w:t>unit</w:t>
      </w:r>
      <w:r w:rsidR="00425E05">
        <w:rPr>
          <w:rFonts w:eastAsia="Times New Roman"/>
          <w:szCs w:val="20"/>
        </w:rPr>
        <w:t xml:space="preserve">.  </w:t>
      </w:r>
    </w:p>
    <w:p w14:paraId="6BAD68BA" w14:textId="77777777" w:rsidR="00573F43" w:rsidRDefault="00573F43" w:rsidP="005804A0">
      <w:pPr>
        <w:rPr>
          <w:rFonts w:cs="Arial"/>
          <w:szCs w:val="24"/>
        </w:rPr>
      </w:pPr>
    </w:p>
    <w:p w14:paraId="5D46B18A" w14:textId="28ABC971" w:rsidR="005804A0" w:rsidRDefault="005804A0" w:rsidP="005804A0">
      <w:pPr>
        <w:pStyle w:val="Normal0"/>
      </w:pPr>
      <w:bookmarkStart w:id="31" w:name="_Hlk138067546"/>
      <w:r w:rsidRPr="007F0DD5">
        <w:rPr>
          <w:b/>
          <w:bCs/>
          <w:sz w:val="24"/>
          <w:lang w:eastAsia="en-US"/>
        </w:rPr>
        <w:t xml:space="preserve">AGREED TO RECOMMEND, on the proposal of </w:t>
      </w:r>
      <w:r w:rsidR="0078139A">
        <w:rPr>
          <w:b/>
          <w:bCs/>
          <w:sz w:val="24"/>
          <w:lang w:eastAsia="en-US"/>
        </w:rPr>
        <w:t>Alderman Smith</w:t>
      </w:r>
      <w:r w:rsidRPr="007F0DD5">
        <w:rPr>
          <w:b/>
          <w:bCs/>
          <w:sz w:val="24"/>
          <w:lang w:eastAsia="en-US"/>
        </w:rPr>
        <w:t xml:space="preserve">, seconded by </w:t>
      </w:r>
      <w:r w:rsidR="0078139A">
        <w:rPr>
          <w:b/>
          <w:bCs/>
          <w:sz w:val="24"/>
          <w:lang w:eastAsia="en-US"/>
        </w:rPr>
        <w:t>Alderman McIlveen</w:t>
      </w:r>
      <w:r w:rsidRPr="007F0DD5">
        <w:rPr>
          <w:b/>
          <w:bCs/>
          <w:sz w:val="24"/>
          <w:lang w:eastAsia="en-US"/>
        </w:rPr>
        <w:t xml:space="preserve">, that </w:t>
      </w:r>
      <w:r>
        <w:rPr>
          <w:b/>
          <w:bCs/>
          <w:sz w:val="24"/>
          <w:lang w:eastAsia="en-US"/>
        </w:rPr>
        <w:t>the recommendation be adopted.</w:t>
      </w:r>
    </w:p>
    <w:bookmarkEnd w:id="31"/>
    <w:p w14:paraId="6E3EB31E" w14:textId="77777777" w:rsidR="005804A0" w:rsidRDefault="005804A0" w:rsidP="002A5F7E"/>
    <w:p w14:paraId="7884603B" w14:textId="50CFC7BC" w:rsidR="0033058C" w:rsidRPr="00994A3D" w:rsidRDefault="0033058C" w:rsidP="00147812">
      <w:pPr>
        <w:pStyle w:val="Heading1"/>
        <w:ind w:left="720" w:hanging="720"/>
        <w:rPr>
          <w:rFonts w:cs="Arial"/>
          <w:b w:val="0"/>
          <w:sz w:val="24"/>
          <w:szCs w:val="24"/>
        </w:rPr>
      </w:pPr>
      <w:r>
        <w:t>1</w:t>
      </w:r>
      <w:r w:rsidR="00EB36A4">
        <w:t>0</w:t>
      </w:r>
      <w:r w:rsidR="00994A3D">
        <w:t>.</w:t>
      </w:r>
      <w:r>
        <w:tab/>
      </w:r>
      <w:r w:rsidR="00A467B1" w:rsidRPr="00A467B1">
        <w:rPr>
          <w:u w:val="single"/>
        </w:rPr>
        <w:t>Update on Notice of Motion - Event Management</w:t>
      </w:r>
    </w:p>
    <w:p w14:paraId="096CA056" w14:textId="3A6931F1" w:rsidR="0033058C" w:rsidRDefault="0033058C" w:rsidP="00147812">
      <w:pPr>
        <w:contextualSpacing/>
        <w:rPr>
          <w:rFonts w:cs="Arial"/>
          <w:szCs w:val="24"/>
        </w:rPr>
      </w:pPr>
    </w:p>
    <w:p w14:paraId="2164A925" w14:textId="33AAC02E" w:rsidR="00A467B1" w:rsidRPr="00A467B1" w:rsidRDefault="00A467B1" w:rsidP="00A467B1">
      <w:pPr>
        <w:contextualSpacing/>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t</w:t>
      </w:r>
      <w:r w:rsidRPr="00A467B1">
        <w:rPr>
          <w:rFonts w:cs="Arial"/>
          <w:szCs w:val="24"/>
        </w:rPr>
        <w:t>he following Notice of Motion was agreed by Council at its meeting in March 2023:</w:t>
      </w:r>
    </w:p>
    <w:p w14:paraId="2DB9BB39" w14:textId="77777777" w:rsidR="00A467B1" w:rsidRPr="00A467B1" w:rsidRDefault="00A467B1" w:rsidP="00A467B1">
      <w:pPr>
        <w:contextualSpacing/>
        <w:rPr>
          <w:rFonts w:cs="Arial"/>
          <w:szCs w:val="24"/>
        </w:rPr>
      </w:pPr>
      <w:r w:rsidRPr="00A467B1">
        <w:rPr>
          <w:rFonts w:cs="Arial"/>
          <w:szCs w:val="24"/>
        </w:rPr>
        <w:t xml:space="preserve"> </w:t>
      </w:r>
    </w:p>
    <w:p w14:paraId="495037D3" w14:textId="77777777" w:rsidR="00A467B1" w:rsidRPr="00A467B1" w:rsidRDefault="00A467B1" w:rsidP="00A467B1">
      <w:pPr>
        <w:contextualSpacing/>
        <w:rPr>
          <w:rFonts w:cs="Arial"/>
          <w:szCs w:val="24"/>
        </w:rPr>
      </w:pPr>
      <w:r w:rsidRPr="00A467B1">
        <w:rPr>
          <w:rFonts w:cs="Arial"/>
          <w:szCs w:val="24"/>
        </w:rPr>
        <w:t xml:space="preserve">‘That this Council acknowledges the exceptional work which community and voluntary groups carry out, often staging events which were previously run by this Council. Risk Management and Event Management Plans should assist the planning and the safe running of these events.  However, many voluntary groups find the </w:t>
      </w:r>
      <w:r w:rsidRPr="00A467B1">
        <w:rPr>
          <w:rFonts w:cs="Arial"/>
          <w:szCs w:val="24"/>
        </w:rPr>
        <w:lastRenderedPageBreak/>
        <w:t>process arduous and inflexible, especially when trying to organise events on Council owned land. This Council therefore requests that a full review of this process takes place in consultation with community groups to ascertain their concerns, ensuring that Health and Safety expectations are realistic and meet the necessary requirements.  Groups should be more actively supported as part of the process and that, if necessary, a wide range of supporting materials should be provided for a range of events; thereby ensuring that voluntary groups are more robustly assisted in their work rather than hindered by the current burdensome process.’</w:t>
      </w:r>
    </w:p>
    <w:p w14:paraId="257A6362" w14:textId="77777777" w:rsidR="00A467B1" w:rsidRPr="00A467B1" w:rsidRDefault="00A467B1" w:rsidP="00A467B1">
      <w:pPr>
        <w:contextualSpacing/>
        <w:rPr>
          <w:rFonts w:cs="Arial"/>
          <w:szCs w:val="24"/>
        </w:rPr>
      </w:pPr>
      <w:r w:rsidRPr="00A467B1">
        <w:rPr>
          <w:rFonts w:cs="Arial"/>
          <w:szCs w:val="24"/>
        </w:rPr>
        <w:t xml:space="preserve">  </w:t>
      </w:r>
    </w:p>
    <w:p w14:paraId="63437640" w14:textId="77777777" w:rsidR="00A467B1" w:rsidRPr="00A467B1" w:rsidRDefault="00A467B1" w:rsidP="00A467B1">
      <w:pPr>
        <w:contextualSpacing/>
        <w:rPr>
          <w:rFonts w:cs="Arial"/>
          <w:szCs w:val="24"/>
        </w:rPr>
      </w:pPr>
      <w:r w:rsidRPr="00A467B1">
        <w:rPr>
          <w:rFonts w:cs="Arial"/>
          <w:szCs w:val="24"/>
        </w:rPr>
        <w:t xml:space="preserve">Further to this, relevant officers met to review the process that organisers of events on Council land were required to follow to secure approval for the event to proceed, with a particular focus on the health and safety evidence requirements that formed part of the approvals process. Such requirements usually included a Risk Assessment and, depending on the size of the event, an Event Management Plan to be submitted to Council in advance of the event. Officers were content that the requirements imposed were proportionate, necessary and in accordance with industry standards and legal advice. Guidance had been produced by the Council in the form of an Event Management Toolkit and Risk Assessment Templates. These were available on the Council’s website - Event Management Toolkit | Ards and North Down Borough Council) and officers processing land requests would direct the event organisers to these helpful resources and would engage with organisers should they have had any queries. </w:t>
      </w:r>
    </w:p>
    <w:p w14:paraId="2E1C5250" w14:textId="77777777" w:rsidR="00A467B1" w:rsidRPr="00A467B1" w:rsidRDefault="00A467B1" w:rsidP="00A467B1">
      <w:pPr>
        <w:contextualSpacing/>
        <w:rPr>
          <w:rFonts w:cs="Arial"/>
          <w:szCs w:val="24"/>
        </w:rPr>
      </w:pPr>
    </w:p>
    <w:p w14:paraId="0F8E9178" w14:textId="77777777" w:rsidR="00A467B1" w:rsidRPr="00A467B1" w:rsidRDefault="00A467B1" w:rsidP="00A467B1">
      <w:pPr>
        <w:contextualSpacing/>
        <w:rPr>
          <w:rFonts w:cs="Arial"/>
          <w:szCs w:val="24"/>
        </w:rPr>
      </w:pPr>
      <w:r w:rsidRPr="00A467B1">
        <w:rPr>
          <w:rFonts w:cs="Arial"/>
          <w:szCs w:val="24"/>
        </w:rPr>
        <w:t xml:space="preserve">If there were any aspects of an event that Council officers, who were professionally trained in risk management, had concerns about, further information would be proactively sought from the event organiser at an early stage as to how they planned to manage and mitigate any risks. There would be occasions when certain types of activity at particular locations may have presented a risk that could not be sufficiently mitigated and therefore permission could not be granted, however, officers would always discuss options with the organisers in the first instance to try and find a solution where possible. </w:t>
      </w:r>
    </w:p>
    <w:p w14:paraId="6B6F6A3B" w14:textId="77777777" w:rsidR="00A467B1" w:rsidRPr="00A467B1" w:rsidRDefault="00A467B1" w:rsidP="00A467B1">
      <w:pPr>
        <w:contextualSpacing/>
        <w:rPr>
          <w:rFonts w:cs="Arial"/>
          <w:szCs w:val="24"/>
        </w:rPr>
      </w:pPr>
    </w:p>
    <w:p w14:paraId="2C4B37C5" w14:textId="1D007CB8" w:rsidR="00A467B1" w:rsidRPr="00A467B1" w:rsidRDefault="00A467B1" w:rsidP="00A467B1">
      <w:pPr>
        <w:contextualSpacing/>
        <w:rPr>
          <w:rFonts w:cs="Arial"/>
          <w:szCs w:val="24"/>
        </w:rPr>
      </w:pPr>
      <w:r w:rsidRPr="00A467B1">
        <w:rPr>
          <w:rFonts w:cs="Arial"/>
          <w:szCs w:val="24"/>
        </w:rPr>
        <w:t xml:space="preserve">Risk Assessments and Event Management plans that sufficiently matched the risk profile of an event were essential to ensure a safe and successful event.  These documents were therefore a vital part of the Council’s approvals process. While completing the paperwork may have seemed burdensome to some, it protected organisers as much as it protects the Council and attendees of the event as it will be the organiser ultimately responsible should anything untoward have </w:t>
      </w:r>
      <w:r w:rsidR="00FD1FF4" w:rsidRPr="00A467B1">
        <w:rPr>
          <w:rFonts w:cs="Arial"/>
          <w:szCs w:val="24"/>
        </w:rPr>
        <w:t>occurred</w:t>
      </w:r>
      <w:r w:rsidRPr="00A467B1">
        <w:rPr>
          <w:rFonts w:cs="Arial"/>
          <w:szCs w:val="24"/>
        </w:rPr>
        <w:t xml:space="preserve"> as a result of their management of the event. Officers could only recall 2 occasions in the past few years where dissatisfaction was expressed by event organisers at the level of scrutiny applied by the Council to event details and corresponding paperwork required. This was in the context of hundreds of requests from third parties processed by the Compliance team each year (approximately 250 in 2022) in which permission was given to use Council land for a variety of reasons requiring risk assessments, including for events such as fun fairs, parades and markets.  This did not suggest to officers that there was an inherent problem with the processes currently in place; on the contrary the hundreds of successful and incident-free events that had been run on Council land over the years would suggest to officers that the guidance and support provided by officers was adequate, and feedback was regularly received to thank officers for their support. </w:t>
      </w:r>
    </w:p>
    <w:p w14:paraId="5CA74E6A" w14:textId="77777777" w:rsidR="00A467B1" w:rsidRPr="00A467B1" w:rsidRDefault="00A467B1" w:rsidP="00A467B1">
      <w:pPr>
        <w:contextualSpacing/>
        <w:rPr>
          <w:rFonts w:cs="Arial"/>
          <w:szCs w:val="24"/>
        </w:rPr>
      </w:pPr>
    </w:p>
    <w:p w14:paraId="19782E26" w14:textId="77777777" w:rsidR="00A467B1" w:rsidRPr="00A467B1" w:rsidRDefault="00A467B1" w:rsidP="00A467B1">
      <w:pPr>
        <w:contextualSpacing/>
        <w:rPr>
          <w:rFonts w:cs="Arial"/>
          <w:szCs w:val="24"/>
        </w:rPr>
      </w:pPr>
      <w:r w:rsidRPr="00A467B1">
        <w:rPr>
          <w:rFonts w:cs="Arial"/>
          <w:szCs w:val="24"/>
        </w:rPr>
        <w:t xml:space="preserve">It was accepted that health and safety, in particular Risk Assessments and Event Management Plans, could be a complex area to navigate therefore, to further support event organisers, officers intended to hold an Event Organisers workshop in October/November 2023. Elected Members would also be invited to attend should they wish to further their understanding of the process. Officers wrote to 59 event organisers to seek feedback on the aspects of event management that caused them the most difficulty or concern, in order that these issues could be factored into the design of the workshop. Only eight responses were received, all indicating they would welcome the workshop, and one suggesting that Council support for organisers of events should be covered by the workshop. </w:t>
      </w:r>
    </w:p>
    <w:p w14:paraId="328F2206" w14:textId="77777777" w:rsidR="00A467B1" w:rsidRPr="00A467B1" w:rsidRDefault="00A467B1" w:rsidP="00A467B1">
      <w:pPr>
        <w:contextualSpacing/>
        <w:rPr>
          <w:rFonts w:cs="Arial"/>
          <w:szCs w:val="24"/>
        </w:rPr>
      </w:pPr>
    </w:p>
    <w:p w14:paraId="0F18CADE" w14:textId="1B8F499F" w:rsidR="00FD1742" w:rsidRDefault="00A467B1" w:rsidP="00A467B1">
      <w:pPr>
        <w:contextualSpacing/>
        <w:rPr>
          <w:rFonts w:cs="Arial"/>
          <w:szCs w:val="24"/>
        </w:rPr>
      </w:pPr>
      <w:r w:rsidRPr="00A467B1">
        <w:rPr>
          <w:rFonts w:cs="Arial"/>
          <w:szCs w:val="24"/>
        </w:rPr>
        <w:t>RECOMMENDED that Council notes the review that officers have undertaken and agrees that the Notice of Motion has been addressed.</w:t>
      </w:r>
    </w:p>
    <w:p w14:paraId="20AF4B48" w14:textId="77777777" w:rsidR="00693BAC" w:rsidRDefault="00693BAC" w:rsidP="00A467B1">
      <w:pPr>
        <w:contextualSpacing/>
        <w:rPr>
          <w:rFonts w:cs="Arial"/>
          <w:szCs w:val="24"/>
        </w:rPr>
      </w:pPr>
    </w:p>
    <w:p w14:paraId="7D179C96" w14:textId="7C0A5E7E" w:rsidR="00693BAC" w:rsidRDefault="00693BAC" w:rsidP="00A467B1">
      <w:pPr>
        <w:contextualSpacing/>
        <w:rPr>
          <w:rFonts w:cs="Arial"/>
          <w:szCs w:val="24"/>
        </w:rPr>
      </w:pPr>
      <w:r>
        <w:rPr>
          <w:rFonts w:cs="Arial"/>
          <w:szCs w:val="24"/>
        </w:rPr>
        <w:t>Proposed by Alderman Brooks, seconded by Councillor</w:t>
      </w:r>
      <w:r w:rsidR="000D185F">
        <w:rPr>
          <w:rFonts w:cs="Arial"/>
          <w:szCs w:val="24"/>
        </w:rPr>
        <w:t xml:space="preserve"> W</w:t>
      </w:r>
      <w:r>
        <w:rPr>
          <w:rFonts w:cs="Arial"/>
          <w:szCs w:val="24"/>
        </w:rPr>
        <w:t xml:space="preserve"> Irvine, that the recommendation be adopted.</w:t>
      </w:r>
    </w:p>
    <w:p w14:paraId="69F71074" w14:textId="77777777" w:rsidR="00693BAC" w:rsidRDefault="00693BAC" w:rsidP="00A467B1">
      <w:pPr>
        <w:contextualSpacing/>
        <w:rPr>
          <w:rFonts w:cs="Arial"/>
          <w:szCs w:val="24"/>
        </w:rPr>
      </w:pPr>
    </w:p>
    <w:p w14:paraId="7CA86BF2" w14:textId="4BF830D1" w:rsidR="00904C0C" w:rsidRDefault="00A7491F" w:rsidP="00A467B1">
      <w:pPr>
        <w:contextualSpacing/>
        <w:rPr>
          <w:rFonts w:cs="Arial"/>
          <w:szCs w:val="24"/>
        </w:rPr>
      </w:pPr>
      <w:r>
        <w:rPr>
          <w:rFonts w:cs="Arial"/>
          <w:szCs w:val="24"/>
        </w:rPr>
        <w:t>In supporting</w:t>
      </w:r>
      <w:r w:rsidR="00693BAC">
        <w:rPr>
          <w:rFonts w:cs="Arial"/>
          <w:szCs w:val="24"/>
        </w:rPr>
        <w:t xml:space="preserve"> the Notice of Motion, Councillor Brooks spoke to welcome the report and the plans for a workshop. He encouraged members and voluntary and community group representatives to attend it. Councillor </w:t>
      </w:r>
      <w:r w:rsidR="000D185F">
        <w:rPr>
          <w:rFonts w:cs="Arial"/>
          <w:szCs w:val="24"/>
        </w:rPr>
        <w:t xml:space="preserve">W </w:t>
      </w:r>
      <w:r w:rsidR="00693BAC">
        <w:rPr>
          <w:rFonts w:cs="Arial"/>
          <w:szCs w:val="24"/>
        </w:rPr>
        <w:t>Irvine echoed those comments</w:t>
      </w:r>
      <w:r w:rsidR="00904C0C">
        <w:rPr>
          <w:rFonts w:cs="Arial"/>
          <w:szCs w:val="24"/>
        </w:rPr>
        <w:t>, adding that it was important for Council to take on board the feedback from attendees provided at the workshop.</w:t>
      </w:r>
    </w:p>
    <w:p w14:paraId="58050ABF" w14:textId="77777777" w:rsidR="00904C0C" w:rsidRDefault="00904C0C" w:rsidP="00A467B1">
      <w:pPr>
        <w:contextualSpacing/>
        <w:rPr>
          <w:rFonts w:cs="Arial"/>
          <w:szCs w:val="24"/>
        </w:rPr>
      </w:pPr>
    </w:p>
    <w:p w14:paraId="7F2DE626" w14:textId="3EEA8A0B" w:rsidR="00693BAC" w:rsidRDefault="00904C0C" w:rsidP="00A467B1">
      <w:pPr>
        <w:contextualSpacing/>
        <w:rPr>
          <w:rFonts w:cs="Arial"/>
          <w:szCs w:val="24"/>
        </w:rPr>
      </w:pPr>
      <w:r>
        <w:rPr>
          <w:rFonts w:cs="Arial"/>
          <w:szCs w:val="24"/>
        </w:rPr>
        <w:t xml:space="preserve">Alderman Smith spoke of some of the unexpected challenges faced by organisers of community events. For example, many people were caught out in the planning phase, unaware that two ambulances were required in the event that one would be in use. This ensured that a first aid team could remain on standby. He was also aware that guidance from different Council departments could often be contradictory, so a </w:t>
      </w:r>
      <w:r w:rsidR="00A06C50">
        <w:rPr>
          <w:rFonts w:cs="Arial"/>
          <w:szCs w:val="24"/>
        </w:rPr>
        <w:t>joined-up</w:t>
      </w:r>
      <w:r>
        <w:rPr>
          <w:rFonts w:cs="Arial"/>
          <w:szCs w:val="24"/>
        </w:rPr>
        <w:t xml:space="preserve"> approach would be beneficial. </w:t>
      </w:r>
    </w:p>
    <w:p w14:paraId="7DFC1D0A" w14:textId="77777777" w:rsidR="00904C0C" w:rsidRDefault="00904C0C" w:rsidP="00A467B1">
      <w:pPr>
        <w:contextualSpacing/>
        <w:rPr>
          <w:rFonts w:cs="Arial"/>
          <w:szCs w:val="24"/>
        </w:rPr>
      </w:pPr>
    </w:p>
    <w:p w14:paraId="42F20ABB" w14:textId="43AD9673" w:rsidR="00904C0C" w:rsidRDefault="00904C0C" w:rsidP="00A467B1">
      <w:pPr>
        <w:contextualSpacing/>
        <w:rPr>
          <w:rFonts w:cs="Arial"/>
          <w:szCs w:val="24"/>
        </w:rPr>
      </w:pPr>
      <w:r>
        <w:rPr>
          <w:rFonts w:cs="Arial"/>
          <w:szCs w:val="24"/>
        </w:rPr>
        <w:t>Alderman McIlveen was aware that the issues affected smaller events too. The workshop would be useful for feedback but he felt the solution to the Notice of Motion needed to be</w:t>
      </w:r>
      <w:r w:rsidR="00A06C50">
        <w:rPr>
          <w:rFonts w:cs="Arial"/>
          <w:szCs w:val="24"/>
        </w:rPr>
        <w:t xml:space="preserve"> an</w:t>
      </w:r>
      <w:r>
        <w:rPr>
          <w:rFonts w:cs="Arial"/>
          <w:szCs w:val="24"/>
        </w:rPr>
        <w:t xml:space="preserve"> ongoing</w:t>
      </w:r>
      <w:r w:rsidR="00A06C50">
        <w:rPr>
          <w:rFonts w:cs="Arial"/>
          <w:szCs w:val="24"/>
        </w:rPr>
        <w:t xml:space="preserve"> one</w:t>
      </w:r>
      <w:r>
        <w:rPr>
          <w:rFonts w:cs="Arial"/>
          <w:szCs w:val="24"/>
        </w:rPr>
        <w:t xml:space="preserve"> </w:t>
      </w:r>
      <w:r w:rsidR="00A06C50">
        <w:rPr>
          <w:rFonts w:cs="Arial"/>
          <w:szCs w:val="24"/>
        </w:rPr>
        <w:t>and feedback from the workshop could be reviewed.</w:t>
      </w:r>
    </w:p>
    <w:p w14:paraId="3F3EAFD6" w14:textId="77777777" w:rsidR="00A06C50" w:rsidRDefault="00A06C50" w:rsidP="00A467B1">
      <w:pPr>
        <w:contextualSpacing/>
        <w:rPr>
          <w:rFonts w:cs="Arial"/>
          <w:szCs w:val="24"/>
        </w:rPr>
      </w:pPr>
    </w:p>
    <w:p w14:paraId="240EDF55" w14:textId="67364B91" w:rsidR="00A06C50" w:rsidRDefault="00A06C50" w:rsidP="00A467B1">
      <w:pPr>
        <w:contextualSpacing/>
        <w:rPr>
          <w:rFonts w:cs="Arial"/>
          <w:szCs w:val="24"/>
        </w:rPr>
      </w:pPr>
      <w:r>
        <w:rPr>
          <w:rFonts w:cs="Arial"/>
          <w:szCs w:val="24"/>
        </w:rPr>
        <w:t>The Chair asked if Officers could take the comments in relation to feedback on board and the Head of Administration responded that a follow up report could be provided. However she advised that only two complaints had ever been made to the Council in terms of the event organisation process so she was concerned to hear from Members that so many people were unhappy with the process.</w:t>
      </w:r>
    </w:p>
    <w:p w14:paraId="64F39A77" w14:textId="77777777" w:rsidR="00A467B1" w:rsidRDefault="00A467B1" w:rsidP="00147812">
      <w:pPr>
        <w:contextualSpacing/>
        <w:rPr>
          <w:rFonts w:cs="Arial"/>
          <w:szCs w:val="24"/>
        </w:rPr>
      </w:pPr>
    </w:p>
    <w:p w14:paraId="005E14DC" w14:textId="1B9BCEB6" w:rsidR="00A467B1" w:rsidRDefault="00A467B1" w:rsidP="00A467B1">
      <w:pPr>
        <w:pStyle w:val="Normal0"/>
      </w:pPr>
      <w:bookmarkStart w:id="32" w:name="_Hlk138067924"/>
      <w:r w:rsidRPr="007F0DD5">
        <w:rPr>
          <w:b/>
          <w:bCs/>
          <w:sz w:val="24"/>
          <w:lang w:eastAsia="en-US"/>
        </w:rPr>
        <w:t xml:space="preserve">AGREED TO RECOMMEND, on the proposal of </w:t>
      </w:r>
      <w:r w:rsidR="000D185F">
        <w:rPr>
          <w:b/>
          <w:bCs/>
          <w:sz w:val="24"/>
          <w:lang w:eastAsia="en-US"/>
        </w:rPr>
        <w:t>Alderman Brooks</w:t>
      </w:r>
      <w:r w:rsidRPr="007F0DD5">
        <w:rPr>
          <w:b/>
          <w:bCs/>
          <w:sz w:val="24"/>
          <w:lang w:eastAsia="en-US"/>
        </w:rPr>
        <w:t xml:space="preserve">, seconded by </w:t>
      </w:r>
      <w:r w:rsidR="000D185F">
        <w:rPr>
          <w:b/>
          <w:bCs/>
          <w:sz w:val="24"/>
          <w:lang w:eastAsia="en-US"/>
        </w:rPr>
        <w:t>Councillor W Irvine</w:t>
      </w:r>
      <w:r w:rsidRPr="007F0DD5">
        <w:rPr>
          <w:b/>
          <w:bCs/>
          <w:sz w:val="24"/>
          <w:lang w:eastAsia="en-US"/>
        </w:rPr>
        <w:t xml:space="preserve">, that </w:t>
      </w:r>
      <w:r>
        <w:rPr>
          <w:b/>
          <w:bCs/>
          <w:sz w:val="24"/>
          <w:lang w:eastAsia="en-US"/>
        </w:rPr>
        <w:t>the recommendation be adopted.</w:t>
      </w:r>
    </w:p>
    <w:bookmarkEnd w:id="32"/>
    <w:p w14:paraId="2E785F6A" w14:textId="77777777" w:rsidR="0033058C" w:rsidRDefault="0033058C" w:rsidP="00147812">
      <w:pPr>
        <w:pStyle w:val="ListParagraph"/>
        <w:rPr>
          <w:rFonts w:ascii="Arial" w:hAnsi="Arial" w:cs="Arial"/>
          <w:sz w:val="24"/>
          <w:szCs w:val="24"/>
        </w:rPr>
      </w:pPr>
    </w:p>
    <w:p w14:paraId="5AF134C8" w14:textId="115CA29D" w:rsidR="0033058C" w:rsidRPr="008A0004" w:rsidRDefault="0033058C" w:rsidP="00A467B1">
      <w:pPr>
        <w:pStyle w:val="Heading1"/>
        <w:ind w:left="720" w:hanging="720"/>
        <w:rPr>
          <w:u w:val="single"/>
        </w:rPr>
      </w:pPr>
      <w:r>
        <w:t>1</w:t>
      </w:r>
      <w:r w:rsidR="00EB36A4">
        <w:t>1</w:t>
      </w:r>
      <w:r>
        <w:t>.</w:t>
      </w:r>
      <w:r>
        <w:tab/>
      </w:r>
      <w:r w:rsidR="00A467B1" w:rsidRPr="00A467B1">
        <w:rPr>
          <w:rFonts w:cs="Arial"/>
          <w:szCs w:val="28"/>
          <w:u w:val="single"/>
        </w:rPr>
        <w:t>Equality Commission NI Annual Progress Report 2022/23</w:t>
      </w:r>
      <w:r w:rsidR="00A467B1">
        <w:rPr>
          <w:rFonts w:cs="Arial"/>
          <w:szCs w:val="28"/>
          <w:u w:val="single"/>
        </w:rPr>
        <w:t xml:space="preserve"> (FILE EQ4)</w:t>
      </w:r>
    </w:p>
    <w:p w14:paraId="1CA2AC2C" w14:textId="57A490A0" w:rsidR="0033058C" w:rsidRDefault="00124D06" w:rsidP="00147812">
      <w:pPr>
        <w:contextualSpacing/>
        <w:rPr>
          <w:rFonts w:cs="Arial"/>
          <w:szCs w:val="24"/>
        </w:rPr>
      </w:pPr>
      <w:r>
        <w:rPr>
          <w:rFonts w:cs="Arial"/>
          <w:szCs w:val="24"/>
        </w:rPr>
        <w:tab/>
      </w:r>
      <w:bookmarkStart w:id="33" w:name="_Hlk138069934"/>
      <w:r>
        <w:rPr>
          <w:rFonts w:cs="Arial"/>
          <w:szCs w:val="24"/>
        </w:rPr>
        <w:t>(Appendix X</w:t>
      </w:r>
      <w:r w:rsidR="00A467B1">
        <w:rPr>
          <w:rFonts w:cs="Arial"/>
          <w:szCs w:val="24"/>
        </w:rPr>
        <w:t>II</w:t>
      </w:r>
      <w:r>
        <w:rPr>
          <w:rFonts w:cs="Arial"/>
          <w:szCs w:val="24"/>
        </w:rPr>
        <w:t>)</w:t>
      </w:r>
      <w:r w:rsidR="0033058C">
        <w:rPr>
          <w:rFonts w:cs="Arial"/>
          <w:szCs w:val="24"/>
        </w:rPr>
        <w:tab/>
      </w:r>
      <w:bookmarkEnd w:id="33"/>
    </w:p>
    <w:p w14:paraId="611DE59F" w14:textId="77777777" w:rsidR="00124D06" w:rsidRDefault="00124D06" w:rsidP="00147812">
      <w:pPr>
        <w:contextualSpacing/>
        <w:rPr>
          <w:rFonts w:cs="Arial"/>
          <w:szCs w:val="24"/>
        </w:rPr>
      </w:pPr>
    </w:p>
    <w:p w14:paraId="3B04B5D8" w14:textId="76A5B8F5" w:rsidR="00A467B1" w:rsidRPr="00A467B1" w:rsidRDefault="00EB36A4" w:rsidP="00A467B1">
      <w:pPr>
        <w:rPr>
          <w:rFonts w:cs="Arial"/>
          <w:szCs w:val="24"/>
        </w:rPr>
      </w:pPr>
      <w:bookmarkStart w:id="34" w:name="_Hlk138069709"/>
      <w:bookmarkStart w:id="35" w:name="_Hlk129095792"/>
      <w:r w:rsidRPr="00F92E25">
        <w:rPr>
          <w:rFonts w:cs="Arial"/>
          <w:bCs/>
          <w:caps/>
          <w:szCs w:val="24"/>
        </w:rPr>
        <w:lastRenderedPageBreak/>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 </w:t>
      </w:r>
      <w:bookmarkEnd w:id="34"/>
      <w:r w:rsidR="00292508">
        <w:rPr>
          <w:rFonts w:cs="Arial"/>
          <w:szCs w:val="24"/>
        </w:rPr>
        <w:t>a</w:t>
      </w:r>
      <w:r w:rsidR="00292508" w:rsidRPr="00292508">
        <w:rPr>
          <w:rFonts w:cs="Arial"/>
          <w:szCs w:val="24"/>
        </w:rPr>
        <w:t xml:space="preserve">t </w:t>
      </w:r>
      <w:bookmarkEnd w:id="35"/>
      <w:r w:rsidR="00A467B1">
        <w:rPr>
          <w:rFonts w:cs="Arial"/>
          <w:szCs w:val="24"/>
        </w:rPr>
        <w:t>t</w:t>
      </w:r>
      <w:r w:rsidR="00A467B1" w:rsidRPr="00A467B1">
        <w:rPr>
          <w:rFonts w:cs="Arial"/>
          <w:szCs w:val="24"/>
        </w:rPr>
        <w:t xml:space="preserve">he Equality Commission for Northern Ireland (ECNI) had requested that all Councils complete a template every year to demonstrate progress on their implementation of the section 75 statutory duties contained within the Northern Ireland Act 1998 and progress on implementation of positive duties under Section 49A of the Disability Discrimination Order (DDO) 2006. </w:t>
      </w:r>
    </w:p>
    <w:p w14:paraId="3EC0E06F" w14:textId="77777777" w:rsidR="00A467B1" w:rsidRPr="00A467B1" w:rsidRDefault="00A467B1" w:rsidP="00A467B1">
      <w:pPr>
        <w:rPr>
          <w:rFonts w:cs="Arial"/>
          <w:szCs w:val="24"/>
        </w:rPr>
      </w:pPr>
    </w:p>
    <w:p w14:paraId="086EC850" w14:textId="77777777" w:rsidR="00A467B1" w:rsidRPr="00A467B1" w:rsidRDefault="00A467B1" w:rsidP="00A467B1">
      <w:pPr>
        <w:rPr>
          <w:rFonts w:cs="Arial"/>
          <w:szCs w:val="24"/>
        </w:rPr>
      </w:pPr>
      <w:r w:rsidRPr="00A467B1">
        <w:rPr>
          <w:rFonts w:cs="Arial"/>
          <w:szCs w:val="24"/>
        </w:rPr>
        <w:t xml:space="preserve">The attached completed template covered the period 1 April 2022 – 31 March 2023. The template was to be returned electronically to ECNI by 31 August 2023. </w:t>
      </w:r>
    </w:p>
    <w:p w14:paraId="1D074B34" w14:textId="77777777" w:rsidR="00A467B1" w:rsidRPr="00A467B1" w:rsidRDefault="00A467B1" w:rsidP="00A467B1">
      <w:pPr>
        <w:rPr>
          <w:rFonts w:cs="Arial"/>
          <w:szCs w:val="24"/>
        </w:rPr>
      </w:pPr>
    </w:p>
    <w:p w14:paraId="3B52CBBC" w14:textId="024462BD" w:rsidR="00A467B1" w:rsidRDefault="00A467B1" w:rsidP="00A467B1">
      <w:pPr>
        <w:rPr>
          <w:rFonts w:cs="Arial"/>
          <w:szCs w:val="24"/>
        </w:rPr>
      </w:pPr>
      <w:r w:rsidRPr="00A467B1">
        <w:rPr>
          <w:rFonts w:cs="Arial"/>
          <w:szCs w:val="24"/>
        </w:rPr>
        <w:t xml:space="preserve">RECOMMENDED that Council agrees to adopt and forward to the Equality Commission for Northern Ireland the attached Annual Progress Report for the period 1 April 2022 – 31 March 2023. </w:t>
      </w:r>
    </w:p>
    <w:p w14:paraId="5A7E0680" w14:textId="77777777" w:rsidR="00A467B1" w:rsidRDefault="00A467B1" w:rsidP="00A467B1">
      <w:pPr>
        <w:rPr>
          <w:rFonts w:cs="Arial"/>
          <w:szCs w:val="24"/>
        </w:rPr>
      </w:pPr>
    </w:p>
    <w:p w14:paraId="79DC08E4" w14:textId="0268694C" w:rsidR="00A467B1" w:rsidRPr="00A467B1" w:rsidRDefault="00A467B1" w:rsidP="00A467B1">
      <w:pPr>
        <w:pStyle w:val="Normal0"/>
        <w:rPr>
          <w:rFonts w:cs="Arial"/>
          <w:i/>
          <w:szCs w:val="24"/>
        </w:rPr>
      </w:pPr>
      <w:bookmarkStart w:id="36" w:name="_Hlk138068391"/>
      <w:r w:rsidRPr="007F0DD5">
        <w:rPr>
          <w:b/>
          <w:bCs/>
          <w:sz w:val="24"/>
          <w:lang w:eastAsia="en-US"/>
        </w:rPr>
        <w:t xml:space="preserve">AGREED TO RECOMMEND, on the proposal of </w:t>
      </w:r>
      <w:r w:rsidR="00A06C50">
        <w:rPr>
          <w:b/>
          <w:bCs/>
          <w:sz w:val="24"/>
          <w:lang w:eastAsia="en-US"/>
        </w:rPr>
        <w:t>Alderman Smith</w:t>
      </w:r>
      <w:r w:rsidRPr="007F0DD5">
        <w:rPr>
          <w:b/>
          <w:bCs/>
          <w:sz w:val="24"/>
          <w:lang w:eastAsia="en-US"/>
        </w:rPr>
        <w:t xml:space="preserve">, seconded by </w:t>
      </w:r>
      <w:r w:rsidR="00A06C50">
        <w:rPr>
          <w:b/>
          <w:bCs/>
          <w:sz w:val="24"/>
          <w:lang w:eastAsia="en-US"/>
        </w:rPr>
        <w:t>Alderman Brooks</w:t>
      </w:r>
      <w:r w:rsidRPr="007F0DD5">
        <w:rPr>
          <w:b/>
          <w:bCs/>
          <w:sz w:val="24"/>
          <w:lang w:eastAsia="en-US"/>
        </w:rPr>
        <w:t xml:space="preserve">, that </w:t>
      </w:r>
      <w:r>
        <w:rPr>
          <w:b/>
          <w:bCs/>
          <w:sz w:val="24"/>
          <w:lang w:eastAsia="en-US"/>
        </w:rPr>
        <w:t>the recommendation be adopted.</w:t>
      </w:r>
    </w:p>
    <w:bookmarkEnd w:id="36"/>
    <w:p w14:paraId="2EC46032" w14:textId="725EB2DA" w:rsidR="0033058C" w:rsidRPr="00A04568" w:rsidRDefault="0033058C" w:rsidP="00A467B1">
      <w:pPr>
        <w:rPr>
          <w:rFonts w:cs="Arial"/>
          <w:szCs w:val="24"/>
        </w:rPr>
      </w:pPr>
    </w:p>
    <w:p w14:paraId="4925F4D2" w14:textId="2879187F" w:rsidR="0033058C" w:rsidRPr="007D092C" w:rsidRDefault="0033058C" w:rsidP="007D092C">
      <w:pPr>
        <w:pStyle w:val="Heading1"/>
        <w:ind w:left="720" w:hanging="720"/>
        <w:rPr>
          <w:u w:val="single"/>
        </w:rPr>
      </w:pPr>
      <w:r>
        <w:t>1</w:t>
      </w:r>
      <w:r w:rsidR="00EB36A4">
        <w:t>2</w:t>
      </w:r>
      <w:r>
        <w:t>.</w:t>
      </w:r>
      <w:r>
        <w:tab/>
      </w:r>
      <w:r w:rsidR="00A467B1" w:rsidRPr="00A467B1">
        <w:rPr>
          <w:rFonts w:cs="Arial"/>
          <w:szCs w:val="28"/>
          <w:u w:val="single"/>
        </w:rPr>
        <w:t>Attendance at SOLACE Summit</w:t>
      </w:r>
      <w:r w:rsidR="007D092C">
        <w:rPr>
          <w:rFonts w:cs="Arial"/>
          <w:szCs w:val="28"/>
          <w:u w:val="single"/>
        </w:rPr>
        <w:t xml:space="preserve"> (FILE CX1)</w:t>
      </w:r>
    </w:p>
    <w:p w14:paraId="1B55EEA1" w14:textId="4AB04DEF" w:rsidR="00065A24" w:rsidRDefault="00065A24" w:rsidP="00147812">
      <w:pPr>
        <w:contextualSpacing/>
        <w:rPr>
          <w:rFonts w:eastAsia="Times New Roman" w:cs="Arial"/>
          <w:b/>
          <w:szCs w:val="24"/>
          <w:lang w:eastAsia="en-GB"/>
        </w:rPr>
      </w:pPr>
    </w:p>
    <w:p w14:paraId="4C6BDC3D" w14:textId="77777777" w:rsidR="007D092C" w:rsidRPr="007D092C" w:rsidRDefault="00EB36A4" w:rsidP="007D092C">
      <w:pPr>
        <w:rPr>
          <w:rFonts w:cs="Arial"/>
          <w:szCs w:val="24"/>
        </w:rPr>
      </w:pPr>
      <w:bookmarkStart w:id="37" w:name="_Hlk129095868"/>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 </w:t>
      </w:r>
      <w:bookmarkEnd w:id="37"/>
      <w:r w:rsidR="007D092C" w:rsidRPr="007D092C">
        <w:rPr>
          <w:rFonts w:cs="Arial"/>
          <w:szCs w:val="24"/>
        </w:rPr>
        <w:t>Solace represented Local Government Chief Executives and Directors throughout the United Kingdom. They were committed to public service excellence and supported their membership with learning and development as a well as contributing to policy work, responding to consultations and representing the professional views of the sector.</w:t>
      </w:r>
    </w:p>
    <w:p w14:paraId="60ECEC9F" w14:textId="77777777" w:rsidR="007D092C" w:rsidRPr="007D092C" w:rsidRDefault="007D092C" w:rsidP="007D092C">
      <w:pPr>
        <w:rPr>
          <w:rFonts w:cs="Arial"/>
          <w:szCs w:val="24"/>
        </w:rPr>
      </w:pPr>
    </w:p>
    <w:p w14:paraId="7C3E6F24" w14:textId="77777777" w:rsidR="007D092C" w:rsidRPr="007D092C" w:rsidRDefault="007D092C" w:rsidP="007D092C">
      <w:pPr>
        <w:rPr>
          <w:rFonts w:cs="Arial"/>
          <w:szCs w:val="24"/>
        </w:rPr>
      </w:pPr>
      <w:r w:rsidRPr="007D092C">
        <w:rPr>
          <w:rFonts w:cs="Arial"/>
          <w:szCs w:val="24"/>
        </w:rPr>
        <w:t>Solace UK held a range of events throughout the year as part of their role. The Annual Conference, known as the Solace Summit, was to be held in Birmingham this year.  This provided a vital opportunity for networking and debating challenges and solutions to common issues facing the Local Government sector at a senior level.</w:t>
      </w:r>
    </w:p>
    <w:p w14:paraId="023AC10D" w14:textId="77777777" w:rsidR="007D092C" w:rsidRPr="007D092C" w:rsidRDefault="007D092C" w:rsidP="007D092C">
      <w:pPr>
        <w:rPr>
          <w:rFonts w:cs="Arial"/>
          <w:szCs w:val="24"/>
        </w:rPr>
      </w:pPr>
    </w:p>
    <w:p w14:paraId="230CC4B3" w14:textId="77777777" w:rsidR="007D092C" w:rsidRPr="007D092C" w:rsidRDefault="007D092C" w:rsidP="007D092C">
      <w:pPr>
        <w:rPr>
          <w:rFonts w:cs="Arial"/>
          <w:szCs w:val="24"/>
        </w:rPr>
      </w:pPr>
      <w:r w:rsidRPr="007D092C">
        <w:rPr>
          <w:rFonts w:cs="Arial"/>
          <w:szCs w:val="24"/>
        </w:rPr>
        <w:t xml:space="preserve">The Summit would be held in The Hilton Birmingham Metropole,17 – 19th October 2023 and the delegate fee for members (including the Conference and Charity Dinner) was £435 plus VAT (Early Bird).  </w:t>
      </w:r>
    </w:p>
    <w:p w14:paraId="3BE2CA9E" w14:textId="77777777" w:rsidR="007D092C" w:rsidRPr="007D092C" w:rsidRDefault="007D092C" w:rsidP="007D092C">
      <w:pPr>
        <w:rPr>
          <w:rFonts w:cs="Arial"/>
          <w:szCs w:val="24"/>
        </w:rPr>
      </w:pPr>
    </w:p>
    <w:p w14:paraId="0683D3BD" w14:textId="77777777" w:rsidR="007D092C" w:rsidRPr="007D092C" w:rsidRDefault="007D092C" w:rsidP="007D092C">
      <w:pPr>
        <w:rPr>
          <w:rFonts w:cs="Arial"/>
          <w:szCs w:val="24"/>
        </w:rPr>
      </w:pPr>
      <w:r w:rsidRPr="007D092C">
        <w:rPr>
          <w:rFonts w:cs="Arial"/>
          <w:szCs w:val="24"/>
        </w:rPr>
        <w:t>The Summit presented an opportunity for the Chief Executive to attend, contribute and report back to colleagues and Members on a range of current challenges and opportunities facing the Council now and in planning for the future.</w:t>
      </w:r>
    </w:p>
    <w:p w14:paraId="0A5E9FF4" w14:textId="77777777" w:rsidR="007D092C" w:rsidRPr="007D092C" w:rsidRDefault="007D092C" w:rsidP="007D092C">
      <w:pPr>
        <w:rPr>
          <w:rFonts w:cs="Arial"/>
          <w:szCs w:val="24"/>
        </w:rPr>
      </w:pPr>
    </w:p>
    <w:p w14:paraId="3383C2F7" w14:textId="102EC566" w:rsidR="0083612D" w:rsidRDefault="007D092C" w:rsidP="007D092C">
      <w:pPr>
        <w:rPr>
          <w:rFonts w:cs="Arial"/>
          <w:szCs w:val="24"/>
        </w:rPr>
      </w:pPr>
      <w:r w:rsidRPr="007D092C">
        <w:rPr>
          <w:rFonts w:cs="Arial"/>
          <w:szCs w:val="24"/>
        </w:rPr>
        <w:t>RECOMMENDED that the Council approves the attendance of the Chief Executive at the Solace Summit in Birmingham 17-19 October 2023, with delegate fee, travel and accommodation costs to be met from existing budgets.</w:t>
      </w:r>
    </w:p>
    <w:p w14:paraId="1B9C3F57" w14:textId="77777777" w:rsidR="007D092C" w:rsidRDefault="007D092C" w:rsidP="007D092C">
      <w:pPr>
        <w:rPr>
          <w:rFonts w:cs="Arial"/>
          <w:szCs w:val="24"/>
        </w:rPr>
      </w:pPr>
    </w:p>
    <w:p w14:paraId="4F06F308" w14:textId="4E548887" w:rsidR="007D092C" w:rsidRDefault="007D092C" w:rsidP="007D092C">
      <w:pPr>
        <w:pStyle w:val="Normal0"/>
        <w:rPr>
          <w:b/>
          <w:bCs/>
          <w:sz w:val="24"/>
          <w:lang w:eastAsia="en-US"/>
        </w:rPr>
      </w:pPr>
      <w:r w:rsidRPr="007F0DD5">
        <w:rPr>
          <w:b/>
          <w:bCs/>
          <w:sz w:val="24"/>
          <w:lang w:eastAsia="en-US"/>
        </w:rPr>
        <w:t xml:space="preserve">AGREED TO RECOMMEND, on the proposal of </w:t>
      </w:r>
      <w:r w:rsidR="00A06C50">
        <w:rPr>
          <w:b/>
          <w:bCs/>
          <w:sz w:val="24"/>
          <w:lang w:eastAsia="en-US"/>
        </w:rPr>
        <w:t>Alderman Graham</w:t>
      </w:r>
      <w:r w:rsidRPr="007F0DD5">
        <w:rPr>
          <w:b/>
          <w:bCs/>
          <w:sz w:val="24"/>
          <w:lang w:eastAsia="en-US"/>
        </w:rPr>
        <w:t xml:space="preserve">, seconded by </w:t>
      </w:r>
      <w:r w:rsidR="00A06C50">
        <w:rPr>
          <w:b/>
          <w:bCs/>
          <w:sz w:val="24"/>
          <w:lang w:eastAsia="en-US"/>
        </w:rPr>
        <w:t>Councillor</w:t>
      </w:r>
      <w:r w:rsidR="000D185F">
        <w:rPr>
          <w:b/>
          <w:bCs/>
          <w:sz w:val="24"/>
          <w:lang w:eastAsia="en-US"/>
        </w:rPr>
        <w:t xml:space="preserve"> W</w:t>
      </w:r>
      <w:r w:rsidR="00A06C50">
        <w:rPr>
          <w:b/>
          <w:bCs/>
          <w:sz w:val="24"/>
          <w:lang w:eastAsia="en-US"/>
        </w:rPr>
        <w:t xml:space="preserve"> Irvine</w:t>
      </w:r>
      <w:r w:rsidRPr="007F0DD5">
        <w:rPr>
          <w:b/>
          <w:bCs/>
          <w:sz w:val="24"/>
          <w:lang w:eastAsia="en-US"/>
        </w:rPr>
        <w:t xml:space="preserve">, that </w:t>
      </w:r>
      <w:r>
        <w:rPr>
          <w:b/>
          <w:bCs/>
          <w:sz w:val="24"/>
          <w:lang w:eastAsia="en-US"/>
        </w:rPr>
        <w:t>the recommendation be adopted.</w:t>
      </w:r>
    </w:p>
    <w:p w14:paraId="6069A201" w14:textId="77777777" w:rsidR="00261CA5" w:rsidRDefault="00261CA5" w:rsidP="007D092C">
      <w:pPr>
        <w:pStyle w:val="Normal0"/>
        <w:rPr>
          <w:b/>
          <w:bCs/>
          <w:sz w:val="24"/>
          <w:lang w:eastAsia="en-US"/>
        </w:rPr>
      </w:pPr>
    </w:p>
    <w:p w14:paraId="6F8D928D" w14:textId="77777777" w:rsidR="00261CA5" w:rsidRDefault="00261CA5" w:rsidP="007D092C">
      <w:pPr>
        <w:pStyle w:val="Normal0"/>
        <w:rPr>
          <w:b/>
          <w:bCs/>
          <w:sz w:val="24"/>
          <w:lang w:eastAsia="en-US"/>
        </w:rPr>
      </w:pPr>
    </w:p>
    <w:p w14:paraId="112F7CC7" w14:textId="77777777" w:rsidR="00261CA5" w:rsidRDefault="00261CA5" w:rsidP="007D092C">
      <w:pPr>
        <w:pStyle w:val="Normal0"/>
        <w:rPr>
          <w:b/>
          <w:bCs/>
          <w:sz w:val="24"/>
          <w:lang w:eastAsia="en-US"/>
        </w:rPr>
      </w:pPr>
    </w:p>
    <w:p w14:paraId="5B73D5A0" w14:textId="77777777" w:rsidR="00261CA5" w:rsidRDefault="00261CA5" w:rsidP="007D092C">
      <w:pPr>
        <w:pStyle w:val="Normal0"/>
        <w:rPr>
          <w:b/>
          <w:bCs/>
          <w:sz w:val="24"/>
          <w:lang w:eastAsia="en-US"/>
        </w:rPr>
      </w:pPr>
    </w:p>
    <w:p w14:paraId="2B3A635D" w14:textId="77777777" w:rsidR="00261CA5" w:rsidRDefault="00261CA5" w:rsidP="007D092C">
      <w:pPr>
        <w:pStyle w:val="Normal0"/>
        <w:rPr>
          <w:rFonts w:cs="Arial"/>
          <w:szCs w:val="24"/>
        </w:rPr>
      </w:pPr>
    </w:p>
    <w:p w14:paraId="02741AB5" w14:textId="77777777" w:rsidR="007D092C" w:rsidRPr="009A528B" w:rsidRDefault="007D092C" w:rsidP="007D092C">
      <w:pPr>
        <w:rPr>
          <w:rFonts w:cs="Arial"/>
          <w:b/>
          <w:bCs/>
          <w:szCs w:val="24"/>
        </w:rPr>
      </w:pPr>
    </w:p>
    <w:p w14:paraId="1B74004A" w14:textId="0C712640" w:rsidR="00CC2E18" w:rsidRPr="00CC2E18" w:rsidRDefault="0033058C" w:rsidP="00CC2E18">
      <w:pPr>
        <w:pStyle w:val="Heading1"/>
        <w:ind w:left="720" w:hanging="720"/>
        <w:rPr>
          <w:rFonts w:eastAsia="Calibri" w:cs="Arial"/>
          <w:szCs w:val="28"/>
          <w:u w:val="single"/>
        </w:rPr>
      </w:pPr>
      <w:r>
        <w:t>1</w:t>
      </w:r>
      <w:r w:rsidR="00EB36A4">
        <w:t>3</w:t>
      </w:r>
      <w:r>
        <w:t>.</w:t>
      </w:r>
      <w:bookmarkStart w:id="38" w:name="_Hlk129096376"/>
      <w:r>
        <w:tab/>
      </w:r>
      <w:r w:rsidR="00CC2E18" w:rsidRPr="00CC2E18">
        <w:rPr>
          <w:rFonts w:eastAsia="Calibri" w:cs="Arial"/>
          <w:szCs w:val="28"/>
          <w:u w:val="single"/>
        </w:rPr>
        <w:t>Response to Notices of Motion:</w:t>
      </w:r>
    </w:p>
    <w:p w14:paraId="4C3BE748" w14:textId="77777777" w:rsidR="00CC2E18" w:rsidRPr="00CC2E18" w:rsidRDefault="00CC2E18" w:rsidP="00947021"/>
    <w:p w14:paraId="31248B2D" w14:textId="44187AD5" w:rsidR="00CC2E18" w:rsidRPr="00732B02" w:rsidRDefault="00CC2E18" w:rsidP="00CC2E18">
      <w:pPr>
        <w:pStyle w:val="Heading1"/>
        <w:ind w:left="720" w:hanging="720"/>
        <w:rPr>
          <w:rFonts w:eastAsia="Calibri" w:cs="Arial"/>
          <w:sz w:val="24"/>
          <w:szCs w:val="24"/>
        </w:rPr>
      </w:pPr>
      <w:r w:rsidRPr="00732B02">
        <w:rPr>
          <w:rFonts w:eastAsia="Calibri" w:cs="Arial"/>
          <w:sz w:val="24"/>
          <w:szCs w:val="24"/>
        </w:rPr>
        <w:t>(a)</w:t>
      </w:r>
      <w:r w:rsidRPr="00732B02">
        <w:rPr>
          <w:rFonts w:eastAsia="Calibri" w:cs="Arial"/>
          <w:sz w:val="24"/>
          <w:szCs w:val="24"/>
        </w:rPr>
        <w:tab/>
      </w:r>
      <w:r w:rsidRPr="00732B02">
        <w:rPr>
          <w:rFonts w:eastAsia="Calibri" w:cs="Arial"/>
          <w:sz w:val="24"/>
          <w:szCs w:val="24"/>
          <w:u w:val="single"/>
        </w:rPr>
        <w:t>NOM 175 – Request for a pedestrian crossing at Moat Street, Donaghadee</w:t>
      </w:r>
      <w:r w:rsidR="00732B02">
        <w:rPr>
          <w:rFonts w:eastAsia="Calibri" w:cs="Arial"/>
          <w:sz w:val="24"/>
          <w:szCs w:val="24"/>
          <w:u w:val="single"/>
        </w:rPr>
        <w:t xml:space="preserve"> (FILE NOM175)</w:t>
      </w:r>
    </w:p>
    <w:p w14:paraId="651B3AC2" w14:textId="349D02A8" w:rsidR="00732B02" w:rsidRDefault="00732B02" w:rsidP="00732B02">
      <w:pPr>
        <w:ind w:firstLine="720"/>
        <w:rPr>
          <w:rFonts w:cs="Arial"/>
          <w:bCs/>
          <w:caps/>
          <w:szCs w:val="24"/>
        </w:rPr>
      </w:pPr>
      <w:bookmarkStart w:id="39" w:name="_Hlk138072128"/>
      <w:bookmarkStart w:id="40" w:name="_Hlk138069727"/>
      <w:r w:rsidRPr="00732B02">
        <w:rPr>
          <w:rFonts w:cs="Arial"/>
          <w:bCs/>
          <w:caps/>
          <w:szCs w:val="24"/>
        </w:rPr>
        <w:t>(Appendix XII</w:t>
      </w:r>
      <w:r>
        <w:rPr>
          <w:rFonts w:cs="Arial"/>
          <w:bCs/>
          <w:caps/>
          <w:szCs w:val="24"/>
        </w:rPr>
        <w:t>I</w:t>
      </w:r>
      <w:r w:rsidRPr="00732B02">
        <w:rPr>
          <w:rFonts w:cs="Arial"/>
          <w:bCs/>
          <w:caps/>
          <w:szCs w:val="24"/>
        </w:rPr>
        <w:t>)</w:t>
      </w:r>
      <w:bookmarkEnd w:id="39"/>
      <w:r w:rsidRPr="00732B02">
        <w:rPr>
          <w:rFonts w:cs="Arial"/>
          <w:bCs/>
          <w:caps/>
          <w:szCs w:val="24"/>
        </w:rPr>
        <w:tab/>
      </w:r>
    </w:p>
    <w:p w14:paraId="51CE9D46" w14:textId="77777777" w:rsidR="00732B02" w:rsidRDefault="00732B02" w:rsidP="00732B02">
      <w:pPr>
        <w:ind w:firstLine="720"/>
        <w:rPr>
          <w:rFonts w:cs="Arial"/>
          <w:bCs/>
          <w:caps/>
          <w:szCs w:val="24"/>
        </w:rPr>
      </w:pPr>
    </w:p>
    <w:p w14:paraId="1E11E679" w14:textId="138B612A" w:rsidR="00732B02" w:rsidRPr="00732B02" w:rsidRDefault="00732B02" w:rsidP="00732B02">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 a</w:t>
      </w:r>
      <w:r w:rsidRPr="00732B02">
        <w:rPr>
          <w:rFonts w:cs="Arial"/>
          <w:szCs w:val="24"/>
        </w:rPr>
        <w:t xml:space="preserve"> Notice of Motion was debated at Corporate Committee in February 2023 and subsequently ratified by Council which stated:</w:t>
      </w:r>
    </w:p>
    <w:p w14:paraId="2FC36A8D" w14:textId="77777777" w:rsidR="00732B02" w:rsidRPr="00732B02" w:rsidRDefault="00732B02" w:rsidP="00732B02">
      <w:pPr>
        <w:rPr>
          <w:rFonts w:cs="Arial"/>
          <w:szCs w:val="24"/>
        </w:rPr>
      </w:pPr>
    </w:p>
    <w:p w14:paraId="76DB7EB5" w14:textId="77777777" w:rsidR="00732B02" w:rsidRDefault="00732B02" w:rsidP="00732B02">
      <w:pPr>
        <w:rPr>
          <w:rFonts w:cs="Arial"/>
          <w:szCs w:val="24"/>
        </w:rPr>
      </w:pPr>
      <w:r w:rsidRPr="00732B02">
        <w:rPr>
          <w:rFonts w:cs="Arial"/>
          <w:szCs w:val="24"/>
        </w:rPr>
        <w:t>“This Council supports local residents who have started a petition which calls for a pedestrian crossing on Moat Street, Donaghadee, near to the Spar store. This road can be extremely busy, and residents have real safety concerns when trying to cross it. Not only do many people use this area to cross to shop at the Spar store, others need to cross the road to get children to and from the local schools.</w:t>
      </w:r>
    </w:p>
    <w:p w14:paraId="2F70618E" w14:textId="77777777" w:rsidR="00732B02" w:rsidRPr="00732B02" w:rsidRDefault="00732B02" w:rsidP="00732B02">
      <w:pPr>
        <w:rPr>
          <w:rFonts w:cs="Arial"/>
          <w:szCs w:val="24"/>
        </w:rPr>
      </w:pPr>
    </w:p>
    <w:p w14:paraId="5D98DDA3" w14:textId="77777777" w:rsidR="00732B02" w:rsidRPr="00732B02" w:rsidRDefault="00732B02" w:rsidP="00732B02">
      <w:pPr>
        <w:rPr>
          <w:rFonts w:cs="Arial"/>
          <w:szCs w:val="24"/>
        </w:rPr>
      </w:pPr>
      <w:r w:rsidRPr="00732B02">
        <w:rPr>
          <w:rFonts w:cs="Arial"/>
          <w:szCs w:val="24"/>
        </w:rPr>
        <w:t>This Council will write to the Department of Infrastructure and call on them to listen to local residents, take on board their concerns and take the necessary steps to install a pedestrian crossing in this vicinity.”</w:t>
      </w:r>
    </w:p>
    <w:p w14:paraId="4C7BA808" w14:textId="77777777" w:rsidR="00732B02" w:rsidRPr="00732B02" w:rsidRDefault="00732B02" w:rsidP="00732B02">
      <w:pPr>
        <w:rPr>
          <w:rFonts w:cs="Arial"/>
          <w:szCs w:val="24"/>
        </w:rPr>
      </w:pPr>
    </w:p>
    <w:p w14:paraId="3EEA1160" w14:textId="77777777" w:rsidR="00732B02" w:rsidRPr="00732B02" w:rsidRDefault="00732B02" w:rsidP="00732B02">
      <w:pPr>
        <w:rPr>
          <w:rFonts w:cs="Arial"/>
          <w:szCs w:val="24"/>
        </w:rPr>
      </w:pPr>
      <w:r w:rsidRPr="00732B02">
        <w:rPr>
          <w:rFonts w:cs="Arial"/>
          <w:szCs w:val="24"/>
        </w:rPr>
        <w:t>A letter was sent from the Chief Executive on 8 March 2023 to the Permanent Secretary of the Department for Infrastructure and a reply was received on 16 March 2023 and a copy was attached.</w:t>
      </w:r>
    </w:p>
    <w:p w14:paraId="34A95AE1" w14:textId="77777777" w:rsidR="00732B02" w:rsidRPr="00732B02" w:rsidRDefault="00732B02" w:rsidP="00732B02">
      <w:pPr>
        <w:rPr>
          <w:rFonts w:cs="Arial"/>
          <w:szCs w:val="24"/>
        </w:rPr>
      </w:pPr>
    </w:p>
    <w:p w14:paraId="684AD2F1" w14:textId="74B07401" w:rsidR="00CC2E18" w:rsidRDefault="00732B02" w:rsidP="00732B02">
      <w:pPr>
        <w:rPr>
          <w:rFonts w:cs="Arial"/>
          <w:szCs w:val="24"/>
        </w:rPr>
      </w:pPr>
      <w:r w:rsidRPr="00732B02">
        <w:rPr>
          <w:rFonts w:cs="Arial"/>
          <w:szCs w:val="24"/>
        </w:rPr>
        <w:t>RECOMMENDED that Council notes the response to the Notice of Motion.</w:t>
      </w:r>
    </w:p>
    <w:p w14:paraId="0630D43B" w14:textId="77777777" w:rsidR="00B54E7F" w:rsidRDefault="00B54E7F" w:rsidP="00732B02">
      <w:pPr>
        <w:rPr>
          <w:rFonts w:cs="Arial"/>
          <w:szCs w:val="24"/>
        </w:rPr>
      </w:pPr>
    </w:p>
    <w:p w14:paraId="37202BEC" w14:textId="0293FFC5" w:rsidR="00B54E7F" w:rsidRDefault="00383B87" w:rsidP="00732B02">
      <w:pPr>
        <w:rPr>
          <w:rFonts w:cs="Arial"/>
          <w:szCs w:val="24"/>
        </w:rPr>
      </w:pPr>
      <w:r>
        <w:rPr>
          <w:rFonts w:cs="Arial"/>
          <w:szCs w:val="24"/>
        </w:rPr>
        <w:t>Alderman Brooks proposed, seconded by Councillor Gilmour, that the recommendation be adopted.</w:t>
      </w:r>
    </w:p>
    <w:p w14:paraId="4693D7B7" w14:textId="77777777" w:rsidR="00383B87" w:rsidRDefault="00383B87" w:rsidP="00732B02">
      <w:pPr>
        <w:rPr>
          <w:rFonts w:cs="Arial"/>
          <w:szCs w:val="24"/>
        </w:rPr>
      </w:pPr>
    </w:p>
    <w:p w14:paraId="6D4BDAAD" w14:textId="738ACA0D" w:rsidR="00383B87" w:rsidRDefault="00383B87" w:rsidP="00732B02">
      <w:pPr>
        <w:rPr>
          <w:rFonts w:cs="Arial"/>
          <w:szCs w:val="24"/>
        </w:rPr>
      </w:pPr>
      <w:r>
        <w:rPr>
          <w:rFonts w:cs="Arial"/>
          <w:szCs w:val="24"/>
        </w:rPr>
        <w:t xml:space="preserve">Alderman Brooks welcomed the Department of Infrastructure’s plan to carry out an assessment of the site. Councillor Gilmour </w:t>
      </w:r>
      <w:r w:rsidR="00902991">
        <w:rPr>
          <w:rFonts w:cs="Arial"/>
          <w:szCs w:val="24"/>
        </w:rPr>
        <w:t>also welcomed the response</w:t>
      </w:r>
      <w:r>
        <w:rPr>
          <w:rFonts w:cs="Arial"/>
          <w:szCs w:val="24"/>
        </w:rPr>
        <w:t xml:space="preserve">, noting that the letter was dated 15 March 2023 and </w:t>
      </w:r>
      <w:r w:rsidR="00902991">
        <w:rPr>
          <w:rFonts w:cs="Arial"/>
          <w:szCs w:val="24"/>
        </w:rPr>
        <w:t>hoped</w:t>
      </w:r>
      <w:r>
        <w:rPr>
          <w:rFonts w:cs="Arial"/>
          <w:szCs w:val="24"/>
        </w:rPr>
        <w:t xml:space="preserve"> that a further update should therefore be in the pipeline.</w:t>
      </w:r>
      <w:r w:rsidR="00902991">
        <w:rPr>
          <w:rFonts w:cs="Arial"/>
          <w:szCs w:val="24"/>
        </w:rPr>
        <w:t xml:space="preserve"> The same view was expressed by Councillor Irwin.</w:t>
      </w:r>
    </w:p>
    <w:p w14:paraId="24FA691D" w14:textId="77777777" w:rsidR="00383B87" w:rsidRDefault="00383B87" w:rsidP="00732B02">
      <w:pPr>
        <w:rPr>
          <w:rFonts w:cs="Arial"/>
          <w:szCs w:val="24"/>
        </w:rPr>
      </w:pPr>
    </w:p>
    <w:p w14:paraId="3AC5A81F" w14:textId="4273A9AE" w:rsidR="00383B87" w:rsidRDefault="00383B87" w:rsidP="00732B02">
      <w:pPr>
        <w:rPr>
          <w:rFonts w:cs="Arial"/>
          <w:szCs w:val="24"/>
        </w:rPr>
      </w:pPr>
      <w:r>
        <w:rPr>
          <w:rFonts w:cs="Arial"/>
          <w:szCs w:val="24"/>
        </w:rPr>
        <w:t xml:space="preserve">The Director said </w:t>
      </w:r>
      <w:r w:rsidR="00902991">
        <w:rPr>
          <w:rFonts w:cs="Arial"/>
          <w:szCs w:val="24"/>
        </w:rPr>
        <w:t>Officers</w:t>
      </w:r>
      <w:r>
        <w:rPr>
          <w:rFonts w:cs="Arial"/>
          <w:szCs w:val="24"/>
        </w:rPr>
        <w:t xml:space="preserve"> would </w:t>
      </w:r>
      <w:r w:rsidR="0078184E">
        <w:rPr>
          <w:rFonts w:cs="Arial"/>
          <w:szCs w:val="24"/>
        </w:rPr>
        <w:t>request a further update from the Department.</w:t>
      </w:r>
    </w:p>
    <w:p w14:paraId="355A3476" w14:textId="77777777" w:rsidR="00732B02" w:rsidRDefault="00732B02" w:rsidP="00CC2E18">
      <w:pPr>
        <w:rPr>
          <w:rFonts w:cs="Arial"/>
          <w:szCs w:val="24"/>
        </w:rPr>
      </w:pPr>
    </w:p>
    <w:p w14:paraId="41B7515F" w14:textId="09CFEEAF" w:rsidR="00732B02" w:rsidRPr="00A467B1" w:rsidRDefault="00732B02" w:rsidP="00732B02">
      <w:pPr>
        <w:pStyle w:val="Normal0"/>
        <w:rPr>
          <w:rFonts w:cs="Arial"/>
          <w:i/>
          <w:szCs w:val="24"/>
        </w:rPr>
      </w:pPr>
      <w:bookmarkStart w:id="41" w:name="_Hlk138080112"/>
      <w:r w:rsidRPr="007F0DD5">
        <w:rPr>
          <w:b/>
          <w:bCs/>
          <w:sz w:val="24"/>
          <w:lang w:eastAsia="en-US"/>
        </w:rPr>
        <w:t>AGREED TO RECOMMEND, on the proposal of</w:t>
      </w:r>
      <w:r w:rsidR="00B54E7F">
        <w:rPr>
          <w:b/>
          <w:bCs/>
          <w:sz w:val="24"/>
          <w:lang w:eastAsia="en-US"/>
        </w:rPr>
        <w:t xml:space="preserve"> Alderman Brooks</w:t>
      </w:r>
      <w:r w:rsidRPr="007F0DD5">
        <w:rPr>
          <w:b/>
          <w:bCs/>
          <w:sz w:val="24"/>
          <w:lang w:eastAsia="en-US"/>
        </w:rPr>
        <w:t xml:space="preserve">, seconded by </w:t>
      </w:r>
      <w:r w:rsidR="00B54E7F">
        <w:rPr>
          <w:b/>
          <w:bCs/>
          <w:sz w:val="24"/>
          <w:lang w:eastAsia="en-US"/>
        </w:rPr>
        <w:t>Councillor Gilmour</w:t>
      </w:r>
      <w:r w:rsidRPr="007F0DD5">
        <w:rPr>
          <w:b/>
          <w:bCs/>
          <w:sz w:val="24"/>
          <w:lang w:eastAsia="en-US"/>
        </w:rPr>
        <w:t xml:space="preserve">, that </w:t>
      </w:r>
      <w:r>
        <w:rPr>
          <w:b/>
          <w:bCs/>
          <w:sz w:val="24"/>
          <w:lang w:eastAsia="en-US"/>
        </w:rPr>
        <w:t>the recommendation be adopted.</w:t>
      </w:r>
    </w:p>
    <w:bookmarkEnd w:id="40"/>
    <w:bookmarkEnd w:id="41"/>
    <w:p w14:paraId="0E9D67E6" w14:textId="77777777" w:rsidR="00CC2E18" w:rsidRPr="00CC2E18" w:rsidRDefault="00CC2E18" w:rsidP="00CC2E18"/>
    <w:p w14:paraId="599A4246" w14:textId="0BBD74B4" w:rsidR="0033058C" w:rsidRPr="00732B02" w:rsidRDefault="00CC2E18" w:rsidP="00CC2E18">
      <w:pPr>
        <w:pStyle w:val="Heading1"/>
        <w:ind w:left="720" w:hanging="720"/>
        <w:rPr>
          <w:rFonts w:cs="Arial"/>
          <w:b w:val="0"/>
          <w:bCs/>
          <w:caps w:val="0"/>
          <w:sz w:val="24"/>
          <w:szCs w:val="24"/>
          <w:u w:val="single"/>
        </w:rPr>
      </w:pPr>
      <w:r w:rsidRPr="00732B02">
        <w:rPr>
          <w:rFonts w:eastAsia="Calibri" w:cs="Arial"/>
          <w:sz w:val="24"/>
          <w:szCs w:val="24"/>
        </w:rPr>
        <w:t>(b)</w:t>
      </w:r>
      <w:r w:rsidRPr="00732B02">
        <w:rPr>
          <w:rFonts w:eastAsia="Calibri" w:cs="Arial"/>
          <w:sz w:val="24"/>
          <w:szCs w:val="24"/>
        </w:rPr>
        <w:tab/>
      </w:r>
      <w:r w:rsidRPr="00732B02">
        <w:rPr>
          <w:rFonts w:eastAsia="Calibri" w:cs="Arial"/>
          <w:sz w:val="24"/>
          <w:szCs w:val="24"/>
          <w:u w:val="single"/>
        </w:rPr>
        <w:t>NOM 178 – Highest level of Potholes in Northern Ireland</w:t>
      </w:r>
      <w:r w:rsidR="000B55AC">
        <w:rPr>
          <w:rFonts w:eastAsia="Calibri" w:cs="Arial"/>
          <w:sz w:val="24"/>
          <w:szCs w:val="24"/>
          <w:u w:val="single"/>
        </w:rPr>
        <w:t xml:space="preserve"> (FILE NOM 178)</w:t>
      </w:r>
    </w:p>
    <w:p w14:paraId="5B6AACE8" w14:textId="47026017" w:rsidR="00124D06" w:rsidRDefault="000B55AC" w:rsidP="00147812">
      <w:pPr>
        <w:contextualSpacing/>
        <w:rPr>
          <w:rFonts w:cs="Arial"/>
          <w:szCs w:val="24"/>
        </w:rPr>
      </w:pPr>
      <w:r>
        <w:rPr>
          <w:rFonts w:cs="Arial"/>
          <w:szCs w:val="24"/>
        </w:rPr>
        <w:tab/>
      </w:r>
      <w:r w:rsidRPr="000B55AC">
        <w:rPr>
          <w:rFonts w:cs="Arial"/>
          <w:szCs w:val="24"/>
        </w:rPr>
        <w:t>(APPENDIX XI</w:t>
      </w:r>
      <w:r>
        <w:rPr>
          <w:rFonts w:cs="Arial"/>
          <w:szCs w:val="24"/>
        </w:rPr>
        <w:t>V</w:t>
      </w:r>
      <w:r w:rsidRPr="000B55AC">
        <w:rPr>
          <w:rFonts w:cs="Arial"/>
          <w:szCs w:val="24"/>
        </w:rPr>
        <w:t>)</w:t>
      </w:r>
    </w:p>
    <w:p w14:paraId="5A234E2F" w14:textId="77777777" w:rsidR="000B55AC" w:rsidRDefault="000B55AC" w:rsidP="000B55AC">
      <w:pPr>
        <w:rPr>
          <w:rFonts w:cs="Arial"/>
          <w:bCs/>
          <w:caps/>
          <w:szCs w:val="24"/>
        </w:rPr>
      </w:pPr>
    </w:p>
    <w:p w14:paraId="7F1E7844" w14:textId="177B3AD7" w:rsidR="000B55AC" w:rsidRPr="000B55AC" w:rsidRDefault="00732B02" w:rsidP="000B55AC">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w:t>
      </w:r>
      <w:r w:rsidR="000B55AC">
        <w:rPr>
          <w:rFonts w:cs="Arial"/>
          <w:szCs w:val="24"/>
        </w:rPr>
        <w:t xml:space="preserve"> a</w:t>
      </w:r>
      <w:r w:rsidR="000B55AC" w:rsidRPr="000B55AC">
        <w:rPr>
          <w:rFonts w:cs="Arial"/>
          <w:szCs w:val="24"/>
        </w:rPr>
        <w:t xml:space="preserve"> Notice of Motion was debated at Corporate Committee in March 2023 and subsequently ratified by Council which stated:</w:t>
      </w:r>
    </w:p>
    <w:p w14:paraId="4EF8D68B" w14:textId="77777777" w:rsidR="000B55AC" w:rsidRPr="000B55AC" w:rsidRDefault="000B55AC" w:rsidP="000B55AC">
      <w:pPr>
        <w:rPr>
          <w:rFonts w:cs="Arial"/>
          <w:szCs w:val="24"/>
        </w:rPr>
      </w:pPr>
    </w:p>
    <w:p w14:paraId="3B4B667E" w14:textId="77777777" w:rsidR="000B55AC" w:rsidRPr="000B55AC" w:rsidRDefault="000B55AC" w:rsidP="000B55AC">
      <w:pPr>
        <w:rPr>
          <w:rFonts w:cs="Arial"/>
          <w:szCs w:val="24"/>
        </w:rPr>
      </w:pPr>
      <w:r w:rsidRPr="000B55AC">
        <w:rPr>
          <w:rFonts w:cs="Arial"/>
          <w:szCs w:val="24"/>
        </w:rPr>
        <w:t xml:space="preserve">“That this Council is concerned that recent data shows that the Ards and North Down Borough Council area has the highest level of potholes in Northern Ireland and calls </w:t>
      </w:r>
      <w:r w:rsidRPr="000B55AC">
        <w:rPr>
          <w:rFonts w:cs="Arial"/>
          <w:szCs w:val="24"/>
        </w:rPr>
        <w:lastRenderedPageBreak/>
        <w:t>on DfI Roads Service to produce an action plan to improve the quality of roads in the Borough.”</w:t>
      </w:r>
    </w:p>
    <w:p w14:paraId="56A7BB00" w14:textId="77777777" w:rsidR="000B55AC" w:rsidRPr="000B55AC" w:rsidRDefault="000B55AC" w:rsidP="000B55AC">
      <w:pPr>
        <w:rPr>
          <w:rFonts w:cs="Arial"/>
          <w:szCs w:val="24"/>
        </w:rPr>
      </w:pPr>
    </w:p>
    <w:p w14:paraId="7BBDD6EC" w14:textId="77777777" w:rsidR="000B55AC" w:rsidRPr="000B55AC" w:rsidRDefault="000B55AC" w:rsidP="000B55AC">
      <w:pPr>
        <w:rPr>
          <w:rFonts w:cs="Arial"/>
          <w:szCs w:val="24"/>
        </w:rPr>
      </w:pPr>
      <w:r w:rsidRPr="000B55AC">
        <w:rPr>
          <w:rFonts w:cs="Arial"/>
          <w:szCs w:val="24"/>
        </w:rPr>
        <w:t>A letter was sent from the Chief Executive on 18 April 2023 to the Permanent Secretary of the Department for Infrastructure and a reply was received on 2 May 2023 and a copy was attached.</w:t>
      </w:r>
    </w:p>
    <w:p w14:paraId="3CEB1977" w14:textId="77777777" w:rsidR="000B55AC" w:rsidRPr="000B55AC" w:rsidRDefault="000B55AC" w:rsidP="000B55AC">
      <w:pPr>
        <w:rPr>
          <w:rFonts w:cs="Arial"/>
          <w:b/>
          <w:szCs w:val="24"/>
        </w:rPr>
      </w:pPr>
    </w:p>
    <w:p w14:paraId="6B1EC460" w14:textId="530DFAB1" w:rsidR="000B55AC" w:rsidRPr="000B55AC" w:rsidRDefault="000B55AC" w:rsidP="000B55AC">
      <w:pPr>
        <w:rPr>
          <w:rFonts w:cs="Arial"/>
          <w:szCs w:val="24"/>
        </w:rPr>
      </w:pPr>
      <w:r w:rsidRPr="000B55AC">
        <w:rPr>
          <w:rFonts w:cs="Arial"/>
          <w:szCs w:val="24"/>
        </w:rPr>
        <w:t>RECOMMENDED that Council notes the response to the Notice of Motion.</w:t>
      </w:r>
    </w:p>
    <w:p w14:paraId="14F149B1" w14:textId="16608ADE" w:rsidR="00732B02" w:rsidRDefault="00732B02" w:rsidP="00732B02">
      <w:pPr>
        <w:rPr>
          <w:rFonts w:cs="Arial"/>
          <w:szCs w:val="24"/>
        </w:rPr>
      </w:pPr>
    </w:p>
    <w:p w14:paraId="39B16BE0" w14:textId="43F3904A" w:rsidR="0078184E" w:rsidRDefault="0078184E" w:rsidP="00732B02">
      <w:pPr>
        <w:rPr>
          <w:rFonts w:cs="Arial"/>
          <w:szCs w:val="24"/>
        </w:rPr>
      </w:pPr>
      <w:r>
        <w:rPr>
          <w:rFonts w:cs="Arial"/>
          <w:szCs w:val="24"/>
        </w:rPr>
        <w:t>Alderman Smith proposed, seconded by Councillor</w:t>
      </w:r>
      <w:r w:rsidR="000D185F">
        <w:rPr>
          <w:rFonts w:cs="Arial"/>
          <w:szCs w:val="24"/>
        </w:rPr>
        <w:t xml:space="preserve"> W</w:t>
      </w:r>
      <w:r>
        <w:rPr>
          <w:rFonts w:cs="Arial"/>
          <w:szCs w:val="24"/>
        </w:rPr>
        <w:t xml:space="preserve"> Irvine, that the recommendation be adopted.</w:t>
      </w:r>
    </w:p>
    <w:p w14:paraId="279FB8E5" w14:textId="77777777" w:rsidR="0078184E" w:rsidRDefault="0078184E" w:rsidP="00732B02">
      <w:pPr>
        <w:rPr>
          <w:rFonts w:cs="Arial"/>
          <w:szCs w:val="24"/>
        </w:rPr>
      </w:pPr>
    </w:p>
    <w:p w14:paraId="4AE07AEE" w14:textId="15577CE3" w:rsidR="0078184E" w:rsidRDefault="0078184E" w:rsidP="00732B02">
      <w:pPr>
        <w:rPr>
          <w:rFonts w:cs="Arial"/>
          <w:szCs w:val="24"/>
        </w:rPr>
      </w:pPr>
      <w:r>
        <w:rPr>
          <w:rFonts w:cs="Arial"/>
          <w:szCs w:val="24"/>
        </w:rPr>
        <w:t>Alderman Smith was disappointed though not surprised by the response.</w:t>
      </w:r>
      <w:r w:rsidR="00E50C30">
        <w:rPr>
          <w:rFonts w:cs="Arial"/>
          <w:szCs w:val="24"/>
        </w:rPr>
        <w:t xml:space="preserve"> The Department had argued with his definition of what a pothole was, it had implied that the Borough’s pothole statistics were not as bad as claimed by the Council, and finally even if it did agree with the </w:t>
      </w:r>
      <w:r w:rsidR="000D185F">
        <w:rPr>
          <w:rFonts w:cs="Arial"/>
          <w:szCs w:val="24"/>
        </w:rPr>
        <w:t>Council,</w:t>
      </w:r>
      <w:r w:rsidR="00E50C30">
        <w:rPr>
          <w:rFonts w:cs="Arial"/>
          <w:szCs w:val="24"/>
        </w:rPr>
        <w:t xml:space="preserve"> it had made clear it did not have the finances to do anything about it. He reminded Members that the figures the Committee had worked from were the number of reports about potholes while the DfI was referring to defects that had been actioned. The issue therefore was the Department was not actioning the number of defects that did exist.</w:t>
      </w:r>
    </w:p>
    <w:p w14:paraId="1F2B55FB" w14:textId="77777777" w:rsidR="00564A28" w:rsidRDefault="00564A28" w:rsidP="00732B02">
      <w:pPr>
        <w:rPr>
          <w:rFonts w:cs="Arial"/>
          <w:szCs w:val="24"/>
        </w:rPr>
      </w:pPr>
    </w:p>
    <w:p w14:paraId="57758228" w14:textId="61F0B919" w:rsidR="00564A28" w:rsidRDefault="00564A28" w:rsidP="00732B02">
      <w:pPr>
        <w:rPr>
          <w:rFonts w:cs="Arial"/>
          <w:szCs w:val="24"/>
        </w:rPr>
      </w:pPr>
      <w:r>
        <w:rPr>
          <w:rFonts w:cs="Arial"/>
          <w:szCs w:val="24"/>
        </w:rPr>
        <w:t>Budgets were tight and there was an intention to focus on the 10% of potholes that were most dangerous so it looked like nothing was going to change going forward. There was a glimmer of light following the appointment of a new road surfacing contractor</w:t>
      </w:r>
      <w:r w:rsidR="007E46CE">
        <w:rPr>
          <w:rFonts w:cs="Arial"/>
          <w:szCs w:val="24"/>
        </w:rPr>
        <w:t>.</w:t>
      </w:r>
    </w:p>
    <w:p w14:paraId="045707B7" w14:textId="77777777" w:rsidR="00564A28" w:rsidRDefault="00564A28" w:rsidP="00732B02">
      <w:pPr>
        <w:rPr>
          <w:rFonts w:cs="Arial"/>
          <w:szCs w:val="24"/>
        </w:rPr>
      </w:pPr>
    </w:p>
    <w:p w14:paraId="45F097A6" w14:textId="5D3B8B54" w:rsidR="00564A28" w:rsidRDefault="00564A28" w:rsidP="00732B02">
      <w:pPr>
        <w:rPr>
          <w:rFonts w:cs="Arial"/>
          <w:szCs w:val="24"/>
        </w:rPr>
      </w:pPr>
      <w:r>
        <w:rPr>
          <w:rFonts w:cs="Arial"/>
          <w:szCs w:val="24"/>
        </w:rPr>
        <w:t>Councillor</w:t>
      </w:r>
      <w:r w:rsidR="000D185F">
        <w:rPr>
          <w:rFonts w:cs="Arial"/>
          <w:szCs w:val="24"/>
        </w:rPr>
        <w:t xml:space="preserve"> W</w:t>
      </w:r>
      <w:r>
        <w:rPr>
          <w:rFonts w:cs="Arial"/>
          <w:szCs w:val="24"/>
        </w:rPr>
        <w:t xml:space="preserve"> Irvine was also disappointed with the response and added that Council was only asking for a fair share of the pot in terms of what other Council areas were receiving. Alderman McIlveen understood that the agreed decision at the previous Committee meeting, currently the one before members, </w:t>
      </w:r>
      <w:r w:rsidR="00902991">
        <w:rPr>
          <w:rFonts w:cs="Arial"/>
          <w:szCs w:val="24"/>
        </w:rPr>
        <w:t>had been</w:t>
      </w:r>
      <w:r>
        <w:rPr>
          <w:rFonts w:cs="Arial"/>
          <w:szCs w:val="24"/>
        </w:rPr>
        <w:t xml:space="preserve"> amended at full Council and further information had been requested as part of that which referred to priorities and funding models. He asked for clarity if the letter instructed as part of the amendment had also been sent.</w:t>
      </w:r>
    </w:p>
    <w:p w14:paraId="5B928DF8" w14:textId="77777777" w:rsidR="00564A28" w:rsidRDefault="00564A28" w:rsidP="00732B02">
      <w:pPr>
        <w:rPr>
          <w:rFonts w:cs="Arial"/>
          <w:szCs w:val="24"/>
        </w:rPr>
      </w:pPr>
    </w:p>
    <w:p w14:paraId="44C3C6B7" w14:textId="7682A6B7" w:rsidR="00564A28" w:rsidRDefault="00564A28" w:rsidP="00732B02">
      <w:pPr>
        <w:rPr>
          <w:rFonts w:cs="Arial"/>
          <w:szCs w:val="24"/>
        </w:rPr>
      </w:pPr>
      <w:r>
        <w:rPr>
          <w:rFonts w:cs="Arial"/>
          <w:szCs w:val="24"/>
        </w:rPr>
        <w:t>The Director would seek clarity on that and ensure the matter was rectified if that had not been actioned as agreed.</w:t>
      </w:r>
    </w:p>
    <w:p w14:paraId="35956D5B" w14:textId="77777777" w:rsidR="00564A28" w:rsidRDefault="00564A28" w:rsidP="00732B02">
      <w:pPr>
        <w:rPr>
          <w:rFonts w:cs="Arial"/>
          <w:szCs w:val="24"/>
        </w:rPr>
      </w:pPr>
    </w:p>
    <w:p w14:paraId="0A5B4DBA" w14:textId="1C277600" w:rsidR="000B55AC" w:rsidRDefault="00732B02" w:rsidP="00F97B2A">
      <w:pPr>
        <w:pStyle w:val="Normal0"/>
        <w:rPr>
          <w:rFonts w:cs="Arial"/>
          <w:szCs w:val="24"/>
        </w:rPr>
      </w:pPr>
      <w:r w:rsidRPr="007F0DD5">
        <w:rPr>
          <w:b/>
          <w:bCs/>
          <w:sz w:val="24"/>
          <w:lang w:eastAsia="en-US"/>
        </w:rPr>
        <w:t xml:space="preserve">AGREED TO RECOMMEND, on the proposal of </w:t>
      </w:r>
      <w:r w:rsidR="00304B0C">
        <w:rPr>
          <w:b/>
          <w:bCs/>
          <w:sz w:val="24"/>
          <w:lang w:eastAsia="en-US"/>
        </w:rPr>
        <w:t>Alderman Smith</w:t>
      </w:r>
      <w:r w:rsidRPr="007F0DD5">
        <w:rPr>
          <w:b/>
          <w:bCs/>
          <w:sz w:val="24"/>
          <w:lang w:eastAsia="en-US"/>
        </w:rPr>
        <w:t xml:space="preserve">, seconded by </w:t>
      </w:r>
      <w:r w:rsidR="00304B0C">
        <w:rPr>
          <w:b/>
          <w:bCs/>
          <w:sz w:val="24"/>
          <w:lang w:eastAsia="en-US"/>
        </w:rPr>
        <w:t>Councillor</w:t>
      </w:r>
      <w:r w:rsidR="000D185F">
        <w:rPr>
          <w:b/>
          <w:bCs/>
          <w:sz w:val="24"/>
          <w:lang w:eastAsia="en-US"/>
        </w:rPr>
        <w:t xml:space="preserve"> W</w:t>
      </w:r>
      <w:r w:rsidR="00304B0C">
        <w:rPr>
          <w:b/>
          <w:bCs/>
          <w:sz w:val="24"/>
          <w:lang w:eastAsia="en-US"/>
        </w:rPr>
        <w:t xml:space="preserve"> Irvine</w:t>
      </w:r>
      <w:r w:rsidRPr="007F0DD5">
        <w:rPr>
          <w:b/>
          <w:bCs/>
          <w:sz w:val="24"/>
          <w:lang w:eastAsia="en-US"/>
        </w:rPr>
        <w:t xml:space="preserve">, that </w:t>
      </w:r>
      <w:r>
        <w:rPr>
          <w:b/>
          <w:bCs/>
          <w:sz w:val="24"/>
          <w:lang w:eastAsia="en-US"/>
        </w:rPr>
        <w:t>the recommendation be adopted.</w:t>
      </w:r>
    </w:p>
    <w:bookmarkEnd w:id="38"/>
    <w:p w14:paraId="0A9C4B64" w14:textId="6D68AC1C" w:rsidR="0033058C" w:rsidRPr="000C6D60" w:rsidRDefault="0033058C" w:rsidP="00147812">
      <w:pPr>
        <w:rPr>
          <w:rFonts w:cs="Arial"/>
          <w:szCs w:val="24"/>
        </w:rPr>
      </w:pPr>
    </w:p>
    <w:p w14:paraId="3FD98906" w14:textId="006860D5" w:rsidR="0033058C" w:rsidRPr="00BA11A2" w:rsidRDefault="00065A24" w:rsidP="00147812">
      <w:pPr>
        <w:pStyle w:val="Heading1"/>
        <w:ind w:left="720" w:hanging="720"/>
        <w:rPr>
          <w:rFonts w:cs="Arial"/>
          <w:b w:val="0"/>
          <w:bCs/>
          <w:caps w:val="0"/>
          <w:sz w:val="24"/>
          <w:szCs w:val="24"/>
        </w:rPr>
      </w:pPr>
      <w:r>
        <w:t>1</w:t>
      </w:r>
      <w:r w:rsidR="008E47A4">
        <w:t>4</w:t>
      </w:r>
      <w:r w:rsidR="0033058C">
        <w:t>.</w:t>
      </w:r>
      <w:r w:rsidR="0033058C">
        <w:tab/>
      </w:r>
      <w:r w:rsidR="00DD1F19">
        <w:rPr>
          <w:rFonts w:eastAsia="Calibri" w:cs="Arial"/>
          <w:szCs w:val="28"/>
          <w:u w:val="single"/>
        </w:rPr>
        <w:t>any other notified business</w:t>
      </w:r>
      <w:r w:rsidR="00392A10">
        <w:rPr>
          <w:rFonts w:cs="Arial"/>
          <w:b w:val="0"/>
          <w:bCs/>
          <w:caps w:val="0"/>
          <w:sz w:val="24"/>
          <w:szCs w:val="24"/>
        </w:rPr>
        <w:t xml:space="preserve"> </w:t>
      </w:r>
    </w:p>
    <w:p w14:paraId="176A71B1" w14:textId="77777777" w:rsidR="0033058C" w:rsidRDefault="0033058C" w:rsidP="00147812">
      <w:pPr>
        <w:rPr>
          <w:rFonts w:cs="Arial"/>
          <w:szCs w:val="24"/>
        </w:rPr>
      </w:pPr>
    </w:p>
    <w:p w14:paraId="3E5D3D88" w14:textId="6483A580" w:rsidR="001A0930" w:rsidRDefault="001A0930" w:rsidP="00147812">
      <w:pPr>
        <w:rPr>
          <w:rFonts w:cs="Arial"/>
          <w:szCs w:val="24"/>
        </w:rPr>
      </w:pPr>
      <w:r>
        <w:rPr>
          <w:rFonts w:cs="Arial"/>
          <w:szCs w:val="24"/>
        </w:rPr>
        <w:t>There were no items of Any Other Notified Business.</w:t>
      </w:r>
    </w:p>
    <w:p w14:paraId="4F6E34BE" w14:textId="77777777" w:rsidR="008E47A4" w:rsidRDefault="008E47A4" w:rsidP="00147812">
      <w:pPr>
        <w:rPr>
          <w:rFonts w:cs="Arial"/>
          <w:bCs/>
          <w:caps/>
          <w:szCs w:val="24"/>
        </w:rPr>
      </w:pPr>
    </w:p>
    <w:bookmarkEnd w:id="0"/>
    <w:p w14:paraId="31718774" w14:textId="77777777" w:rsidR="0014553A" w:rsidRPr="0014553A" w:rsidRDefault="0014553A" w:rsidP="0014553A">
      <w:pPr>
        <w:contextualSpacing/>
        <w:rPr>
          <w:rFonts w:cs="Arial"/>
          <w:b/>
          <w:bCs/>
          <w:caps/>
          <w:sz w:val="28"/>
          <w:szCs w:val="28"/>
          <w:u w:val="single"/>
        </w:rPr>
      </w:pPr>
      <w:r w:rsidRPr="0014553A">
        <w:rPr>
          <w:rFonts w:cs="Arial"/>
          <w:b/>
          <w:bCs/>
          <w:caps/>
          <w:sz w:val="28"/>
          <w:szCs w:val="28"/>
          <w:u w:val="single"/>
        </w:rPr>
        <w:t>Exclusion of Public/Press</w:t>
      </w:r>
    </w:p>
    <w:p w14:paraId="6B663AEA" w14:textId="77777777" w:rsidR="0014553A" w:rsidRPr="0014553A" w:rsidRDefault="0014553A" w:rsidP="0014553A">
      <w:pPr>
        <w:contextualSpacing/>
        <w:rPr>
          <w:rFonts w:cs="Arial"/>
          <w:b/>
          <w:bCs/>
          <w:szCs w:val="24"/>
        </w:rPr>
      </w:pPr>
    </w:p>
    <w:p w14:paraId="4BEF11AD" w14:textId="77777777" w:rsidR="0014553A" w:rsidRPr="0014553A" w:rsidRDefault="0014553A" w:rsidP="0014553A">
      <w:pPr>
        <w:contextualSpacing/>
        <w:rPr>
          <w:rFonts w:cs="Arial"/>
          <w:b/>
          <w:bCs/>
          <w:szCs w:val="24"/>
        </w:rPr>
      </w:pPr>
      <w:r w:rsidRPr="0014553A">
        <w:rPr>
          <w:rFonts w:cs="Arial"/>
          <w:b/>
          <w:bCs/>
          <w:szCs w:val="24"/>
        </w:rPr>
        <w:t xml:space="preserve">AGREED, on the proposal of Councillor Gilmour, seconded by Councillor Moore, that the public/press be excluded during the discussion of the undernoted items of confidential business. </w:t>
      </w:r>
    </w:p>
    <w:p w14:paraId="2D85FEA1" w14:textId="77777777" w:rsidR="0014553A" w:rsidRPr="0014553A" w:rsidRDefault="0014553A" w:rsidP="0014553A">
      <w:pPr>
        <w:rPr>
          <w:rFonts w:cs="Arial"/>
          <w:bCs/>
          <w:caps/>
          <w:szCs w:val="24"/>
        </w:rPr>
      </w:pPr>
    </w:p>
    <w:p w14:paraId="088625BB" w14:textId="77777777" w:rsidR="0014553A" w:rsidRPr="0014553A" w:rsidRDefault="0014553A" w:rsidP="0014553A">
      <w:pPr>
        <w:rPr>
          <w:rFonts w:cs="Arial"/>
          <w:szCs w:val="24"/>
        </w:rPr>
      </w:pPr>
    </w:p>
    <w:p w14:paraId="1D62361A" w14:textId="77777777" w:rsidR="0014553A" w:rsidRPr="0014553A" w:rsidRDefault="0014553A" w:rsidP="0014553A">
      <w:pPr>
        <w:keepNext/>
        <w:keepLines/>
        <w:ind w:left="720" w:hanging="720"/>
        <w:outlineLvl w:val="0"/>
        <w:rPr>
          <w:rFonts w:eastAsiaTheme="majorEastAsia" w:cs="Arial"/>
          <w:bCs/>
          <w:szCs w:val="24"/>
        </w:rPr>
      </w:pPr>
      <w:bookmarkStart w:id="42" w:name="_Hlk129096524"/>
      <w:r w:rsidRPr="0014553A">
        <w:rPr>
          <w:rFonts w:eastAsiaTheme="majorEastAsia" w:cstheme="majorBidi"/>
          <w:b/>
          <w:caps/>
          <w:sz w:val="28"/>
          <w:szCs w:val="32"/>
        </w:rPr>
        <w:t>15.</w:t>
      </w:r>
      <w:r w:rsidRPr="0014553A">
        <w:rPr>
          <w:rFonts w:eastAsiaTheme="majorEastAsia" w:cstheme="majorBidi"/>
          <w:b/>
          <w:caps/>
          <w:sz w:val="28"/>
          <w:szCs w:val="32"/>
        </w:rPr>
        <w:tab/>
      </w:r>
      <w:r w:rsidRPr="0014553A">
        <w:rPr>
          <w:rFonts w:eastAsiaTheme="majorEastAsia" w:cs="Arial"/>
          <w:b/>
          <w:caps/>
          <w:sz w:val="28"/>
          <w:szCs w:val="28"/>
          <w:u w:val="single"/>
        </w:rPr>
        <w:t>APSE report on Sickness Absence and Draft Absence Management Action Plan</w:t>
      </w:r>
    </w:p>
    <w:p w14:paraId="5BC23BA4" w14:textId="77777777" w:rsidR="0014553A" w:rsidRPr="0014553A" w:rsidRDefault="0014553A" w:rsidP="0014553A">
      <w:r w:rsidRPr="0014553A">
        <w:tab/>
      </w:r>
      <w:bookmarkStart w:id="43" w:name="_Hlk138080484"/>
      <w:r w:rsidRPr="0014553A">
        <w:t>(Appendix XV)</w:t>
      </w:r>
      <w:bookmarkEnd w:id="43"/>
    </w:p>
    <w:p w14:paraId="4576E542" w14:textId="77777777" w:rsidR="0014553A" w:rsidRPr="0014553A" w:rsidRDefault="0014553A" w:rsidP="0014553A"/>
    <w:p w14:paraId="7D45F747"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002C6AFD" w14:textId="77777777" w:rsidR="0014553A" w:rsidRPr="0014553A" w:rsidRDefault="0014553A" w:rsidP="0014553A">
      <w:pPr>
        <w:shd w:val="clear" w:color="auto" w:fill="FFFFFF"/>
        <w:rPr>
          <w:rFonts w:eastAsia="Times New Roman" w:cs="Arial"/>
          <w:szCs w:val="24"/>
        </w:rPr>
      </w:pPr>
    </w:p>
    <w:p w14:paraId="431119B1"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02137479" w14:textId="77777777" w:rsidR="0014553A" w:rsidRPr="0014553A" w:rsidRDefault="0014553A" w:rsidP="0014553A">
      <w:pPr>
        <w:shd w:val="clear" w:color="auto" w:fill="FFFFFF"/>
        <w:rPr>
          <w:rFonts w:eastAsia="Times New Roman" w:cs="Arial"/>
          <w:szCs w:val="24"/>
        </w:rPr>
      </w:pPr>
    </w:p>
    <w:p w14:paraId="3F67E74D" w14:textId="066692F1" w:rsidR="0014553A" w:rsidRDefault="00282108" w:rsidP="0014553A">
      <w:pPr>
        <w:shd w:val="clear" w:color="auto" w:fill="FFFFFF"/>
        <w:rPr>
          <w:rFonts w:eastAsia="Times New Roman" w:cs="Arial"/>
          <w:szCs w:val="24"/>
        </w:rPr>
      </w:pPr>
      <w:r>
        <w:rPr>
          <w:rFonts w:eastAsia="Times New Roman" w:cs="Arial"/>
          <w:szCs w:val="24"/>
        </w:rPr>
        <w:t xml:space="preserve">A report was presented from the Director of Corporate Services which had been commissioned from APSE to examine the Council’s absence management.  An action plan to address issues raised by the report was also presented.  </w:t>
      </w:r>
    </w:p>
    <w:p w14:paraId="04728039" w14:textId="77777777" w:rsidR="00282108" w:rsidRDefault="00282108" w:rsidP="0014553A">
      <w:pPr>
        <w:shd w:val="clear" w:color="auto" w:fill="FFFFFF"/>
        <w:rPr>
          <w:rFonts w:eastAsia="Times New Roman" w:cs="Arial"/>
          <w:szCs w:val="24"/>
        </w:rPr>
      </w:pPr>
    </w:p>
    <w:bookmarkEnd w:id="42"/>
    <w:p w14:paraId="3BDD754D" w14:textId="1115A622" w:rsidR="00282108" w:rsidRDefault="00282108" w:rsidP="00282108">
      <w:pPr>
        <w:rPr>
          <w:rFonts w:cs="Arial"/>
          <w:szCs w:val="24"/>
        </w:rPr>
      </w:pPr>
      <w:r>
        <w:rPr>
          <w:rFonts w:cs="Arial"/>
          <w:szCs w:val="24"/>
        </w:rPr>
        <w:t xml:space="preserve">The report recommended that </w:t>
      </w:r>
      <w:r w:rsidRPr="00DD1F19">
        <w:rPr>
          <w:rFonts w:cs="Arial"/>
          <w:szCs w:val="24"/>
        </w:rPr>
        <w:t>Council approv</w:t>
      </w:r>
      <w:r>
        <w:rPr>
          <w:rFonts w:cs="Arial"/>
          <w:szCs w:val="24"/>
        </w:rPr>
        <w:t>e</w:t>
      </w:r>
      <w:r w:rsidR="00562026">
        <w:rPr>
          <w:rFonts w:cs="Arial"/>
          <w:szCs w:val="24"/>
        </w:rPr>
        <w:t>s</w:t>
      </w:r>
      <w:r>
        <w:rPr>
          <w:rFonts w:cs="Arial"/>
          <w:szCs w:val="24"/>
        </w:rPr>
        <w:t xml:space="preserve"> the a</w:t>
      </w:r>
      <w:r w:rsidRPr="00DD1F19">
        <w:rPr>
          <w:rFonts w:cs="Arial"/>
          <w:szCs w:val="24"/>
        </w:rPr>
        <w:t xml:space="preserve">bsence </w:t>
      </w:r>
      <w:r>
        <w:rPr>
          <w:rFonts w:cs="Arial"/>
          <w:szCs w:val="24"/>
        </w:rPr>
        <w:t>r</w:t>
      </w:r>
      <w:r w:rsidRPr="00DD1F19">
        <w:rPr>
          <w:rFonts w:cs="Arial"/>
          <w:szCs w:val="24"/>
        </w:rPr>
        <w:t>eport for noting</w:t>
      </w:r>
      <w:r>
        <w:rPr>
          <w:rFonts w:cs="Arial"/>
          <w:szCs w:val="24"/>
        </w:rPr>
        <w:t xml:space="preserve"> and the a</w:t>
      </w:r>
      <w:r w:rsidRPr="00DD1F19">
        <w:rPr>
          <w:rFonts w:cs="Arial"/>
          <w:szCs w:val="24"/>
        </w:rPr>
        <w:t xml:space="preserve">bsence </w:t>
      </w:r>
      <w:r>
        <w:rPr>
          <w:rFonts w:cs="Arial"/>
          <w:szCs w:val="24"/>
        </w:rPr>
        <w:t>m</w:t>
      </w:r>
      <w:r w:rsidRPr="00DD1F19">
        <w:rPr>
          <w:rFonts w:cs="Arial"/>
          <w:szCs w:val="24"/>
        </w:rPr>
        <w:t xml:space="preserve">anagement </w:t>
      </w:r>
      <w:r>
        <w:rPr>
          <w:rFonts w:cs="Arial"/>
          <w:szCs w:val="24"/>
        </w:rPr>
        <w:t>a</w:t>
      </w:r>
      <w:r w:rsidRPr="00DD1F19">
        <w:rPr>
          <w:rFonts w:cs="Arial"/>
          <w:szCs w:val="24"/>
        </w:rPr>
        <w:t xml:space="preserve">ction </w:t>
      </w:r>
      <w:r>
        <w:rPr>
          <w:rFonts w:cs="Arial"/>
          <w:szCs w:val="24"/>
        </w:rPr>
        <w:t>p</w:t>
      </w:r>
      <w:r w:rsidRPr="00DD1F19">
        <w:rPr>
          <w:rFonts w:cs="Arial"/>
          <w:szCs w:val="24"/>
        </w:rPr>
        <w:t>lan for implementation.</w:t>
      </w:r>
    </w:p>
    <w:p w14:paraId="6AC02081" w14:textId="77777777" w:rsidR="003A08AB" w:rsidRDefault="003A08AB" w:rsidP="00282108">
      <w:pPr>
        <w:rPr>
          <w:rFonts w:cs="Arial"/>
          <w:szCs w:val="24"/>
        </w:rPr>
      </w:pPr>
    </w:p>
    <w:p w14:paraId="494D3136" w14:textId="7939EF16" w:rsidR="003A08AB" w:rsidRPr="00F12FB9" w:rsidRDefault="003A08AB" w:rsidP="00F006C2">
      <w:pPr>
        <w:shd w:val="clear" w:color="auto" w:fill="FFFFFF"/>
        <w:rPr>
          <w:rFonts w:cs="Arial"/>
          <w:szCs w:val="24"/>
        </w:rPr>
      </w:pPr>
      <w:r w:rsidRPr="0014553A">
        <w:rPr>
          <w:rFonts w:eastAsia="Times New Roman" w:cs="Arial"/>
          <w:szCs w:val="24"/>
        </w:rPr>
        <w:t>The recommendation was AGREED.</w:t>
      </w:r>
    </w:p>
    <w:p w14:paraId="1021484C" w14:textId="77777777" w:rsidR="0014553A" w:rsidRPr="0014553A" w:rsidRDefault="0014553A" w:rsidP="0014553A">
      <w:pPr>
        <w:rPr>
          <w:rFonts w:cs="Arial"/>
          <w:b/>
          <w:bCs/>
          <w:szCs w:val="24"/>
        </w:rPr>
      </w:pPr>
    </w:p>
    <w:p w14:paraId="67DF557D" w14:textId="77777777" w:rsidR="0014553A" w:rsidRPr="0014553A" w:rsidRDefault="0014553A" w:rsidP="0014553A">
      <w:pPr>
        <w:keepNext/>
        <w:keepLines/>
        <w:ind w:left="720" w:hanging="720"/>
        <w:outlineLvl w:val="0"/>
        <w:rPr>
          <w:rFonts w:eastAsiaTheme="majorEastAsia" w:cs="Arial"/>
          <w:b/>
          <w:caps/>
          <w:sz w:val="28"/>
          <w:szCs w:val="28"/>
          <w:u w:val="single"/>
        </w:rPr>
      </w:pPr>
      <w:bookmarkStart w:id="44" w:name="_Hlk138080761"/>
      <w:r w:rsidRPr="0014553A">
        <w:rPr>
          <w:rFonts w:eastAsiaTheme="majorEastAsia" w:cstheme="majorBidi"/>
          <w:b/>
          <w:caps/>
          <w:sz w:val="28"/>
          <w:szCs w:val="32"/>
        </w:rPr>
        <w:t>16.</w:t>
      </w:r>
      <w:r w:rsidRPr="0014553A">
        <w:rPr>
          <w:rFonts w:eastAsiaTheme="majorEastAsia" w:cstheme="majorBidi"/>
          <w:b/>
          <w:caps/>
          <w:sz w:val="28"/>
          <w:szCs w:val="32"/>
        </w:rPr>
        <w:tab/>
      </w:r>
      <w:r w:rsidRPr="0014553A">
        <w:rPr>
          <w:rFonts w:eastAsiaTheme="majorEastAsia" w:cs="Arial"/>
          <w:b/>
          <w:caps/>
          <w:sz w:val="28"/>
          <w:szCs w:val="28"/>
          <w:u w:val="single"/>
        </w:rPr>
        <w:t>Request from Geda Construction Limited to place a site compound in Ward Park</w:t>
      </w:r>
    </w:p>
    <w:p w14:paraId="7DDF79FE" w14:textId="77777777" w:rsidR="0014553A" w:rsidRPr="0014553A" w:rsidRDefault="0014553A" w:rsidP="0014553A">
      <w:pPr>
        <w:ind w:firstLine="720"/>
      </w:pPr>
      <w:r w:rsidRPr="0014553A">
        <w:t>(Appendix XVI - XVIII)</w:t>
      </w:r>
    </w:p>
    <w:p w14:paraId="01580076" w14:textId="77777777" w:rsidR="0014553A" w:rsidRPr="0014553A" w:rsidRDefault="0014553A" w:rsidP="0014553A"/>
    <w:p w14:paraId="281653A9"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7B9434FC" w14:textId="77777777" w:rsidR="0014553A" w:rsidRPr="0014553A" w:rsidRDefault="0014553A" w:rsidP="0014553A">
      <w:pPr>
        <w:shd w:val="clear" w:color="auto" w:fill="FFFFFF"/>
        <w:rPr>
          <w:rFonts w:eastAsia="Times New Roman" w:cs="Arial"/>
          <w:szCs w:val="24"/>
        </w:rPr>
      </w:pPr>
    </w:p>
    <w:p w14:paraId="7FC1B4E5"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4545BBD6" w14:textId="77777777" w:rsidR="0014553A" w:rsidRPr="0014553A" w:rsidRDefault="0014553A" w:rsidP="0014553A">
      <w:pPr>
        <w:shd w:val="clear" w:color="auto" w:fill="FFFFFF"/>
        <w:rPr>
          <w:rFonts w:eastAsia="Times New Roman" w:cs="Arial"/>
          <w:szCs w:val="24"/>
        </w:rPr>
      </w:pPr>
    </w:p>
    <w:p w14:paraId="1F43EA52" w14:textId="1E658BDA" w:rsidR="0014553A" w:rsidRPr="0014553A" w:rsidRDefault="0014553A" w:rsidP="0014553A">
      <w:pPr>
        <w:shd w:val="clear" w:color="auto" w:fill="FFFFFF"/>
        <w:rPr>
          <w:rFonts w:eastAsia="Times New Roman" w:cs="Arial"/>
          <w:szCs w:val="24"/>
        </w:rPr>
      </w:pPr>
      <w:r w:rsidRPr="0014553A">
        <w:rPr>
          <w:rFonts w:eastAsia="Times New Roman" w:cs="Arial"/>
          <w:szCs w:val="24"/>
        </w:rPr>
        <w:t>Council ha</w:t>
      </w:r>
      <w:r w:rsidR="00F006C2">
        <w:rPr>
          <w:rFonts w:eastAsia="Times New Roman" w:cs="Arial"/>
          <w:szCs w:val="24"/>
        </w:rPr>
        <w:t>d</w:t>
      </w:r>
      <w:r w:rsidRPr="0014553A">
        <w:rPr>
          <w:rFonts w:eastAsia="Times New Roman" w:cs="Arial"/>
          <w:szCs w:val="24"/>
        </w:rPr>
        <w:t xml:space="preserve"> received a request from a contractor, Geda Construction Limited, acting on behalf of NI Water, seeking permission to locate a temporary site compound within Ward Park in order to facilitate works to rehabilitate an existing combined sewer through the Park. </w:t>
      </w:r>
    </w:p>
    <w:p w14:paraId="0B80FCA5" w14:textId="77777777" w:rsidR="0014553A" w:rsidRPr="0014553A" w:rsidRDefault="0014553A" w:rsidP="0014553A">
      <w:pPr>
        <w:shd w:val="clear" w:color="auto" w:fill="FFFFFF"/>
        <w:rPr>
          <w:rFonts w:eastAsia="Times New Roman" w:cs="Arial"/>
          <w:szCs w:val="24"/>
        </w:rPr>
      </w:pPr>
      <w:r w:rsidRPr="0014553A">
        <w:rPr>
          <w:rFonts w:eastAsia="Times New Roman" w:cs="Arial"/>
          <w:szCs w:val="24"/>
        </w:rPr>
        <w:t xml:space="preserve"> </w:t>
      </w:r>
    </w:p>
    <w:p w14:paraId="13F4DBB8" w14:textId="5652199A" w:rsidR="00562026" w:rsidRPr="00562026" w:rsidRDefault="00562026" w:rsidP="00562026">
      <w:pPr>
        <w:shd w:val="clear" w:color="auto" w:fill="FFFFFF"/>
        <w:rPr>
          <w:rFonts w:eastAsia="Times New Roman" w:cs="Arial"/>
          <w:szCs w:val="24"/>
        </w:rPr>
      </w:pPr>
      <w:r w:rsidRPr="00562026">
        <w:rPr>
          <w:rFonts w:eastAsia="Times New Roman" w:cs="Arial"/>
          <w:szCs w:val="24"/>
        </w:rPr>
        <w:t xml:space="preserve">It </w:t>
      </w:r>
      <w:r>
        <w:rPr>
          <w:rFonts w:eastAsia="Times New Roman" w:cs="Arial"/>
          <w:szCs w:val="24"/>
        </w:rPr>
        <w:t xml:space="preserve">was </w:t>
      </w:r>
      <w:r w:rsidRPr="00562026">
        <w:rPr>
          <w:rFonts w:eastAsia="Times New Roman" w:cs="Arial"/>
          <w:szCs w:val="24"/>
        </w:rPr>
        <w:t xml:space="preserve">recommended that Council accedes to the request and grants a licence to NI Water/Geda Construction Limited for a period of 3 months or on completion of the work (whichever is sooner) subject to the terms and conditions as listed </w:t>
      </w:r>
      <w:r>
        <w:rPr>
          <w:rFonts w:eastAsia="Times New Roman" w:cs="Arial"/>
          <w:szCs w:val="24"/>
        </w:rPr>
        <w:t>in the report</w:t>
      </w:r>
      <w:r w:rsidRPr="00562026">
        <w:rPr>
          <w:rFonts w:eastAsia="Times New Roman" w:cs="Arial"/>
          <w:szCs w:val="24"/>
        </w:rPr>
        <w:t>. </w:t>
      </w:r>
    </w:p>
    <w:p w14:paraId="3CB10EF4" w14:textId="77777777" w:rsidR="00562026" w:rsidRDefault="00562026" w:rsidP="0014553A">
      <w:pPr>
        <w:shd w:val="clear" w:color="auto" w:fill="FFFFFF"/>
        <w:rPr>
          <w:rFonts w:eastAsia="Times New Roman" w:cs="Arial"/>
          <w:szCs w:val="24"/>
        </w:rPr>
      </w:pPr>
    </w:p>
    <w:p w14:paraId="78BC60FA" w14:textId="37DD37C3" w:rsidR="0014553A" w:rsidRPr="0014553A" w:rsidRDefault="00562026" w:rsidP="0014553A">
      <w:pPr>
        <w:shd w:val="clear" w:color="auto" w:fill="FFFFFF"/>
        <w:rPr>
          <w:rFonts w:eastAsia="Times New Roman" w:cs="Arial"/>
          <w:szCs w:val="24"/>
        </w:rPr>
      </w:pPr>
      <w:r>
        <w:rPr>
          <w:rFonts w:eastAsia="Times New Roman" w:cs="Arial"/>
          <w:szCs w:val="24"/>
        </w:rPr>
        <w:t>T</w:t>
      </w:r>
      <w:r w:rsidR="0014553A" w:rsidRPr="0014553A">
        <w:rPr>
          <w:rFonts w:eastAsia="Times New Roman" w:cs="Arial"/>
          <w:szCs w:val="24"/>
        </w:rPr>
        <w:t>he recommendation was AGREED.</w:t>
      </w:r>
    </w:p>
    <w:bookmarkEnd w:id="44"/>
    <w:p w14:paraId="6DE15F0A" w14:textId="77777777" w:rsidR="0014553A" w:rsidRPr="0014553A" w:rsidRDefault="0014553A" w:rsidP="0014553A">
      <w:pPr>
        <w:rPr>
          <w:rFonts w:cs="Arial"/>
          <w:szCs w:val="24"/>
        </w:rPr>
      </w:pPr>
    </w:p>
    <w:p w14:paraId="7A07E529" w14:textId="77777777" w:rsidR="0014553A" w:rsidRPr="0014553A" w:rsidRDefault="0014553A" w:rsidP="0014553A">
      <w:pPr>
        <w:keepNext/>
        <w:keepLines/>
        <w:ind w:left="720" w:hanging="720"/>
        <w:outlineLvl w:val="0"/>
        <w:rPr>
          <w:rFonts w:eastAsiaTheme="majorEastAsia" w:cs="Arial"/>
          <w:b/>
          <w:caps/>
          <w:sz w:val="28"/>
          <w:szCs w:val="28"/>
          <w:u w:val="single"/>
        </w:rPr>
      </w:pPr>
      <w:bookmarkStart w:id="45" w:name="_Hlk138080796"/>
      <w:r w:rsidRPr="0014553A">
        <w:rPr>
          <w:rFonts w:eastAsiaTheme="majorEastAsia" w:cstheme="majorBidi"/>
          <w:b/>
          <w:caps/>
          <w:sz w:val="28"/>
          <w:szCs w:val="32"/>
        </w:rPr>
        <w:t>17.</w:t>
      </w:r>
      <w:r w:rsidRPr="0014553A">
        <w:rPr>
          <w:rFonts w:eastAsiaTheme="majorEastAsia" w:cstheme="majorBidi"/>
          <w:b/>
          <w:caps/>
          <w:sz w:val="28"/>
          <w:szCs w:val="32"/>
        </w:rPr>
        <w:tab/>
      </w:r>
      <w:r w:rsidRPr="0014553A">
        <w:rPr>
          <w:rFonts w:eastAsiaTheme="majorEastAsia" w:cs="Arial"/>
          <w:b/>
          <w:caps/>
          <w:sz w:val="28"/>
          <w:szCs w:val="28"/>
          <w:u w:val="single"/>
        </w:rPr>
        <w:t>Licence to Parkrun NI - sites at Ward Park, Bangor; Parkway, Comber; and Bangor Sportsplex (FILE LP)</w:t>
      </w:r>
    </w:p>
    <w:p w14:paraId="1BEF50B4" w14:textId="77777777" w:rsidR="0014553A" w:rsidRPr="0014553A" w:rsidRDefault="0014553A" w:rsidP="0014553A">
      <w:pPr>
        <w:ind w:firstLine="720"/>
      </w:pPr>
      <w:bookmarkStart w:id="46" w:name="_Hlk138081196"/>
      <w:r w:rsidRPr="0014553A">
        <w:t>(Appendix XIX - XXI)</w:t>
      </w:r>
    </w:p>
    <w:bookmarkEnd w:id="46"/>
    <w:p w14:paraId="46F7D824" w14:textId="77777777" w:rsidR="0014553A" w:rsidRPr="0014553A" w:rsidRDefault="0014553A" w:rsidP="0014553A"/>
    <w:p w14:paraId="2D2BB33F"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00884D62" w14:textId="77777777" w:rsidR="0014553A" w:rsidRPr="0014553A" w:rsidRDefault="0014553A" w:rsidP="0014553A">
      <w:pPr>
        <w:shd w:val="clear" w:color="auto" w:fill="FFFFFF"/>
        <w:rPr>
          <w:rFonts w:eastAsia="Times New Roman" w:cs="Arial"/>
          <w:szCs w:val="24"/>
        </w:rPr>
      </w:pPr>
    </w:p>
    <w:p w14:paraId="080D65BF" w14:textId="77777777" w:rsidR="0014553A" w:rsidRPr="0014553A" w:rsidRDefault="0014553A" w:rsidP="0014553A">
      <w:pPr>
        <w:rPr>
          <w:rFonts w:cs="Arial"/>
          <w:b/>
          <w:bCs/>
          <w:szCs w:val="24"/>
        </w:rPr>
      </w:pPr>
      <w:r w:rsidRPr="0014553A">
        <w:rPr>
          <w:b/>
          <w:bCs/>
        </w:rPr>
        <w:lastRenderedPageBreak/>
        <w:t>NOT FOR PUBLICATION SCHEDULE 6 – INFORMATION RELATING TO THE FINANCIAL OR BUSINESS AFFAIRS OF ANY PARTICULAR PERSON (INCLUDING THE COUNCIL HOLDNG THAT INFORMATION)</w:t>
      </w:r>
    </w:p>
    <w:p w14:paraId="05050C42" w14:textId="77777777" w:rsidR="0014553A" w:rsidRPr="0014553A" w:rsidRDefault="0014553A" w:rsidP="0014553A">
      <w:pPr>
        <w:shd w:val="clear" w:color="auto" w:fill="FFFFFF"/>
        <w:rPr>
          <w:rFonts w:eastAsia="Times New Roman" w:cs="Arial"/>
          <w:szCs w:val="24"/>
        </w:rPr>
      </w:pPr>
    </w:p>
    <w:p w14:paraId="226AF275" w14:textId="5C6DEEBE" w:rsidR="00562026" w:rsidRDefault="0014553A" w:rsidP="0014553A">
      <w:pPr>
        <w:shd w:val="clear" w:color="auto" w:fill="FFFFFF"/>
        <w:rPr>
          <w:rStyle w:val="ui-provider"/>
        </w:rPr>
      </w:pPr>
      <w:r w:rsidRPr="0014553A">
        <w:rPr>
          <w:rFonts w:eastAsia="Times New Roman" w:cs="Arial"/>
          <w:szCs w:val="24"/>
        </w:rPr>
        <w:t xml:space="preserve">There </w:t>
      </w:r>
      <w:r w:rsidR="00F006C2">
        <w:rPr>
          <w:rFonts w:eastAsia="Times New Roman" w:cs="Arial"/>
          <w:szCs w:val="24"/>
        </w:rPr>
        <w:t>were</w:t>
      </w:r>
      <w:r w:rsidRPr="0014553A">
        <w:rPr>
          <w:rFonts w:eastAsia="Times New Roman" w:cs="Arial"/>
          <w:szCs w:val="24"/>
        </w:rPr>
        <w:t xml:space="preserve"> currently </w:t>
      </w:r>
      <w:r w:rsidR="00F006C2">
        <w:rPr>
          <w:rFonts w:eastAsia="Times New Roman" w:cs="Arial"/>
          <w:szCs w:val="24"/>
        </w:rPr>
        <w:t>three</w:t>
      </w:r>
      <w:r w:rsidRPr="0014553A">
        <w:rPr>
          <w:rFonts w:eastAsia="Times New Roman" w:cs="Arial"/>
          <w:szCs w:val="24"/>
        </w:rPr>
        <w:t xml:space="preserve"> weekly parkrun events held on Council land at Ward Park; Parkway, Comber; and Bangor Sportsplex (Junior Parkrun). To regularise these arrangements, </w:t>
      </w:r>
      <w:r w:rsidR="00562026">
        <w:rPr>
          <w:rFonts w:eastAsia="Times New Roman" w:cs="Arial"/>
          <w:szCs w:val="24"/>
        </w:rPr>
        <w:t>i</w:t>
      </w:r>
      <w:r w:rsidR="00562026">
        <w:rPr>
          <w:rStyle w:val="ui-provider"/>
        </w:rPr>
        <w:t xml:space="preserve">t was recommended that the Council accedes to the request and grants a licence to Parkrun NI for a period of </w:t>
      </w:r>
      <w:r w:rsidR="00F006C2">
        <w:rPr>
          <w:rStyle w:val="ui-provider"/>
        </w:rPr>
        <w:t>five</w:t>
      </w:r>
      <w:r w:rsidR="00562026">
        <w:rPr>
          <w:rStyle w:val="ui-provider"/>
        </w:rPr>
        <w:t xml:space="preserve"> years subject to the terms and conditions as listed in the report.</w:t>
      </w:r>
    </w:p>
    <w:p w14:paraId="6E094E4B" w14:textId="25435043" w:rsidR="0014553A" w:rsidRPr="0014553A" w:rsidRDefault="0014553A" w:rsidP="0014553A">
      <w:pPr>
        <w:shd w:val="clear" w:color="auto" w:fill="FFFFFF"/>
        <w:rPr>
          <w:rFonts w:eastAsia="Times New Roman" w:cs="Arial"/>
          <w:szCs w:val="24"/>
        </w:rPr>
      </w:pPr>
      <w:r w:rsidRPr="0014553A">
        <w:rPr>
          <w:rFonts w:eastAsia="Times New Roman" w:cs="Arial"/>
          <w:szCs w:val="24"/>
        </w:rPr>
        <w:t xml:space="preserve"> </w:t>
      </w:r>
    </w:p>
    <w:p w14:paraId="760D8BD7" w14:textId="77777777" w:rsidR="0014553A" w:rsidRPr="0014553A" w:rsidRDefault="0014553A" w:rsidP="0014553A">
      <w:pPr>
        <w:shd w:val="clear" w:color="auto" w:fill="FFFFFF"/>
        <w:rPr>
          <w:rFonts w:eastAsia="Times New Roman" w:cs="Arial"/>
          <w:szCs w:val="24"/>
        </w:rPr>
      </w:pPr>
      <w:r w:rsidRPr="0014553A">
        <w:rPr>
          <w:rFonts w:eastAsia="Times New Roman" w:cs="Arial"/>
          <w:szCs w:val="24"/>
        </w:rPr>
        <w:t>The recommendation was AGREED.</w:t>
      </w:r>
    </w:p>
    <w:bookmarkEnd w:id="45"/>
    <w:p w14:paraId="00BAB19E" w14:textId="77777777" w:rsidR="0014553A" w:rsidRPr="0014553A" w:rsidRDefault="0014553A" w:rsidP="0014553A">
      <w:pPr>
        <w:rPr>
          <w:rFonts w:cs="Arial"/>
          <w:szCs w:val="24"/>
        </w:rPr>
      </w:pPr>
    </w:p>
    <w:p w14:paraId="153CAD47" w14:textId="77777777" w:rsidR="0014553A" w:rsidRPr="0014553A" w:rsidRDefault="0014553A" w:rsidP="0014553A">
      <w:pPr>
        <w:keepNext/>
        <w:keepLines/>
        <w:ind w:left="720" w:hanging="720"/>
        <w:outlineLvl w:val="0"/>
        <w:rPr>
          <w:rFonts w:eastAsiaTheme="majorEastAsia" w:cs="Arial"/>
          <w:b/>
          <w:caps/>
          <w:sz w:val="28"/>
          <w:szCs w:val="28"/>
          <w:u w:val="single"/>
        </w:rPr>
      </w:pPr>
      <w:r w:rsidRPr="0014553A">
        <w:rPr>
          <w:rFonts w:eastAsiaTheme="majorEastAsia" w:cstheme="majorBidi"/>
          <w:b/>
          <w:caps/>
          <w:sz w:val="28"/>
          <w:szCs w:val="32"/>
        </w:rPr>
        <w:t>18.</w:t>
      </w:r>
      <w:r w:rsidRPr="0014553A">
        <w:rPr>
          <w:rFonts w:eastAsiaTheme="majorEastAsia" w:cstheme="majorBidi"/>
          <w:b/>
          <w:caps/>
          <w:sz w:val="28"/>
          <w:szCs w:val="32"/>
        </w:rPr>
        <w:tab/>
      </w:r>
      <w:r w:rsidRPr="0014553A">
        <w:rPr>
          <w:rFonts w:eastAsiaTheme="majorEastAsia" w:cs="Arial"/>
          <w:b/>
          <w:caps/>
          <w:sz w:val="28"/>
          <w:szCs w:val="28"/>
          <w:u w:val="single"/>
        </w:rPr>
        <w:t>Renewal of the Lease to Copelands Marina Limited of the Boatyard at Marine Drive, Donaghadee</w:t>
      </w:r>
    </w:p>
    <w:p w14:paraId="53D03D15" w14:textId="77777777" w:rsidR="0014553A" w:rsidRPr="0014553A" w:rsidRDefault="0014553A" w:rsidP="0014553A">
      <w:pPr>
        <w:ind w:firstLine="720"/>
      </w:pPr>
      <w:r w:rsidRPr="0014553A">
        <w:t>(Appendix XXII)</w:t>
      </w:r>
    </w:p>
    <w:p w14:paraId="76C42E1F" w14:textId="77777777" w:rsidR="0014553A" w:rsidRPr="0014553A" w:rsidRDefault="0014553A" w:rsidP="0014553A">
      <w:pPr>
        <w:contextualSpacing/>
        <w:rPr>
          <w:rFonts w:eastAsia="Times New Roman" w:cs="Arial"/>
          <w:b/>
          <w:szCs w:val="24"/>
          <w:lang w:eastAsia="en-GB"/>
        </w:rPr>
      </w:pPr>
    </w:p>
    <w:p w14:paraId="5F2A5B8A"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770695C5" w14:textId="77777777" w:rsidR="0014553A" w:rsidRPr="0014553A" w:rsidRDefault="0014553A" w:rsidP="0014553A">
      <w:pPr>
        <w:shd w:val="clear" w:color="auto" w:fill="FFFFFF"/>
        <w:rPr>
          <w:rFonts w:eastAsia="Times New Roman" w:cs="Arial"/>
          <w:szCs w:val="24"/>
        </w:rPr>
      </w:pPr>
    </w:p>
    <w:p w14:paraId="52ACA233"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43D74D47" w14:textId="77777777" w:rsidR="0014553A" w:rsidRPr="0014553A" w:rsidRDefault="0014553A" w:rsidP="0014553A">
      <w:pPr>
        <w:shd w:val="clear" w:color="auto" w:fill="FFFFFF"/>
        <w:rPr>
          <w:rFonts w:eastAsia="Times New Roman" w:cs="Arial"/>
          <w:szCs w:val="24"/>
        </w:rPr>
      </w:pPr>
    </w:p>
    <w:p w14:paraId="5F78CF26" w14:textId="6D1FA161" w:rsidR="00562026" w:rsidRDefault="0014553A" w:rsidP="0014553A">
      <w:pPr>
        <w:shd w:val="clear" w:color="auto" w:fill="FFFFFF"/>
        <w:rPr>
          <w:rFonts w:eastAsia="Times New Roman" w:cs="Arial"/>
          <w:szCs w:val="24"/>
        </w:rPr>
      </w:pPr>
      <w:r w:rsidRPr="0014553A">
        <w:rPr>
          <w:rFonts w:eastAsia="Times New Roman" w:cs="Arial"/>
          <w:szCs w:val="24"/>
        </w:rPr>
        <w:t>The Council lease</w:t>
      </w:r>
      <w:r w:rsidR="00F006C2">
        <w:rPr>
          <w:rFonts w:eastAsia="Times New Roman" w:cs="Arial"/>
          <w:szCs w:val="24"/>
        </w:rPr>
        <w:t>d</w:t>
      </w:r>
      <w:r w:rsidRPr="0014553A">
        <w:rPr>
          <w:rFonts w:eastAsia="Times New Roman" w:cs="Arial"/>
          <w:szCs w:val="24"/>
        </w:rPr>
        <w:t xml:space="preserve"> the Boatyard at Marine Drive to Copelands Marina Limited. The</w:t>
      </w:r>
      <w:r w:rsidR="00562026">
        <w:rPr>
          <w:rFonts w:eastAsia="Times New Roman" w:cs="Arial"/>
          <w:szCs w:val="24"/>
        </w:rPr>
        <w:t xml:space="preserve"> report </w:t>
      </w:r>
      <w:r w:rsidR="00562026">
        <w:rPr>
          <w:rStyle w:val="ui-provider"/>
        </w:rPr>
        <w:t>recommended that Council agrees to grant a further Lease of the Boatyard to Copelands Marina Limited for a period of 10 years subject to the terms and conditions listed in the report.</w:t>
      </w:r>
    </w:p>
    <w:p w14:paraId="19931CDD" w14:textId="26AD13A5" w:rsidR="0014553A" w:rsidRPr="0014553A" w:rsidRDefault="0014553A" w:rsidP="0014553A">
      <w:pPr>
        <w:shd w:val="clear" w:color="auto" w:fill="FFFFFF"/>
        <w:rPr>
          <w:rFonts w:eastAsia="Times New Roman" w:cs="Arial"/>
          <w:szCs w:val="24"/>
        </w:rPr>
      </w:pPr>
      <w:r w:rsidRPr="0014553A">
        <w:rPr>
          <w:rFonts w:eastAsia="Times New Roman" w:cs="Arial"/>
          <w:szCs w:val="24"/>
        </w:rPr>
        <w:t xml:space="preserve"> </w:t>
      </w:r>
    </w:p>
    <w:p w14:paraId="3BC7076D" w14:textId="77777777" w:rsidR="0014553A" w:rsidRPr="0014553A" w:rsidRDefault="0014553A" w:rsidP="0014553A">
      <w:pPr>
        <w:shd w:val="clear" w:color="auto" w:fill="FFFFFF"/>
        <w:rPr>
          <w:rFonts w:eastAsia="Times New Roman" w:cs="Arial"/>
          <w:szCs w:val="24"/>
        </w:rPr>
      </w:pPr>
      <w:r w:rsidRPr="0014553A">
        <w:rPr>
          <w:rFonts w:eastAsia="Times New Roman" w:cs="Arial"/>
          <w:szCs w:val="24"/>
        </w:rPr>
        <w:t>The recommendation was AGREED.</w:t>
      </w:r>
    </w:p>
    <w:p w14:paraId="5D74C2D4" w14:textId="77777777" w:rsidR="0014553A" w:rsidRPr="0014553A" w:rsidRDefault="0014553A" w:rsidP="0014553A">
      <w:pPr>
        <w:rPr>
          <w:rFonts w:cs="Arial"/>
          <w:szCs w:val="24"/>
        </w:rPr>
      </w:pPr>
    </w:p>
    <w:p w14:paraId="63631DDF" w14:textId="3D8D6206" w:rsidR="0014553A" w:rsidRPr="0014553A" w:rsidRDefault="0014553A" w:rsidP="0014553A">
      <w:pPr>
        <w:keepNext/>
        <w:keepLines/>
        <w:ind w:left="720" w:hanging="720"/>
        <w:outlineLvl w:val="0"/>
        <w:rPr>
          <w:rFonts w:eastAsiaTheme="majorEastAsia" w:cs="Arial"/>
          <w:b/>
          <w:caps/>
          <w:sz w:val="28"/>
          <w:szCs w:val="28"/>
          <w:u w:val="single"/>
        </w:rPr>
      </w:pPr>
      <w:r w:rsidRPr="0014553A">
        <w:rPr>
          <w:rFonts w:eastAsiaTheme="majorEastAsia" w:cstheme="majorBidi"/>
          <w:b/>
          <w:caps/>
          <w:sz w:val="28"/>
          <w:szCs w:val="32"/>
        </w:rPr>
        <w:t>19.</w:t>
      </w:r>
      <w:r w:rsidRPr="0014553A">
        <w:rPr>
          <w:rFonts w:eastAsiaTheme="majorEastAsia" w:cstheme="majorBidi"/>
          <w:b/>
          <w:caps/>
          <w:sz w:val="28"/>
          <w:szCs w:val="32"/>
        </w:rPr>
        <w:tab/>
      </w:r>
      <w:r w:rsidRPr="0014553A">
        <w:rPr>
          <w:rFonts w:eastAsiaTheme="majorEastAsia" w:cs="Arial"/>
          <w:b/>
          <w:caps/>
          <w:sz w:val="28"/>
          <w:szCs w:val="28"/>
          <w:u w:val="single"/>
        </w:rPr>
        <w:t xml:space="preserve">Rent Reviews - Crown Estate licence of Pickie Pontoon and Lease of Ballywalter Harbour </w:t>
      </w:r>
    </w:p>
    <w:p w14:paraId="6C7DF290" w14:textId="77777777" w:rsidR="0014553A" w:rsidRPr="0014553A" w:rsidRDefault="0014553A" w:rsidP="0014553A">
      <w:pPr>
        <w:ind w:firstLine="720"/>
      </w:pPr>
      <w:r w:rsidRPr="0014553A">
        <w:t>(Appendix XXIII - XXIV)</w:t>
      </w:r>
    </w:p>
    <w:p w14:paraId="36CF7680" w14:textId="77777777" w:rsidR="0014553A" w:rsidRPr="0014553A" w:rsidRDefault="0014553A" w:rsidP="0014553A"/>
    <w:p w14:paraId="5001CD76"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70341436" w14:textId="77777777" w:rsidR="0014553A" w:rsidRPr="0014553A" w:rsidRDefault="0014553A" w:rsidP="0014553A">
      <w:pPr>
        <w:shd w:val="clear" w:color="auto" w:fill="FFFFFF"/>
        <w:rPr>
          <w:rFonts w:eastAsia="Times New Roman" w:cs="Arial"/>
          <w:szCs w:val="24"/>
        </w:rPr>
      </w:pPr>
    </w:p>
    <w:p w14:paraId="18F84E7C"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08E7B00F" w14:textId="77777777" w:rsidR="0014553A" w:rsidRPr="0014553A" w:rsidRDefault="0014553A" w:rsidP="0014553A">
      <w:pPr>
        <w:shd w:val="clear" w:color="auto" w:fill="FFFFFF"/>
        <w:rPr>
          <w:rFonts w:eastAsia="Times New Roman" w:cs="Arial"/>
          <w:szCs w:val="24"/>
        </w:rPr>
      </w:pPr>
    </w:p>
    <w:p w14:paraId="3B59EE17" w14:textId="6226F054" w:rsidR="0014553A" w:rsidRPr="0014553A" w:rsidRDefault="0014553A" w:rsidP="0014553A">
      <w:pPr>
        <w:shd w:val="clear" w:color="auto" w:fill="FFFFFF"/>
        <w:rPr>
          <w:rFonts w:eastAsia="Times New Roman" w:cs="Arial"/>
          <w:szCs w:val="24"/>
        </w:rPr>
      </w:pPr>
      <w:r w:rsidRPr="0014553A">
        <w:rPr>
          <w:rFonts w:eastAsia="Times New Roman" w:cs="Arial"/>
          <w:szCs w:val="24"/>
        </w:rPr>
        <w:t xml:space="preserve">The Council </w:t>
      </w:r>
      <w:r w:rsidR="00F006C2">
        <w:rPr>
          <w:rFonts w:eastAsia="Times New Roman" w:cs="Arial"/>
          <w:szCs w:val="24"/>
        </w:rPr>
        <w:t>held</w:t>
      </w:r>
      <w:r w:rsidRPr="0014553A">
        <w:rPr>
          <w:rFonts w:eastAsia="Times New Roman" w:cs="Arial"/>
          <w:szCs w:val="24"/>
        </w:rPr>
        <w:t xml:space="preserve"> land owned by the Crown Estate at Pickie Pontoon by way of a Licence, and at Ballywalter Harbour by way of a Lease. The Crown Estate had reviewed the licence fee and rent for each and the report recommended that Council agrees to accept these revised fees. </w:t>
      </w:r>
    </w:p>
    <w:p w14:paraId="040FBC81" w14:textId="77777777" w:rsidR="0014553A" w:rsidRPr="0014553A" w:rsidRDefault="0014553A" w:rsidP="0014553A">
      <w:pPr>
        <w:shd w:val="clear" w:color="auto" w:fill="FFFFFF"/>
        <w:rPr>
          <w:rFonts w:eastAsia="Times New Roman" w:cs="Arial"/>
          <w:szCs w:val="24"/>
        </w:rPr>
      </w:pPr>
      <w:r w:rsidRPr="0014553A">
        <w:rPr>
          <w:rFonts w:eastAsia="Times New Roman" w:cs="Arial"/>
          <w:szCs w:val="24"/>
        </w:rPr>
        <w:t xml:space="preserve"> </w:t>
      </w:r>
    </w:p>
    <w:p w14:paraId="6ABF53AA" w14:textId="77777777" w:rsidR="0014553A" w:rsidRPr="0014553A" w:rsidRDefault="0014553A" w:rsidP="0014553A">
      <w:pPr>
        <w:shd w:val="clear" w:color="auto" w:fill="FFFFFF"/>
        <w:rPr>
          <w:rFonts w:eastAsia="Times New Roman" w:cs="Arial"/>
          <w:szCs w:val="24"/>
        </w:rPr>
      </w:pPr>
      <w:r w:rsidRPr="0014553A">
        <w:rPr>
          <w:rFonts w:eastAsia="Times New Roman" w:cs="Arial"/>
          <w:szCs w:val="24"/>
        </w:rPr>
        <w:t>The recommendation was AGREED.</w:t>
      </w:r>
    </w:p>
    <w:p w14:paraId="48F98071" w14:textId="77777777" w:rsidR="0014553A" w:rsidRPr="0014553A" w:rsidRDefault="0014553A" w:rsidP="0014553A">
      <w:pPr>
        <w:rPr>
          <w:rFonts w:cs="Arial"/>
          <w:szCs w:val="24"/>
        </w:rPr>
      </w:pPr>
    </w:p>
    <w:p w14:paraId="26C1472B" w14:textId="77777777" w:rsidR="0014553A" w:rsidRPr="0014553A" w:rsidRDefault="0014553A" w:rsidP="0014553A">
      <w:pPr>
        <w:keepNext/>
        <w:keepLines/>
        <w:ind w:left="720" w:hanging="720"/>
        <w:outlineLvl w:val="0"/>
        <w:rPr>
          <w:rFonts w:eastAsiaTheme="majorEastAsia" w:cs="Arial"/>
          <w:b/>
          <w:caps/>
          <w:sz w:val="28"/>
          <w:szCs w:val="28"/>
          <w:u w:val="single"/>
        </w:rPr>
      </w:pPr>
      <w:r w:rsidRPr="0014553A">
        <w:rPr>
          <w:rFonts w:eastAsiaTheme="majorEastAsia" w:cstheme="majorBidi"/>
          <w:b/>
          <w:caps/>
          <w:sz w:val="28"/>
          <w:szCs w:val="32"/>
        </w:rPr>
        <w:t>20.</w:t>
      </w:r>
      <w:r w:rsidRPr="0014553A">
        <w:rPr>
          <w:rFonts w:eastAsiaTheme="majorEastAsia" w:cstheme="majorBidi"/>
          <w:b/>
          <w:caps/>
          <w:sz w:val="28"/>
          <w:szCs w:val="32"/>
        </w:rPr>
        <w:tab/>
      </w:r>
      <w:r w:rsidRPr="0014553A">
        <w:rPr>
          <w:rFonts w:eastAsiaTheme="majorEastAsia" w:cs="Arial"/>
          <w:b/>
          <w:caps/>
          <w:sz w:val="28"/>
          <w:szCs w:val="28"/>
          <w:u w:val="single"/>
        </w:rPr>
        <w:t>Whitespots – Heads of Terms Agreement with the Clandeboye Estate</w:t>
      </w:r>
    </w:p>
    <w:p w14:paraId="5FD40779" w14:textId="77777777" w:rsidR="0014553A" w:rsidRPr="0014553A" w:rsidRDefault="0014553A" w:rsidP="0014553A">
      <w:pPr>
        <w:ind w:firstLine="720"/>
      </w:pPr>
      <w:r w:rsidRPr="0014553A">
        <w:t>(Appendix XXV)</w:t>
      </w:r>
    </w:p>
    <w:p w14:paraId="642F9867" w14:textId="77777777" w:rsidR="0014553A" w:rsidRPr="0014553A" w:rsidRDefault="0014553A" w:rsidP="0014553A"/>
    <w:p w14:paraId="10F69365"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5E81335A" w14:textId="77777777" w:rsidR="0014553A" w:rsidRPr="0014553A" w:rsidRDefault="0014553A" w:rsidP="0014553A">
      <w:pPr>
        <w:shd w:val="clear" w:color="auto" w:fill="FFFFFF"/>
        <w:rPr>
          <w:rFonts w:eastAsia="Times New Roman" w:cs="Arial"/>
          <w:szCs w:val="24"/>
        </w:rPr>
      </w:pPr>
    </w:p>
    <w:p w14:paraId="1D9BDD3D"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7F8322F5" w14:textId="77777777" w:rsidR="0014553A" w:rsidRPr="0014553A" w:rsidRDefault="0014553A" w:rsidP="0014553A">
      <w:pPr>
        <w:shd w:val="clear" w:color="auto" w:fill="FFFFFF"/>
        <w:rPr>
          <w:rFonts w:eastAsia="Times New Roman" w:cs="Arial"/>
          <w:szCs w:val="24"/>
        </w:rPr>
      </w:pPr>
    </w:p>
    <w:p w14:paraId="6D97EB26" w14:textId="4B0E51DB" w:rsidR="00CE0C98" w:rsidRPr="00CE0C98" w:rsidRDefault="00CE0C98" w:rsidP="00CE0C98">
      <w:pPr>
        <w:rPr>
          <w:rFonts w:eastAsia="Times New Roman" w:cs="Arial"/>
          <w:szCs w:val="24"/>
        </w:rPr>
      </w:pPr>
      <w:r w:rsidRPr="00CE0C98">
        <w:rPr>
          <w:rFonts w:eastAsia="Times New Roman" w:cs="Arial"/>
          <w:szCs w:val="24"/>
        </w:rPr>
        <w:t xml:space="preserve">The Council </w:t>
      </w:r>
      <w:r w:rsidR="00F006C2">
        <w:rPr>
          <w:rFonts w:eastAsia="Times New Roman" w:cs="Arial"/>
          <w:szCs w:val="24"/>
        </w:rPr>
        <w:t>was</w:t>
      </w:r>
      <w:r w:rsidRPr="00CE0C98">
        <w:rPr>
          <w:rFonts w:eastAsia="Times New Roman" w:cs="Arial"/>
          <w:szCs w:val="24"/>
        </w:rPr>
        <w:t xml:space="preserve"> developing a long-term vision for a Regional Park at Whitespots Country Park. Funding of £7.4 million from the NI Executive’s Complementary Fund </w:t>
      </w:r>
      <w:r w:rsidR="00F006C2">
        <w:rPr>
          <w:rFonts w:eastAsia="Times New Roman" w:cs="Arial"/>
          <w:szCs w:val="24"/>
        </w:rPr>
        <w:t>had</w:t>
      </w:r>
      <w:r w:rsidRPr="00CE0C98">
        <w:rPr>
          <w:rFonts w:eastAsia="Times New Roman" w:cs="Arial"/>
          <w:szCs w:val="24"/>
        </w:rPr>
        <w:t xml:space="preserve"> already been secured and further funding opportunities from other sources </w:t>
      </w:r>
      <w:r w:rsidR="00F006C2">
        <w:rPr>
          <w:rFonts w:eastAsia="Times New Roman" w:cs="Arial"/>
          <w:szCs w:val="24"/>
        </w:rPr>
        <w:t>were</w:t>
      </w:r>
      <w:r w:rsidRPr="00CE0C98">
        <w:rPr>
          <w:rFonts w:eastAsia="Times New Roman" w:cs="Arial"/>
          <w:szCs w:val="24"/>
        </w:rPr>
        <w:t xml:space="preserve"> being explored. Officers </w:t>
      </w:r>
      <w:r w:rsidR="00F006C2">
        <w:rPr>
          <w:rFonts w:eastAsia="Times New Roman" w:cs="Arial"/>
          <w:szCs w:val="24"/>
        </w:rPr>
        <w:t>had</w:t>
      </w:r>
      <w:r w:rsidRPr="00CE0C98">
        <w:rPr>
          <w:rFonts w:eastAsia="Times New Roman" w:cs="Arial"/>
          <w:szCs w:val="24"/>
        </w:rPr>
        <w:t xml:space="preserve"> been liaising closely with the Estate to secure agreement on the Heads of Terms.</w:t>
      </w:r>
    </w:p>
    <w:p w14:paraId="78250251" w14:textId="77777777" w:rsidR="00CE0C98" w:rsidRPr="00CE0C98" w:rsidRDefault="00CE0C98" w:rsidP="00CE0C98">
      <w:pPr>
        <w:rPr>
          <w:rFonts w:eastAsia="Times New Roman" w:cs="Arial"/>
          <w:szCs w:val="24"/>
        </w:rPr>
      </w:pPr>
      <w:r w:rsidRPr="00CE0C98">
        <w:rPr>
          <w:rFonts w:eastAsia="Times New Roman" w:cs="Arial"/>
          <w:szCs w:val="24"/>
        </w:rPr>
        <w:t> </w:t>
      </w:r>
    </w:p>
    <w:p w14:paraId="3ED6E4D2" w14:textId="77777777" w:rsidR="00CE0C98" w:rsidRPr="00CE0C98" w:rsidRDefault="00CE0C98" w:rsidP="00CE0C98">
      <w:pPr>
        <w:rPr>
          <w:rFonts w:eastAsia="Times New Roman" w:cs="Arial"/>
          <w:szCs w:val="24"/>
        </w:rPr>
      </w:pPr>
      <w:r w:rsidRPr="00CE0C98">
        <w:rPr>
          <w:rFonts w:eastAsia="Times New Roman" w:cs="Arial"/>
          <w:szCs w:val="24"/>
        </w:rPr>
        <w:t>The report recommended that Council agrees to enter into the Heads of Terms Agreement with the Clandeboye Estate Ltd. </w:t>
      </w:r>
    </w:p>
    <w:p w14:paraId="55152ED2" w14:textId="77777777" w:rsidR="00CE0C98" w:rsidRPr="00CE0C98" w:rsidRDefault="00CE0C98" w:rsidP="00CE0C98">
      <w:pPr>
        <w:rPr>
          <w:rFonts w:eastAsia="Times New Roman" w:cs="Arial"/>
          <w:szCs w:val="24"/>
        </w:rPr>
      </w:pPr>
      <w:r w:rsidRPr="00CE0C98">
        <w:rPr>
          <w:rFonts w:eastAsia="Times New Roman" w:cs="Arial"/>
          <w:szCs w:val="24"/>
        </w:rPr>
        <w:t> </w:t>
      </w:r>
    </w:p>
    <w:p w14:paraId="28B202A9" w14:textId="77777777" w:rsidR="00CE0C98" w:rsidRPr="00CE0C98" w:rsidRDefault="00CE0C98" w:rsidP="00CE0C98">
      <w:pPr>
        <w:rPr>
          <w:rFonts w:eastAsia="Times New Roman" w:cs="Arial"/>
          <w:szCs w:val="24"/>
        </w:rPr>
      </w:pPr>
      <w:r w:rsidRPr="00CE0C98">
        <w:rPr>
          <w:rFonts w:eastAsia="Times New Roman" w:cs="Arial"/>
          <w:szCs w:val="24"/>
        </w:rPr>
        <w:t>The recommendation was AGREED.</w:t>
      </w:r>
    </w:p>
    <w:p w14:paraId="470B66D3" w14:textId="77777777" w:rsidR="0014553A" w:rsidRPr="0014553A" w:rsidRDefault="0014553A" w:rsidP="0014553A">
      <w:pPr>
        <w:rPr>
          <w:rFonts w:cs="Arial"/>
          <w:szCs w:val="24"/>
        </w:rPr>
      </w:pPr>
    </w:p>
    <w:p w14:paraId="1B747BEE" w14:textId="77777777" w:rsidR="0014553A" w:rsidRPr="0014553A" w:rsidRDefault="0014553A" w:rsidP="0014553A">
      <w:pPr>
        <w:keepNext/>
        <w:keepLines/>
        <w:ind w:left="720" w:hanging="720"/>
        <w:outlineLvl w:val="0"/>
        <w:rPr>
          <w:rFonts w:eastAsiaTheme="majorEastAsia" w:cs="Arial"/>
          <w:b/>
          <w:caps/>
          <w:sz w:val="28"/>
          <w:szCs w:val="28"/>
          <w:u w:val="single"/>
        </w:rPr>
      </w:pPr>
      <w:r w:rsidRPr="0014553A">
        <w:rPr>
          <w:rFonts w:eastAsiaTheme="majorEastAsia" w:cstheme="majorBidi"/>
          <w:b/>
          <w:caps/>
          <w:sz w:val="28"/>
          <w:szCs w:val="32"/>
        </w:rPr>
        <w:t>21.</w:t>
      </w:r>
      <w:r w:rsidRPr="0014553A">
        <w:rPr>
          <w:rFonts w:eastAsiaTheme="majorEastAsia" w:cstheme="majorBidi"/>
          <w:b/>
          <w:caps/>
          <w:sz w:val="28"/>
          <w:szCs w:val="32"/>
        </w:rPr>
        <w:tab/>
      </w:r>
      <w:r w:rsidRPr="0014553A">
        <w:rPr>
          <w:rFonts w:eastAsiaTheme="majorEastAsia" w:cs="Arial"/>
          <w:b/>
          <w:caps/>
          <w:sz w:val="28"/>
          <w:szCs w:val="28"/>
          <w:u w:val="single"/>
        </w:rPr>
        <w:t>Request from NI Water to purchase land at Newtown Bridge, Comber</w:t>
      </w:r>
    </w:p>
    <w:p w14:paraId="5EC313AE" w14:textId="77777777" w:rsidR="0014553A" w:rsidRPr="0014553A" w:rsidRDefault="0014553A" w:rsidP="0014553A">
      <w:pPr>
        <w:ind w:firstLine="720"/>
      </w:pPr>
      <w:r w:rsidRPr="0014553A">
        <w:t>(Appendix XXVI - XXVII)</w:t>
      </w:r>
    </w:p>
    <w:p w14:paraId="7CD6D937" w14:textId="77777777" w:rsidR="0014553A" w:rsidRPr="0014553A" w:rsidRDefault="0014553A" w:rsidP="0014553A"/>
    <w:p w14:paraId="59581F78"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24BC2E9D" w14:textId="77777777" w:rsidR="0014553A" w:rsidRPr="0014553A" w:rsidRDefault="0014553A" w:rsidP="0014553A">
      <w:pPr>
        <w:shd w:val="clear" w:color="auto" w:fill="FFFFFF"/>
        <w:rPr>
          <w:rFonts w:eastAsia="Times New Roman" w:cs="Arial"/>
          <w:szCs w:val="24"/>
        </w:rPr>
      </w:pPr>
    </w:p>
    <w:p w14:paraId="625505B7"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72C91EA9" w14:textId="77777777" w:rsidR="0014553A" w:rsidRPr="0014553A" w:rsidRDefault="0014553A" w:rsidP="0014553A">
      <w:pPr>
        <w:shd w:val="clear" w:color="auto" w:fill="FFFFFF"/>
        <w:rPr>
          <w:rFonts w:eastAsia="Times New Roman" w:cs="Arial"/>
          <w:szCs w:val="24"/>
        </w:rPr>
      </w:pPr>
    </w:p>
    <w:p w14:paraId="28AA29CA" w14:textId="773F57C0" w:rsidR="0014553A" w:rsidRPr="0014553A" w:rsidRDefault="0014553A" w:rsidP="0014553A">
      <w:pPr>
        <w:shd w:val="clear" w:color="auto" w:fill="FFFFFF"/>
        <w:rPr>
          <w:rFonts w:eastAsia="Times New Roman" w:cs="Arial"/>
          <w:szCs w:val="24"/>
        </w:rPr>
      </w:pPr>
      <w:r w:rsidRPr="0014553A">
        <w:rPr>
          <w:rFonts w:eastAsia="Times New Roman" w:cs="Arial"/>
          <w:szCs w:val="24"/>
        </w:rPr>
        <w:t xml:space="preserve">The Council </w:t>
      </w:r>
      <w:r w:rsidR="00F006C2">
        <w:rPr>
          <w:rFonts w:eastAsia="Times New Roman" w:cs="Arial"/>
          <w:szCs w:val="24"/>
        </w:rPr>
        <w:t>had</w:t>
      </w:r>
      <w:r w:rsidRPr="0014553A">
        <w:rPr>
          <w:rFonts w:eastAsia="Times New Roman" w:cs="Arial"/>
          <w:szCs w:val="24"/>
        </w:rPr>
        <w:t xml:space="preserve"> received a request from NI Water to purchase land at Newtown Bridge, Comber. NI Water </w:t>
      </w:r>
      <w:r w:rsidR="00F006C2">
        <w:rPr>
          <w:rFonts w:eastAsia="Times New Roman" w:cs="Arial"/>
          <w:szCs w:val="24"/>
        </w:rPr>
        <w:t>had</w:t>
      </w:r>
      <w:r w:rsidRPr="0014553A">
        <w:rPr>
          <w:rFonts w:eastAsia="Times New Roman" w:cs="Arial"/>
          <w:szCs w:val="24"/>
        </w:rPr>
        <w:t xml:space="preserve"> a scheme called Event Duration Monitoring under which it </w:t>
      </w:r>
      <w:r w:rsidR="00F006C2">
        <w:rPr>
          <w:rFonts w:eastAsia="Times New Roman" w:cs="Arial"/>
          <w:szCs w:val="24"/>
        </w:rPr>
        <w:t>was</w:t>
      </w:r>
      <w:r w:rsidRPr="0014553A">
        <w:rPr>
          <w:rFonts w:eastAsia="Times New Roman" w:cs="Arial"/>
          <w:szCs w:val="24"/>
        </w:rPr>
        <w:t xml:space="preserve"> proposed to install monitors on the Combined Storm Overflow manholes (CSO) to record discharges via the overflow. These manholes </w:t>
      </w:r>
      <w:r w:rsidR="00F006C2">
        <w:rPr>
          <w:rFonts w:eastAsia="Times New Roman" w:cs="Arial"/>
          <w:szCs w:val="24"/>
        </w:rPr>
        <w:t>had</w:t>
      </w:r>
      <w:r w:rsidRPr="0014553A">
        <w:rPr>
          <w:rFonts w:eastAsia="Times New Roman" w:cs="Arial"/>
          <w:szCs w:val="24"/>
        </w:rPr>
        <w:t xml:space="preserve"> an overflow to nearby rivers/watercourses so that in the event of prolonged or very heavy rainfall in the drainage area they prevent</w:t>
      </w:r>
      <w:r w:rsidR="00F006C2">
        <w:rPr>
          <w:rFonts w:eastAsia="Times New Roman" w:cs="Arial"/>
          <w:szCs w:val="24"/>
        </w:rPr>
        <w:t>ed</w:t>
      </w:r>
      <w:r w:rsidRPr="0014553A">
        <w:rPr>
          <w:rFonts w:eastAsia="Times New Roman" w:cs="Arial"/>
          <w:szCs w:val="24"/>
        </w:rPr>
        <w:t xml:space="preserve"> the sewers backing up and surcharging from the manholes. NI water therefore </w:t>
      </w:r>
      <w:r w:rsidR="00F006C2">
        <w:rPr>
          <w:rFonts w:eastAsia="Times New Roman" w:cs="Arial"/>
          <w:szCs w:val="24"/>
        </w:rPr>
        <w:t>sought</w:t>
      </w:r>
      <w:r w:rsidRPr="0014553A">
        <w:rPr>
          <w:rFonts w:eastAsia="Times New Roman" w:cs="Arial"/>
          <w:szCs w:val="24"/>
        </w:rPr>
        <w:t xml:space="preserve"> to acquire Council land at Newtown Bridge, Comber in order to install a kiosk that </w:t>
      </w:r>
      <w:r w:rsidR="00B07149">
        <w:rPr>
          <w:rFonts w:eastAsia="Times New Roman" w:cs="Arial"/>
          <w:szCs w:val="24"/>
        </w:rPr>
        <w:t>would</w:t>
      </w:r>
      <w:r w:rsidRPr="0014553A">
        <w:rPr>
          <w:rFonts w:eastAsia="Times New Roman" w:cs="Arial"/>
          <w:szCs w:val="24"/>
        </w:rPr>
        <w:t xml:space="preserve"> house monitors and the cable duct to a nearby CSO. </w:t>
      </w:r>
    </w:p>
    <w:p w14:paraId="2311EF8B" w14:textId="77777777" w:rsidR="0014553A" w:rsidRPr="0014553A" w:rsidRDefault="0014553A" w:rsidP="0014553A">
      <w:pPr>
        <w:shd w:val="clear" w:color="auto" w:fill="FFFFFF"/>
        <w:rPr>
          <w:rFonts w:eastAsia="Times New Roman" w:cs="Arial"/>
          <w:szCs w:val="24"/>
        </w:rPr>
      </w:pPr>
    </w:p>
    <w:p w14:paraId="0A99C7AF" w14:textId="0A01DE24" w:rsidR="003310E8" w:rsidRDefault="003310E8" w:rsidP="0014553A">
      <w:pPr>
        <w:shd w:val="clear" w:color="auto" w:fill="FFFFFF"/>
        <w:rPr>
          <w:rStyle w:val="ui-provider"/>
        </w:rPr>
      </w:pPr>
      <w:r>
        <w:rPr>
          <w:rStyle w:val="ui-provider"/>
        </w:rPr>
        <w:t>It was recommended that the Council accedes to the request from NI Water and disposes of the land, subject to the terms and conditions as listed in the report. </w:t>
      </w:r>
    </w:p>
    <w:p w14:paraId="030565D5" w14:textId="77777777" w:rsidR="003310E8" w:rsidRDefault="003310E8" w:rsidP="0014553A">
      <w:pPr>
        <w:shd w:val="clear" w:color="auto" w:fill="FFFFFF"/>
        <w:rPr>
          <w:rStyle w:val="ui-provider"/>
        </w:rPr>
      </w:pPr>
    </w:p>
    <w:p w14:paraId="318860C1" w14:textId="77777777" w:rsidR="0014553A" w:rsidRPr="0014553A" w:rsidRDefault="0014553A" w:rsidP="0014553A">
      <w:pPr>
        <w:shd w:val="clear" w:color="auto" w:fill="FFFFFF"/>
        <w:rPr>
          <w:rFonts w:eastAsia="Times New Roman" w:cs="Arial"/>
          <w:szCs w:val="24"/>
        </w:rPr>
      </w:pPr>
      <w:r w:rsidRPr="0014553A">
        <w:rPr>
          <w:rFonts w:eastAsia="Times New Roman" w:cs="Arial"/>
          <w:szCs w:val="24"/>
        </w:rPr>
        <w:t>The recommendation was AGREED and it was FURTHER AGREED that Council writes to NI Water to highlight the recent and ongoing sewage spills into the Enler River at Ward Bridge and calls for action to ensure that there is no repetition.</w:t>
      </w:r>
    </w:p>
    <w:p w14:paraId="57F49562" w14:textId="77777777" w:rsidR="0014553A" w:rsidRPr="0014553A" w:rsidRDefault="0014553A" w:rsidP="0014553A">
      <w:pPr>
        <w:rPr>
          <w:rFonts w:cs="Arial"/>
          <w:szCs w:val="24"/>
        </w:rPr>
      </w:pPr>
    </w:p>
    <w:p w14:paraId="5D13B3EB" w14:textId="77777777" w:rsidR="0014553A" w:rsidRPr="0014553A" w:rsidRDefault="0014553A" w:rsidP="0014553A">
      <w:pPr>
        <w:keepNext/>
        <w:keepLines/>
        <w:ind w:left="720" w:hanging="720"/>
        <w:outlineLvl w:val="0"/>
        <w:rPr>
          <w:rFonts w:eastAsiaTheme="majorEastAsia" w:cs="Arial"/>
          <w:b/>
          <w:caps/>
          <w:sz w:val="28"/>
          <w:szCs w:val="28"/>
          <w:u w:val="single"/>
        </w:rPr>
      </w:pPr>
      <w:bookmarkStart w:id="47" w:name="_Hlk138082593"/>
      <w:r w:rsidRPr="0014553A">
        <w:rPr>
          <w:rFonts w:eastAsiaTheme="majorEastAsia" w:cstheme="majorBidi"/>
          <w:b/>
          <w:caps/>
          <w:sz w:val="28"/>
          <w:szCs w:val="32"/>
        </w:rPr>
        <w:t>22.</w:t>
      </w:r>
      <w:r w:rsidRPr="0014553A">
        <w:rPr>
          <w:rFonts w:eastAsiaTheme="majorEastAsia" w:cstheme="majorBidi"/>
          <w:b/>
          <w:caps/>
          <w:sz w:val="28"/>
          <w:szCs w:val="32"/>
        </w:rPr>
        <w:tab/>
      </w:r>
      <w:r w:rsidRPr="0014553A">
        <w:rPr>
          <w:rFonts w:eastAsiaTheme="majorEastAsia" w:cs="Arial"/>
          <w:b/>
          <w:caps/>
          <w:sz w:val="28"/>
          <w:szCs w:val="28"/>
          <w:u w:val="single"/>
        </w:rPr>
        <w:t>Renewal of Lease - Offices at Conway Building, South Street, Newtownards</w:t>
      </w:r>
    </w:p>
    <w:p w14:paraId="57EA2253" w14:textId="77777777" w:rsidR="0014553A" w:rsidRPr="0014553A" w:rsidRDefault="0014553A" w:rsidP="0014553A">
      <w:pPr>
        <w:ind w:firstLine="720"/>
      </w:pPr>
      <w:r w:rsidRPr="0014553A">
        <w:t>(Appendix XXVIII)</w:t>
      </w:r>
    </w:p>
    <w:p w14:paraId="4C33AFD4" w14:textId="77777777" w:rsidR="0014553A" w:rsidRPr="0014553A" w:rsidRDefault="0014553A" w:rsidP="0014553A">
      <w:pPr>
        <w:ind w:firstLine="720"/>
      </w:pPr>
    </w:p>
    <w:p w14:paraId="75ED4482" w14:textId="77777777" w:rsidR="0014553A" w:rsidRPr="0014553A" w:rsidRDefault="0014553A" w:rsidP="0014553A">
      <w:pPr>
        <w:contextualSpacing/>
        <w:rPr>
          <w:rFonts w:cs="Arial"/>
          <w:szCs w:val="24"/>
        </w:rPr>
      </w:pPr>
      <w:r w:rsidRPr="0014553A">
        <w:rPr>
          <w:rFonts w:eastAsia="Times New Roman" w:cs="Arial"/>
          <w:b/>
          <w:szCs w:val="24"/>
          <w:lang w:eastAsia="en-GB"/>
        </w:rPr>
        <w:lastRenderedPageBreak/>
        <w:t>***IN CONFIDENCE***</w:t>
      </w:r>
    </w:p>
    <w:p w14:paraId="2A6A3008" w14:textId="77777777" w:rsidR="0014553A" w:rsidRPr="0014553A" w:rsidRDefault="0014553A" w:rsidP="0014553A">
      <w:pPr>
        <w:shd w:val="clear" w:color="auto" w:fill="FFFFFF"/>
        <w:rPr>
          <w:rFonts w:eastAsia="Times New Roman" w:cs="Arial"/>
          <w:szCs w:val="24"/>
        </w:rPr>
      </w:pPr>
    </w:p>
    <w:p w14:paraId="46C15FAC"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03802F3E" w14:textId="77777777" w:rsidR="0014553A" w:rsidRPr="0014553A" w:rsidRDefault="0014553A" w:rsidP="0014553A">
      <w:pPr>
        <w:shd w:val="clear" w:color="auto" w:fill="FFFFFF"/>
        <w:rPr>
          <w:rFonts w:eastAsia="Times New Roman" w:cs="Arial"/>
          <w:szCs w:val="24"/>
        </w:rPr>
      </w:pPr>
    </w:p>
    <w:p w14:paraId="11159477" w14:textId="76AF83B2" w:rsidR="0014553A" w:rsidRPr="0014553A" w:rsidRDefault="0014553A" w:rsidP="0014553A">
      <w:pPr>
        <w:shd w:val="clear" w:color="auto" w:fill="FFFFFF"/>
        <w:rPr>
          <w:rFonts w:eastAsia="Times New Roman" w:cs="Arial"/>
          <w:szCs w:val="24"/>
        </w:rPr>
      </w:pPr>
      <w:r w:rsidRPr="0014553A">
        <w:rPr>
          <w:rFonts w:eastAsia="Times New Roman" w:cs="Arial"/>
          <w:szCs w:val="24"/>
        </w:rPr>
        <w:t>The Council lease</w:t>
      </w:r>
      <w:r w:rsidR="00B07149">
        <w:rPr>
          <w:rFonts w:eastAsia="Times New Roman" w:cs="Arial"/>
          <w:szCs w:val="24"/>
        </w:rPr>
        <w:t>d</w:t>
      </w:r>
      <w:r w:rsidRPr="0014553A">
        <w:rPr>
          <w:rFonts w:eastAsia="Times New Roman" w:cs="Arial"/>
          <w:szCs w:val="24"/>
        </w:rPr>
        <w:t xml:space="preserve"> offices at Conway Building, South Street, Newtownards. The report recommended that Council should ask the Landlord for a renewal of the Lease subject to the terms and conditions listed in the report.  </w:t>
      </w:r>
    </w:p>
    <w:p w14:paraId="03ED4E22" w14:textId="77777777" w:rsidR="0014553A" w:rsidRPr="0014553A" w:rsidRDefault="0014553A" w:rsidP="0014553A">
      <w:pPr>
        <w:shd w:val="clear" w:color="auto" w:fill="FFFFFF"/>
        <w:rPr>
          <w:rFonts w:eastAsia="Times New Roman" w:cs="Arial"/>
          <w:szCs w:val="24"/>
        </w:rPr>
      </w:pPr>
      <w:r w:rsidRPr="0014553A">
        <w:rPr>
          <w:rFonts w:eastAsia="Times New Roman" w:cs="Arial"/>
          <w:szCs w:val="24"/>
        </w:rPr>
        <w:t xml:space="preserve"> </w:t>
      </w:r>
    </w:p>
    <w:p w14:paraId="41DB2AF8" w14:textId="77777777" w:rsidR="0014553A" w:rsidRPr="0014553A" w:rsidRDefault="0014553A" w:rsidP="0014553A">
      <w:pPr>
        <w:shd w:val="clear" w:color="auto" w:fill="FFFFFF"/>
        <w:rPr>
          <w:rFonts w:eastAsia="Times New Roman" w:cs="Arial"/>
          <w:szCs w:val="24"/>
        </w:rPr>
      </w:pPr>
      <w:r w:rsidRPr="0014553A">
        <w:rPr>
          <w:rFonts w:eastAsia="Times New Roman" w:cs="Arial"/>
          <w:szCs w:val="24"/>
        </w:rPr>
        <w:t>The recommendation was AGREED.</w:t>
      </w:r>
    </w:p>
    <w:bookmarkEnd w:id="47"/>
    <w:p w14:paraId="100C43EA" w14:textId="77777777" w:rsidR="0014553A" w:rsidRPr="0014553A" w:rsidRDefault="0014553A" w:rsidP="0014553A">
      <w:pPr>
        <w:rPr>
          <w:rFonts w:cs="Arial"/>
          <w:szCs w:val="24"/>
        </w:rPr>
      </w:pPr>
    </w:p>
    <w:p w14:paraId="419616FD" w14:textId="77777777" w:rsidR="0014553A" w:rsidRPr="0014553A" w:rsidRDefault="0014553A" w:rsidP="0014553A">
      <w:pPr>
        <w:keepNext/>
        <w:keepLines/>
        <w:ind w:left="720" w:hanging="720"/>
        <w:outlineLvl w:val="0"/>
        <w:rPr>
          <w:rFonts w:eastAsiaTheme="majorEastAsia" w:cs="Arial"/>
          <w:b/>
          <w:caps/>
          <w:sz w:val="28"/>
          <w:szCs w:val="28"/>
          <w:u w:val="single"/>
        </w:rPr>
      </w:pPr>
      <w:bookmarkStart w:id="48" w:name="_Hlk138084873"/>
      <w:r w:rsidRPr="0014553A">
        <w:rPr>
          <w:rFonts w:eastAsiaTheme="majorEastAsia" w:cstheme="majorBidi"/>
          <w:b/>
          <w:caps/>
          <w:sz w:val="28"/>
          <w:szCs w:val="32"/>
        </w:rPr>
        <w:t>23.</w:t>
      </w:r>
      <w:r w:rsidRPr="0014553A">
        <w:rPr>
          <w:rFonts w:eastAsiaTheme="majorEastAsia" w:cstheme="majorBidi"/>
          <w:b/>
          <w:caps/>
          <w:sz w:val="28"/>
          <w:szCs w:val="32"/>
        </w:rPr>
        <w:tab/>
      </w:r>
      <w:r w:rsidRPr="0014553A">
        <w:rPr>
          <w:rFonts w:eastAsiaTheme="majorEastAsia" w:cs="Arial"/>
          <w:b/>
          <w:caps/>
          <w:sz w:val="28"/>
          <w:szCs w:val="28"/>
          <w:u w:val="single"/>
        </w:rPr>
        <w:t>Extension to Valuation Services Contract</w:t>
      </w:r>
    </w:p>
    <w:p w14:paraId="35FCBD7B" w14:textId="77777777" w:rsidR="0014553A" w:rsidRPr="0014553A" w:rsidRDefault="0014553A" w:rsidP="0014553A">
      <w:pPr>
        <w:ind w:firstLine="720"/>
      </w:pPr>
      <w:r w:rsidRPr="0014553A">
        <w:t>(Appendix XXIX)</w:t>
      </w:r>
    </w:p>
    <w:p w14:paraId="3BFDDBCB" w14:textId="77777777" w:rsidR="0014553A" w:rsidRPr="0014553A" w:rsidRDefault="0014553A" w:rsidP="0014553A"/>
    <w:p w14:paraId="14E5D8DC"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50BD28CB" w14:textId="77777777" w:rsidR="0014553A" w:rsidRPr="0014553A" w:rsidRDefault="0014553A" w:rsidP="0014553A">
      <w:pPr>
        <w:shd w:val="clear" w:color="auto" w:fill="FFFFFF"/>
        <w:rPr>
          <w:rFonts w:eastAsia="Times New Roman" w:cs="Arial"/>
          <w:szCs w:val="24"/>
        </w:rPr>
      </w:pPr>
    </w:p>
    <w:bookmarkEnd w:id="48"/>
    <w:p w14:paraId="03D2C86B"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485F6E16" w14:textId="77777777" w:rsidR="0014553A" w:rsidRPr="0014553A" w:rsidRDefault="0014553A" w:rsidP="0014553A">
      <w:pPr>
        <w:rPr>
          <w:rFonts w:cs="Arial"/>
          <w:szCs w:val="24"/>
        </w:rPr>
      </w:pPr>
    </w:p>
    <w:p w14:paraId="100F2B32" w14:textId="2468CB7F" w:rsidR="0014553A" w:rsidRPr="0014553A" w:rsidRDefault="0014553A" w:rsidP="0014553A">
      <w:pPr>
        <w:rPr>
          <w:rFonts w:cs="Arial"/>
          <w:szCs w:val="24"/>
        </w:rPr>
      </w:pPr>
      <w:r w:rsidRPr="0014553A">
        <w:rPr>
          <w:rFonts w:cs="Arial"/>
          <w:szCs w:val="24"/>
        </w:rPr>
        <w:t xml:space="preserve">Council’s contract for valuation services with Land and Property Services (LPS) </w:t>
      </w:r>
      <w:r w:rsidR="00B07149">
        <w:rPr>
          <w:rFonts w:cs="Arial"/>
          <w:szCs w:val="24"/>
        </w:rPr>
        <w:t>was</w:t>
      </w:r>
      <w:r w:rsidRPr="0014553A">
        <w:rPr>
          <w:rFonts w:cs="Arial"/>
          <w:szCs w:val="24"/>
        </w:rPr>
        <w:t xml:space="preserve"> detailed in a Service Level Agreement (SLA) and  cover</w:t>
      </w:r>
      <w:r w:rsidR="00B07149">
        <w:rPr>
          <w:rFonts w:cs="Arial"/>
          <w:szCs w:val="24"/>
        </w:rPr>
        <w:t>ed</w:t>
      </w:r>
      <w:r w:rsidRPr="0014553A">
        <w:rPr>
          <w:rFonts w:cs="Arial"/>
          <w:szCs w:val="24"/>
        </w:rPr>
        <w:t xml:space="preserve"> the following broad areas:</w:t>
      </w:r>
    </w:p>
    <w:p w14:paraId="30F8D18A" w14:textId="77777777" w:rsidR="0014553A" w:rsidRPr="0014553A" w:rsidRDefault="0014553A" w:rsidP="0014553A">
      <w:pPr>
        <w:rPr>
          <w:rFonts w:cs="Arial"/>
          <w:szCs w:val="24"/>
        </w:rPr>
      </w:pPr>
      <w:r w:rsidRPr="0014553A">
        <w:rPr>
          <w:rFonts w:cs="Arial"/>
          <w:szCs w:val="24"/>
        </w:rPr>
        <w:t xml:space="preserve"> </w:t>
      </w:r>
    </w:p>
    <w:p w14:paraId="548B73B2" w14:textId="77777777" w:rsidR="0014553A" w:rsidRPr="0014553A" w:rsidRDefault="0014553A" w:rsidP="0014553A">
      <w:pPr>
        <w:rPr>
          <w:rFonts w:cs="Arial"/>
          <w:szCs w:val="24"/>
        </w:rPr>
      </w:pPr>
      <w:r w:rsidRPr="0014553A">
        <w:rPr>
          <w:rFonts w:cs="Arial"/>
          <w:szCs w:val="24"/>
        </w:rPr>
        <w:t>1.</w:t>
      </w:r>
      <w:r w:rsidRPr="0014553A">
        <w:rPr>
          <w:rFonts w:cs="Arial"/>
          <w:szCs w:val="24"/>
        </w:rPr>
        <w:tab/>
        <w:t>Estate Surveying Services</w:t>
      </w:r>
    </w:p>
    <w:p w14:paraId="04E26855" w14:textId="77777777" w:rsidR="0014553A" w:rsidRPr="0014553A" w:rsidRDefault="0014553A" w:rsidP="0014553A">
      <w:pPr>
        <w:rPr>
          <w:rFonts w:cs="Arial"/>
          <w:szCs w:val="24"/>
        </w:rPr>
      </w:pPr>
      <w:r w:rsidRPr="0014553A">
        <w:rPr>
          <w:rFonts w:cs="Arial"/>
          <w:szCs w:val="24"/>
        </w:rPr>
        <w:t>2.</w:t>
      </w:r>
      <w:r w:rsidRPr="0014553A">
        <w:rPr>
          <w:rFonts w:cs="Arial"/>
          <w:szCs w:val="24"/>
        </w:rPr>
        <w:tab/>
        <w:t>General Valuation Advice</w:t>
      </w:r>
    </w:p>
    <w:p w14:paraId="7CC9313C" w14:textId="77777777" w:rsidR="0014553A" w:rsidRPr="0014553A" w:rsidRDefault="0014553A" w:rsidP="0014553A">
      <w:pPr>
        <w:rPr>
          <w:rFonts w:cs="Arial"/>
          <w:szCs w:val="24"/>
        </w:rPr>
      </w:pPr>
      <w:r w:rsidRPr="0014553A">
        <w:rPr>
          <w:rFonts w:cs="Arial"/>
          <w:szCs w:val="24"/>
        </w:rPr>
        <w:t>3.</w:t>
      </w:r>
      <w:r w:rsidRPr="0014553A">
        <w:rPr>
          <w:rFonts w:cs="Arial"/>
          <w:szCs w:val="24"/>
        </w:rPr>
        <w:tab/>
        <w:t>Asset Valuations for Financial Reporting</w:t>
      </w:r>
    </w:p>
    <w:p w14:paraId="4D72B904" w14:textId="77777777" w:rsidR="0014553A" w:rsidRPr="0014553A" w:rsidRDefault="0014553A" w:rsidP="0014553A">
      <w:pPr>
        <w:rPr>
          <w:rFonts w:cs="Arial"/>
          <w:szCs w:val="24"/>
        </w:rPr>
      </w:pPr>
      <w:r w:rsidRPr="0014553A">
        <w:rPr>
          <w:rFonts w:cs="Arial"/>
          <w:szCs w:val="24"/>
        </w:rPr>
        <w:t xml:space="preserve"> </w:t>
      </w:r>
    </w:p>
    <w:p w14:paraId="3153E769" w14:textId="69B7867F" w:rsidR="00CE0C98" w:rsidRDefault="00CE0C98" w:rsidP="0014553A">
      <w:pPr>
        <w:rPr>
          <w:rFonts w:cs="Arial"/>
          <w:szCs w:val="24"/>
        </w:rPr>
      </w:pPr>
      <w:r w:rsidRPr="00CE0C98">
        <w:rPr>
          <w:rFonts w:cs="Arial"/>
          <w:szCs w:val="24"/>
        </w:rPr>
        <w:t xml:space="preserve">It </w:t>
      </w:r>
      <w:r>
        <w:rPr>
          <w:rFonts w:cs="Arial"/>
          <w:szCs w:val="24"/>
        </w:rPr>
        <w:t>wa</w:t>
      </w:r>
      <w:r w:rsidRPr="00CE0C98">
        <w:rPr>
          <w:rFonts w:cs="Arial"/>
          <w:szCs w:val="24"/>
        </w:rPr>
        <w:t>s recommended that Council agrees to extend the Service Level Agreement with Land and Property Services for a further one-year period until 1 October 2024. </w:t>
      </w:r>
    </w:p>
    <w:p w14:paraId="77D489FB" w14:textId="732D70F9" w:rsidR="0014553A" w:rsidRPr="0014553A" w:rsidRDefault="0014553A" w:rsidP="0014553A">
      <w:pPr>
        <w:rPr>
          <w:rFonts w:cs="Arial"/>
          <w:szCs w:val="24"/>
        </w:rPr>
      </w:pPr>
      <w:r w:rsidRPr="0014553A">
        <w:rPr>
          <w:rFonts w:cs="Arial"/>
          <w:szCs w:val="24"/>
        </w:rPr>
        <w:t xml:space="preserve"> </w:t>
      </w:r>
    </w:p>
    <w:p w14:paraId="2FBE6BD4" w14:textId="77777777" w:rsidR="0014553A" w:rsidRPr="0014553A" w:rsidRDefault="0014553A" w:rsidP="0014553A">
      <w:pPr>
        <w:rPr>
          <w:rFonts w:cs="Arial"/>
          <w:szCs w:val="24"/>
        </w:rPr>
      </w:pPr>
      <w:r w:rsidRPr="0014553A">
        <w:rPr>
          <w:rFonts w:cs="Arial"/>
          <w:szCs w:val="24"/>
        </w:rPr>
        <w:t>The recommendation was AGREED.</w:t>
      </w:r>
    </w:p>
    <w:p w14:paraId="373B716B" w14:textId="77777777" w:rsidR="0014553A" w:rsidRPr="0014553A" w:rsidRDefault="0014553A" w:rsidP="0014553A">
      <w:pPr>
        <w:rPr>
          <w:rFonts w:cs="Arial"/>
          <w:szCs w:val="24"/>
        </w:rPr>
      </w:pPr>
    </w:p>
    <w:p w14:paraId="7E7AE1B2" w14:textId="77777777" w:rsidR="0014553A" w:rsidRPr="0014553A" w:rsidRDefault="0014553A" w:rsidP="0014553A">
      <w:pPr>
        <w:keepNext/>
        <w:keepLines/>
        <w:ind w:left="720" w:hanging="720"/>
        <w:outlineLvl w:val="0"/>
        <w:rPr>
          <w:rFonts w:eastAsiaTheme="majorEastAsia" w:cs="Arial"/>
          <w:b/>
          <w:caps/>
          <w:sz w:val="28"/>
          <w:szCs w:val="28"/>
          <w:u w:val="single"/>
        </w:rPr>
      </w:pPr>
      <w:r w:rsidRPr="0014553A">
        <w:rPr>
          <w:rFonts w:eastAsiaTheme="majorEastAsia" w:cstheme="majorBidi"/>
          <w:b/>
          <w:caps/>
          <w:sz w:val="28"/>
          <w:szCs w:val="32"/>
        </w:rPr>
        <w:t>24.</w:t>
      </w:r>
      <w:r w:rsidRPr="0014553A">
        <w:rPr>
          <w:rFonts w:eastAsiaTheme="majorEastAsia" w:cstheme="majorBidi"/>
          <w:b/>
          <w:caps/>
          <w:sz w:val="28"/>
          <w:szCs w:val="32"/>
        </w:rPr>
        <w:tab/>
      </w:r>
      <w:r w:rsidRPr="0014553A">
        <w:rPr>
          <w:rFonts w:eastAsiaTheme="majorEastAsia" w:cs="Arial"/>
          <w:b/>
          <w:caps/>
          <w:sz w:val="28"/>
          <w:szCs w:val="28"/>
          <w:u w:val="single"/>
        </w:rPr>
        <w:t>Lease of Sir Samuel Kelly Lifeboat site</w:t>
      </w:r>
    </w:p>
    <w:p w14:paraId="4B3162F9" w14:textId="77777777" w:rsidR="0014553A" w:rsidRPr="0014553A" w:rsidRDefault="0014553A" w:rsidP="0014553A">
      <w:pPr>
        <w:ind w:firstLine="720"/>
      </w:pPr>
      <w:r w:rsidRPr="0014553A">
        <w:t>(Appendix XXX- XXXIV)</w:t>
      </w:r>
    </w:p>
    <w:p w14:paraId="40AEC74B" w14:textId="77777777" w:rsidR="0014553A" w:rsidRPr="0014553A" w:rsidRDefault="0014553A" w:rsidP="0014553A"/>
    <w:p w14:paraId="0C20641D"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51AD542C" w14:textId="77777777" w:rsidR="0014553A" w:rsidRPr="0014553A" w:rsidRDefault="0014553A" w:rsidP="0014553A">
      <w:pPr>
        <w:shd w:val="clear" w:color="auto" w:fill="FFFFFF"/>
        <w:rPr>
          <w:rFonts w:eastAsia="Times New Roman" w:cs="Arial"/>
          <w:szCs w:val="24"/>
        </w:rPr>
      </w:pPr>
    </w:p>
    <w:p w14:paraId="0182F933"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00068F3A" w14:textId="77777777" w:rsidR="00C9423E" w:rsidRDefault="00C9423E" w:rsidP="0014553A">
      <w:pPr>
        <w:shd w:val="clear" w:color="auto" w:fill="FFFFFF"/>
        <w:rPr>
          <w:rFonts w:eastAsia="Times New Roman" w:cs="Arial"/>
          <w:szCs w:val="24"/>
        </w:rPr>
      </w:pPr>
    </w:p>
    <w:p w14:paraId="70AB9D49" w14:textId="5DA1BDB9" w:rsidR="00C9423E" w:rsidRDefault="00C9423E" w:rsidP="0014553A">
      <w:pPr>
        <w:shd w:val="clear" w:color="auto" w:fill="FFFFFF"/>
        <w:rPr>
          <w:rStyle w:val="ui-provider"/>
        </w:rPr>
      </w:pPr>
      <w:r>
        <w:rPr>
          <w:rStyle w:val="ui-provider"/>
        </w:rPr>
        <w:t xml:space="preserve">It was recommended that the Council </w:t>
      </w:r>
      <w:r w:rsidR="00B07149">
        <w:rPr>
          <w:rStyle w:val="ui-provider"/>
        </w:rPr>
        <w:t>gives</w:t>
      </w:r>
      <w:r>
        <w:rPr>
          <w:rStyle w:val="ui-provider"/>
        </w:rPr>
        <w:t xml:space="preserve"> authority to officers to proceed with the application to the Department for Communities to seek consent to waive the rent payable by the Donaghadee Heritage Preservation Company Limited at the Sir Samuel Kelly site in Donaghadee, and that assuming the Department consents, to thereafter waive the rent insofar as there is no commercial trading on the site.</w:t>
      </w:r>
    </w:p>
    <w:p w14:paraId="431C0559" w14:textId="44FE73C1" w:rsidR="0014553A" w:rsidRPr="0014553A" w:rsidRDefault="00C9423E" w:rsidP="0014553A">
      <w:pPr>
        <w:shd w:val="clear" w:color="auto" w:fill="FFFFFF"/>
        <w:rPr>
          <w:rFonts w:eastAsia="Times New Roman" w:cs="Arial"/>
          <w:szCs w:val="24"/>
        </w:rPr>
      </w:pPr>
      <w:r>
        <w:rPr>
          <w:rStyle w:val="ui-provider"/>
        </w:rPr>
        <w:t> </w:t>
      </w:r>
      <w:r w:rsidR="0014553A" w:rsidRPr="0014553A">
        <w:rPr>
          <w:rFonts w:eastAsia="Times New Roman" w:cs="Arial"/>
          <w:szCs w:val="24"/>
        </w:rPr>
        <w:t xml:space="preserve"> </w:t>
      </w:r>
    </w:p>
    <w:p w14:paraId="2505FCB7" w14:textId="77777777" w:rsidR="0014553A" w:rsidRPr="0014553A" w:rsidRDefault="0014553A" w:rsidP="0014553A">
      <w:pPr>
        <w:shd w:val="clear" w:color="auto" w:fill="FFFFFF"/>
        <w:rPr>
          <w:rFonts w:eastAsia="Times New Roman" w:cs="Arial"/>
          <w:szCs w:val="24"/>
        </w:rPr>
      </w:pPr>
      <w:r w:rsidRPr="0014553A">
        <w:rPr>
          <w:rFonts w:eastAsia="Times New Roman" w:cs="Arial"/>
          <w:szCs w:val="24"/>
        </w:rPr>
        <w:t>The recommendation was AGREED.</w:t>
      </w:r>
    </w:p>
    <w:p w14:paraId="71BCBE50" w14:textId="77777777" w:rsidR="0014553A" w:rsidRPr="0014553A" w:rsidRDefault="0014553A" w:rsidP="0014553A">
      <w:pPr>
        <w:rPr>
          <w:rFonts w:cs="Arial"/>
          <w:szCs w:val="24"/>
        </w:rPr>
      </w:pPr>
    </w:p>
    <w:p w14:paraId="70DDE7FD" w14:textId="77777777" w:rsidR="0014553A" w:rsidRPr="0014553A" w:rsidRDefault="0014553A" w:rsidP="0014553A">
      <w:pPr>
        <w:keepNext/>
        <w:keepLines/>
        <w:ind w:left="720" w:hanging="720"/>
        <w:outlineLvl w:val="0"/>
        <w:rPr>
          <w:rFonts w:eastAsiaTheme="majorEastAsia" w:cs="Arial"/>
          <w:b/>
          <w:caps/>
          <w:sz w:val="28"/>
          <w:szCs w:val="28"/>
          <w:u w:val="single"/>
        </w:rPr>
      </w:pPr>
      <w:r w:rsidRPr="0014553A">
        <w:rPr>
          <w:rFonts w:eastAsiaTheme="majorEastAsia" w:cstheme="majorBidi"/>
          <w:b/>
          <w:caps/>
          <w:sz w:val="28"/>
          <w:szCs w:val="32"/>
        </w:rPr>
        <w:lastRenderedPageBreak/>
        <w:t>25.</w:t>
      </w:r>
      <w:r w:rsidRPr="0014553A">
        <w:rPr>
          <w:rFonts w:eastAsiaTheme="majorEastAsia" w:cstheme="majorBidi"/>
          <w:b/>
          <w:caps/>
          <w:sz w:val="28"/>
          <w:szCs w:val="32"/>
        </w:rPr>
        <w:tab/>
      </w:r>
      <w:r w:rsidRPr="0014553A">
        <w:rPr>
          <w:rFonts w:eastAsiaTheme="majorEastAsia" w:cs="Arial"/>
          <w:b/>
          <w:caps/>
          <w:sz w:val="28"/>
          <w:szCs w:val="28"/>
          <w:u w:val="single"/>
        </w:rPr>
        <w:t>Renewal of Licences to Ulster Bank - sites at Donaghadee and Kircubbin</w:t>
      </w:r>
    </w:p>
    <w:p w14:paraId="0C19C887" w14:textId="77777777" w:rsidR="0014553A" w:rsidRPr="0014553A" w:rsidRDefault="0014553A" w:rsidP="0014553A">
      <w:pPr>
        <w:ind w:firstLine="720"/>
      </w:pPr>
      <w:bookmarkStart w:id="49" w:name="_Hlk138084653"/>
      <w:r w:rsidRPr="0014553A">
        <w:t>(Appendix XXXV – XXXVI)</w:t>
      </w:r>
    </w:p>
    <w:bookmarkEnd w:id="49"/>
    <w:p w14:paraId="542EA102" w14:textId="77777777" w:rsidR="0014553A" w:rsidRPr="0014553A" w:rsidRDefault="0014553A" w:rsidP="0014553A"/>
    <w:p w14:paraId="1BE3ABE3"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0845D4FF" w14:textId="77777777" w:rsidR="0014553A" w:rsidRPr="0014553A" w:rsidRDefault="0014553A" w:rsidP="0014553A">
      <w:pPr>
        <w:shd w:val="clear" w:color="auto" w:fill="FFFFFF"/>
        <w:rPr>
          <w:rFonts w:eastAsia="Times New Roman" w:cs="Arial"/>
          <w:szCs w:val="24"/>
        </w:rPr>
      </w:pPr>
    </w:p>
    <w:p w14:paraId="7A08F095"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44027BF0" w14:textId="77777777" w:rsidR="0014553A" w:rsidRPr="0014553A" w:rsidRDefault="0014553A" w:rsidP="0014553A">
      <w:pPr>
        <w:rPr>
          <w:rFonts w:cs="Arial"/>
          <w:szCs w:val="24"/>
        </w:rPr>
      </w:pPr>
    </w:p>
    <w:p w14:paraId="2E59911D" w14:textId="6EDC61C0" w:rsidR="0014553A" w:rsidRPr="0014553A" w:rsidRDefault="0014553A" w:rsidP="0014553A">
      <w:pPr>
        <w:rPr>
          <w:rFonts w:cs="Arial"/>
          <w:szCs w:val="24"/>
        </w:rPr>
      </w:pPr>
      <w:r w:rsidRPr="0014553A">
        <w:rPr>
          <w:rFonts w:cs="Arial"/>
          <w:szCs w:val="24"/>
        </w:rPr>
        <w:t>The Council ha</w:t>
      </w:r>
      <w:r w:rsidR="00B07149">
        <w:rPr>
          <w:rFonts w:cs="Arial"/>
          <w:szCs w:val="24"/>
        </w:rPr>
        <w:t>d</w:t>
      </w:r>
      <w:r w:rsidRPr="0014553A">
        <w:rPr>
          <w:rFonts w:cs="Arial"/>
          <w:szCs w:val="24"/>
        </w:rPr>
        <w:t xml:space="preserve"> received a request on behalf of Ulster Bank seeking approval to renew their licence agreements for the Mobile Banking Units at The Parade, Donaghadee and The Green Carpark, Kircubbin. The report recommended to renew the licences subject to the terms and conditions listed in the report. </w:t>
      </w:r>
    </w:p>
    <w:p w14:paraId="328EF14F" w14:textId="77777777" w:rsidR="00C9423E" w:rsidRDefault="00C9423E" w:rsidP="0014553A">
      <w:pPr>
        <w:rPr>
          <w:rFonts w:cs="Arial"/>
          <w:szCs w:val="24"/>
        </w:rPr>
      </w:pPr>
    </w:p>
    <w:p w14:paraId="121676BE" w14:textId="75CCF17F" w:rsidR="00C9423E" w:rsidRPr="00C9423E" w:rsidRDefault="00C9423E" w:rsidP="00C9423E">
      <w:pPr>
        <w:tabs>
          <w:tab w:val="num" w:pos="720"/>
        </w:tabs>
        <w:rPr>
          <w:rFonts w:cs="Arial"/>
          <w:szCs w:val="24"/>
        </w:rPr>
      </w:pPr>
      <w:r w:rsidRPr="00C9423E">
        <w:rPr>
          <w:rFonts w:cs="Arial"/>
          <w:szCs w:val="24"/>
        </w:rPr>
        <w:t>I</w:t>
      </w:r>
      <w:r w:rsidRPr="00C9423E">
        <w:rPr>
          <w:rFonts w:cs="Arial"/>
        </w:rPr>
        <w:t>t was recommended that the Council accedes to the request from Ulster Bank to r</w:t>
      </w:r>
      <w:r w:rsidRPr="00C9423E">
        <w:rPr>
          <w:rFonts w:cs="Arial"/>
          <w:szCs w:val="24"/>
        </w:rPr>
        <w:t>enew the licence agreement for The Parade, Donaghadee until 28th February 2025; and</w:t>
      </w:r>
      <w:r>
        <w:rPr>
          <w:rFonts w:cs="Arial"/>
          <w:szCs w:val="24"/>
        </w:rPr>
        <w:t xml:space="preserve"> r</w:t>
      </w:r>
      <w:r w:rsidRPr="00C9423E">
        <w:rPr>
          <w:rFonts w:cs="Arial"/>
          <w:szCs w:val="24"/>
        </w:rPr>
        <w:t>enews the licence agreement for The Green, Kircubbin until 15th June 2025</w:t>
      </w:r>
      <w:r>
        <w:rPr>
          <w:rFonts w:cs="Arial"/>
          <w:szCs w:val="24"/>
        </w:rPr>
        <w:t>, s</w:t>
      </w:r>
      <w:r w:rsidRPr="00C9423E">
        <w:rPr>
          <w:rFonts w:cs="Arial"/>
          <w:szCs w:val="24"/>
        </w:rPr>
        <w:t xml:space="preserve">ubject to the terms and conditions as listed </w:t>
      </w:r>
      <w:r>
        <w:rPr>
          <w:rFonts w:cs="Arial"/>
          <w:szCs w:val="24"/>
        </w:rPr>
        <w:t>in the report.</w:t>
      </w:r>
      <w:r w:rsidRPr="00C9423E">
        <w:rPr>
          <w:rFonts w:cs="Arial"/>
          <w:szCs w:val="24"/>
        </w:rPr>
        <w:t> </w:t>
      </w:r>
    </w:p>
    <w:p w14:paraId="3D20C0BB" w14:textId="02D61152" w:rsidR="0014553A" w:rsidRPr="00C9423E" w:rsidRDefault="0014553A" w:rsidP="0014553A">
      <w:pPr>
        <w:rPr>
          <w:rFonts w:cs="Arial"/>
          <w:szCs w:val="24"/>
        </w:rPr>
      </w:pPr>
    </w:p>
    <w:p w14:paraId="2C8E8C71" w14:textId="77777777" w:rsidR="0014553A" w:rsidRPr="00C9423E" w:rsidRDefault="0014553A" w:rsidP="0014553A">
      <w:pPr>
        <w:rPr>
          <w:rFonts w:cs="Arial"/>
          <w:szCs w:val="24"/>
        </w:rPr>
      </w:pPr>
      <w:r w:rsidRPr="00C9423E">
        <w:rPr>
          <w:rFonts w:cs="Arial"/>
          <w:szCs w:val="24"/>
        </w:rPr>
        <w:t>The recommendation was AGREED.</w:t>
      </w:r>
    </w:p>
    <w:p w14:paraId="0D88758C" w14:textId="77777777" w:rsidR="0014553A" w:rsidRPr="0014553A" w:rsidRDefault="0014553A" w:rsidP="0014553A">
      <w:pPr>
        <w:rPr>
          <w:rFonts w:cs="Arial"/>
          <w:szCs w:val="24"/>
        </w:rPr>
      </w:pPr>
    </w:p>
    <w:p w14:paraId="4712363A" w14:textId="77777777" w:rsidR="0014553A" w:rsidRPr="0014553A" w:rsidRDefault="0014553A" w:rsidP="0014553A">
      <w:pPr>
        <w:keepNext/>
        <w:keepLines/>
        <w:ind w:left="720" w:hanging="720"/>
        <w:outlineLvl w:val="0"/>
        <w:rPr>
          <w:rFonts w:eastAsiaTheme="majorEastAsia" w:cstheme="majorBidi"/>
          <w:b/>
          <w:caps/>
          <w:sz w:val="28"/>
          <w:szCs w:val="32"/>
        </w:rPr>
      </w:pPr>
      <w:r w:rsidRPr="0014553A">
        <w:rPr>
          <w:rFonts w:eastAsiaTheme="majorEastAsia" w:cstheme="majorBidi"/>
          <w:b/>
          <w:caps/>
          <w:sz w:val="28"/>
          <w:szCs w:val="32"/>
        </w:rPr>
        <w:t>26.</w:t>
      </w:r>
      <w:r w:rsidRPr="0014553A">
        <w:rPr>
          <w:rFonts w:eastAsiaTheme="majorEastAsia" w:cstheme="majorBidi"/>
          <w:b/>
          <w:caps/>
          <w:sz w:val="28"/>
          <w:szCs w:val="32"/>
        </w:rPr>
        <w:tab/>
      </w:r>
      <w:bookmarkStart w:id="50" w:name="_Hlk138084824"/>
      <w:r w:rsidRPr="0014553A">
        <w:rPr>
          <w:rFonts w:eastAsiaTheme="majorEastAsia" w:cs="Arial"/>
          <w:b/>
          <w:caps/>
          <w:sz w:val="28"/>
          <w:szCs w:val="28"/>
          <w:u w:val="single"/>
        </w:rPr>
        <w:t xml:space="preserve">Request by Duckpond NI to renew the lease at 3 Park Drive, Bangor (Parklife Café, Ward Park) </w:t>
      </w:r>
    </w:p>
    <w:p w14:paraId="20B73C05" w14:textId="77777777" w:rsidR="0014553A" w:rsidRPr="0014553A" w:rsidRDefault="0014553A" w:rsidP="0014553A">
      <w:pPr>
        <w:ind w:firstLine="720"/>
      </w:pPr>
      <w:r w:rsidRPr="0014553A">
        <w:t>(Appendix XXXVII – XXXVIII)</w:t>
      </w:r>
    </w:p>
    <w:p w14:paraId="30864357" w14:textId="77777777" w:rsidR="0014553A" w:rsidRPr="0014553A" w:rsidRDefault="0014553A" w:rsidP="0014553A"/>
    <w:p w14:paraId="29D22AF0"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7EC5F3DA" w14:textId="77777777" w:rsidR="0014553A" w:rsidRPr="0014553A" w:rsidRDefault="0014553A" w:rsidP="0014553A">
      <w:pPr>
        <w:shd w:val="clear" w:color="auto" w:fill="FFFFFF"/>
        <w:rPr>
          <w:rFonts w:eastAsia="Times New Roman" w:cs="Arial"/>
          <w:szCs w:val="24"/>
        </w:rPr>
      </w:pPr>
    </w:p>
    <w:p w14:paraId="4ADFB731" w14:textId="77777777" w:rsidR="00CE0C98" w:rsidRDefault="0014553A" w:rsidP="00CE0C98">
      <w:pPr>
        <w:rPr>
          <w:b/>
          <w:bCs/>
        </w:rPr>
      </w:pPr>
      <w:r w:rsidRPr="0014553A">
        <w:rPr>
          <w:b/>
          <w:bCs/>
        </w:rPr>
        <w:t>NOT FOR PUBLICATION SCHEDULE 6 – INFORMATION RELATING TO THE FINANCIAL OR BUSINESS AFFAIRS OF ANY PARTICULAR PERSON (INCLUDING THE COUNCIL HOLDNG THAT INFORMATION)</w:t>
      </w:r>
    </w:p>
    <w:p w14:paraId="4AE7D4E3" w14:textId="77777777" w:rsidR="00B07149" w:rsidRDefault="00B07149" w:rsidP="00CE0C98">
      <w:pPr>
        <w:rPr>
          <w:rFonts w:cs="Arial"/>
          <w:b/>
          <w:bCs/>
          <w:szCs w:val="24"/>
        </w:rPr>
      </w:pPr>
    </w:p>
    <w:p w14:paraId="511EE7E5" w14:textId="5CB29A8B" w:rsidR="00C9423E" w:rsidRPr="00C9423E" w:rsidRDefault="00C9423E" w:rsidP="00CE0C98">
      <w:pPr>
        <w:rPr>
          <w:rFonts w:cs="Arial"/>
          <w:b/>
          <w:bCs/>
          <w:szCs w:val="24"/>
        </w:rPr>
      </w:pPr>
      <w:r w:rsidRPr="00C9423E">
        <w:rPr>
          <w:rFonts w:eastAsia="Times New Roman" w:cs="Arial"/>
          <w:szCs w:val="24"/>
        </w:rPr>
        <w:t xml:space="preserve">It </w:t>
      </w:r>
      <w:r w:rsidRPr="00CE0C98">
        <w:rPr>
          <w:rFonts w:eastAsia="Times New Roman" w:cs="Arial"/>
          <w:szCs w:val="24"/>
        </w:rPr>
        <w:t>was</w:t>
      </w:r>
      <w:r w:rsidRPr="00C9423E">
        <w:rPr>
          <w:rFonts w:eastAsia="Times New Roman" w:cs="Arial"/>
          <w:szCs w:val="24"/>
        </w:rPr>
        <w:t xml:space="preserve"> recommended that the Council</w:t>
      </w:r>
      <w:r w:rsidRPr="00CE0C98">
        <w:rPr>
          <w:rFonts w:eastAsia="Times New Roman" w:cs="Arial"/>
          <w:szCs w:val="24"/>
        </w:rPr>
        <w:t xml:space="preserve"> a</w:t>
      </w:r>
      <w:r w:rsidRPr="00C9423E">
        <w:rPr>
          <w:rFonts w:eastAsia="Times New Roman" w:cs="Arial"/>
          <w:szCs w:val="24"/>
        </w:rPr>
        <w:t>ccedes to the request from Duckpond NI to renew the Lease for 10 years for the premises at 3 Park Drive, Bangor (Parklife Café, Ward Park), to include the additional grass area, subject to the terms and conditions outlined in th</w:t>
      </w:r>
      <w:r w:rsidRPr="00CE0C98">
        <w:rPr>
          <w:rFonts w:eastAsia="Times New Roman" w:cs="Arial"/>
          <w:szCs w:val="24"/>
        </w:rPr>
        <w:t>e</w:t>
      </w:r>
      <w:r w:rsidRPr="00C9423E">
        <w:rPr>
          <w:rFonts w:eastAsia="Times New Roman" w:cs="Arial"/>
          <w:szCs w:val="24"/>
        </w:rPr>
        <w:t xml:space="preserve"> report</w:t>
      </w:r>
      <w:r w:rsidR="00CE0C98" w:rsidRPr="00CE0C98">
        <w:rPr>
          <w:rFonts w:eastAsia="Times New Roman" w:cs="Arial"/>
          <w:szCs w:val="24"/>
        </w:rPr>
        <w:t xml:space="preserve"> and a</w:t>
      </w:r>
      <w:r w:rsidRPr="00C9423E">
        <w:rPr>
          <w:rFonts w:eastAsia="Times New Roman" w:cs="Arial"/>
          <w:szCs w:val="24"/>
        </w:rPr>
        <w:t>grees to relax the restrictions in the Lease regarding alcohol consumption and opening hours, but subject to the officer comments outlined in t</w:t>
      </w:r>
      <w:r w:rsidR="00CE0C98" w:rsidRPr="00CE0C98">
        <w:rPr>
          <w:rFonts w:eastAsia="Times New Roman" w:cs="Arial"/>
          <w:szCs w:val="24"/>
        </w:rPr>
        <w:t>he</w:t>
      </w:r>
      <w:r w:rsidRPr="00C9423E">
        <w:rPr>
          <w:rFonts w:eastAsia="Times New Roman" w:cs="Arial"/>
          <w:szCs w:val="24"/>
        </w:rPr>
        <w:t xml:space="preserve"> report being reflected in the revised Lease. </w:t>
      </w:r>
    </w:p>
    <w:p w14:paraId="6C498F58" w14:textId="77777777" w:rsidR="00CE0C98" w:rsidRDefault="00CE0C98" w:rsidP="0014553A">
      <w:pPr>
        <w:shd w:val="clear" w:color="auto" w:fill="FFFFFF"/>
        <w:rPr>
          <w:rFonts w:eastAsia="Times New Roman" w:cs="Arial"/>
          <w:szCs w:val="24"/>
        </w:rPr>
      </w:pPr>
    </w:p>
    <w:p w14:paraId="46E29DD0" w14:textId="0383A47A" w:rsidR="0014553A" w:rsidRPr="0014553A" w:rsidRDefault="0014553A" w:rsidP="0014553A">
      <w:pPr>
        <w:shd w:val="clear" w:color="auto" w:fill="FFFFFF"/>
        <w:rPr>
          <w:rFonts w:eastAsia="Times New Roman" w:cs="Arial"/>
          <w:szCs w:val="24"/>
        </w:rPr>
      </w:pPr>
      <w:r w:rsidRPr="0014553A">
        <w:rPr>
          <w:rFonts w:eastAsia="Times New Roman" w:cs="Arial"/>
          <w:szCs w:val="24"/>
        </w:rPr>
        <w:t>The recommendation was AGREED.</w:t>
      </w:r>
    </w:p>
    <w:bookmarkEnd w:id="50"/>
    <w:p w14:paraId="7ECD0269" w14:textId="77777777" w:rsidR="0014553A" w:rsidRPr="0014553A" w:rsidRDefault="0014553A" w:rsidP="0014553A">
      <w:pPr>
        <w:rPr>
          <w:rFonts w:cs="Arial"/>
          <w:szCs w:val="24"/>
        </w:rPr>
      </w:pPr>
    </w:p>
    <w:p w14:paraId="19E26BC9" w14:textId="5D0D178E" w:rsidR="0014553A" w:rsidRPr="0014553A" w:rsidRDefault="0014553A" w:rsidP="0014553A">
      <w:pPr>
        <w:keepNext/>
        <w:keepLines/>
        <w:ind w:left="720" w:hanging="720"/>
        <w:outlineLvl w:val="0"/>
        <w:rPr>
          <w:rFonts w:eastAsiaTheme="majorEastAsia" w:cs="Arial"/>
          <w:b/>
          <w:caps/>
          <w:sz w:val="28"/>
          <w:szCs w:val="28"/>
          <w:u w:val="single"/>
        </w:rPr>
      </w:pPr>
      <w:r w:rsidRPr="0014553A">
        <w:rPr>
          <w:rFonts w:eastAsiaTheme="majorEastAsia" w:cstheme="majorBidi"/>
          <w:b/>
          <w:caps/>
          <w:sz w:val="28"/>
          <w:szCs w:val="32"/>
        </w:rPr>
        <w:t>27.</w:t>
      </w:r>
      <w:r w:rsidRPr="0014553A">
        <w:rPr>
          <w:rFonts w:eastAsiaTheme="majorEastAsia" w:cstheme="majorBidi"/>
          <w:b/>
          <w:caps/>
          <w:sz w:val="28"/>
          <w:szCs w:val="32"/>
        </w:rPr>
        <w:tab/>
      </w:r>
      <w:r w:rsidRPr="0014553A">
        <w:rPr>
          <w:rFonts w:eastAsiaTheme="majorEastAsia" w:cs="Arial"/>
          <w:b/>
          <w:caps/>
          <w:sz w:val="28"/>
          <w:szCs w:val="28"/>
          <w:u w:val="single"/>
        </w:rPr>
        <w:t xml:space="preserve">Rent Default </w:t>
      </w:r>
    </w:p>
    <w:p w14:paraId="1E4DB864" w14:textId="77777777" w:rsidR="0014553A" w:rsidRPr="0014553A" w:rsidRDefault="0014553A" w:rsidP="0014553A"/>
    <w:p w14:paraId="26A79AEA" w14:textId="77777777" w:rsidR="0014553A" w:rsidRPr="0014553A" w:rsidRDefault="0014553A" w:rsidP="0014553A">
      <w:pPr>
        <w:contextualSpacing/>
        <w:rPr>
          <w:rFonts w:cs="Arial"/>
          <w:szCs w:val="24"/>
        </w:rPr>
      </w:pPr>
      <w:r w:rsidRPr="0014553A">
        <w:rPr>
          <w:rFonts w:eastAsia="Times New Roman" w:cs="Arial"/>
          <w:b/>
          <w:szCs w:val="24"/>
          <w:lang w:eastAsia="en-GB"/>
        </w:rPr>
        <w:t>***IN CONFIDENCE***</w:t>
      </w:r>
    </w:p>
    <w:p w14:paraId="06EEBA89" w14:textId="77777777" w:rsidR="0014553A" w:rsidRPr="0014553A" w:rsidRDefault="0014553A" w:rsidP="0014553A">
      <w:pPr>
        <w:shd w:val="clear" w:color="auto" w:fill="FFFFFF"/>
        <w:rPr>
          <w:rFonts w:eastAsia="Times New Roman" w:cs="Arial"/>
          <w:szCs w:val="24"/>
        </w:rPr>
      </w:pPr>
    </w:p>
    <w:p w14:paraId="0F76BDBD" w14:textId="77777777" w:rsidR="0014553A" w:rsidRPr="0014553A" w:rsidRDefault="0014553A" w:rsidP="0014553A">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5959B654" w14:textId="77777777" w:rsidR="0014553A" w:rsidRPr="0014553A" w:rsidRDefault="0014553A" w:rsidP="0014553A">
      <w:pPr>
        <w:shd w:val="clear" w:color="auto" w:fill="FFFFFF"/>
        <w:rPr>
          <w:rFonts w:eastAsia="Times New Roman" w:cs="Arial"/>
          <w:szCs w:val="24"/>
        </w:rPr>
      </w:pPr>
    </w:p>
    <w:p w14:paraId="57A953B7" w14:textId="1F92FF82" w:rsidR="00CE0C98" w:rsidRDefault="00CE0C98" w:rsidP="0014553A">
      <w:pPr>
        <w:shd w:val="clear" w:color="auto" w:fill="FFFFFF"/>
        <w:rPr>
          <w:rStyle w:val="ui-provider"/>
        </w:rPr>
      </w:pPr>
      <w:r>
        <w:rPr>
          <w:rStyle w:val="ui-provider"/>
        </w:rPr>
        <w:lastRenderedPageBreak/>
        <w:t xml:space="preserve">It was recommended that Council agrees to instruct its Solicitor to initiate proceedings to recover the debt and to seek vacant possession of the premises as the tenant </w:t>
      </w:r>
      <w:r w:rsidR="00B07149">
        <w:rPr>
          <w:rStyle w:val="ui-provider"/>
        </w:rPr>
        <w:t>wa</w:t>
      </w:r>
      <w:r>
        <w:rPr>
          <w:rStyle w:val="ui-provider"/>
        </w:rPr>
        <w:t>s in breach of the covenant contained within the lease in respect of the payment of the rent.</w:t>
      </w:r>
    </w:p>
    <w:p w14:paraId="38040131" w14:textId="77777777" w:rsidR="00CE0C98" w:rsidRDefault="00CE0C98" w:rsidP="0014553A">
      <w:pPr>
        <w:shd w:val="clear" w:color="auto" w:fill="FFFFFF"/>
        <w:rPr>
          <w:rStyle w:val="ui-provider"/>
        </w:rPr>
      </w:pPr>
    </w:p>
    <w:p w14:paraId="603812BF" w14:textId="15FD787D" w:rsidR="0014553A" w:rsidRPr="0014553A" w:rsidRDefault="0014553A" w:rsidP="0014553A">
      <w:pPr>
        <w:shd w:val="clear" w:color="auto" w:fill="FFFFFF"/>
        <w:rPr>
          <w:rFonts w:eastAsia="Times New Roman" w:cs="Arial"/>
          <w:szCs w:val="24"/>
        </w:rPr>
      </w:pPr>
      <w:r w:rsidRPr="0014553A">
        <w:rPr>
          <w:rFonts w:eastAsia="Times New Roman" w:cs="Arial"/>
          <w:szCs w:val="24"/>
        </w:rPr>
        <w:t>The recommendation was AGREED.</w:t>
      </w:r>
    </w:p>
    <w:p w14:paraId="623422B2" w14:textId="77777777" w:rsidR="0014553A" w:rsidRPr="0014553A" w:rsidRDefault="0014553A" w:rsidP="0014553A">
      <w:pPr>
        <w:rPr>
          <w:rFonts w:cs="Arial"/>
          <w:szCs w:val="24"/>
        </w:rPr>
      </w:pPr>
    </w:p>
    <w:p w14:paraId="0523E36E" w14:textId="77777777" w:rsidR="0014553A" w:rsidRPr="0014553A" w:rsidRDefault="0014553A" w:rsidP="0014553A">
      <w:pPr>
        <w:keepNext/>
        <w:keepLines/>
        <w:outlineLvl w:val="0"/>
        <w:rPr>
          <w:rFonts w:eastAsiaTheme="majorEastAsia" w:cstheme="majorBidi"/>
          <w:b/>
          <w:caps/>
          <w:sz w:val="28"/>
          <w:szCs w:val="32"/>
          <w:u w:val="single"/>
        </w:rPr>
      </w:pPr>
      <w:r w:rsidRPr="0014553A">
        <w:rPr>
          <w:rFonts w:eastAsiaTheme="majorEastAsia" w:cstheme="majorBidi"/>
          <w:b/>
          <w:caps/>
          <w:sz w:val="28"/>
          <w:szCs w:val="32"/>
          <w:u w:val="single"/>
        </w:rPr>
        <w:t xml:space="preserve">Re-admittance of Public/Press </w:t>
      </w:r>
    </w:p>
    <w:p w14:paraId="4CD8A17E" w14:textId="77777777" w:rsidR="0014553A" w:rsidRPr="0014553A" w:rsidRDefault="0014553A" w:rsidP="0014553A"/>
    <w:p w14:paraId="2DB830E5" w14:textId="77777777" w:rsidR="0014553A" w:rsidRPr="0014553A" w:rsidRDefault="0014553A" w:rsidP="0014553A">
      <w:pPr>
        <w:rPr>
          <w:b/>
          <w:bCs/>
        </w:rPr>
      </w:pPr>
      <w:r w:rsidRPr="0014553A">
        <w:rPr>
          <w:b/>
          <w:bCs/>
        </w:rPr>
        <w:t>AGREED, on the proposal of Alderman McIlveen, seconded by Councillor Gilmour, that the public/press be re-admitted to the meeting.</w:t>
      </w:r>
    </w:p>
    <w:p w14:paraId="0E389E08" w14:textId="77777777" w:rsidR="0014553A" w:rsidRPr="0014553A" w:rsidRDefault="0014553A" w:rsidP="0014553A">
      <w:pPr>
        <w:rPr>
          <w:b/>
          <w:bCs/>
        </w:rPr>
      </w:pPr>
    </w:p>
    <w:p w14:paraId="2D134E68" w14:textId="77777777" w:rsidR="0014553A" w:rsidRPr="0014553A" w:rsidRDefault="0014553A" w:rsidP="0014553A">
      <w:pPr>
        <w:keepNext/>
        <w:keepLines/>
        <w:outlineLvl w:val="0"/>
        <w:rPr>
          <w:rFonts w:eastAsiaTheme="majorEastAsia" w:cstheme="majorBidi"/>
          <w:b/>
          <w:caps/>
          <w:sz w:val="28"/>
          <w:szCs w:val="32"/>
          <w:u w:val="single"/>
        </w:rPr>
      </w:pPr>
      <w:r w:rsidRPr="0014553A">
        <w:rPr>
          <w:rFonts w:eastAsiaTheme="majorEastAsia" w:cstheme="majorBidi"/>
          <w:b/>
          <w:caps/>
          <w:sz w:val="28"/>
          <w:szCs w:val="32"/>
          <w:u w:val="single"/>
        </w:rPr>
        <w:t xml:space="preserve">Termination of meeting </w:t>
      </w:r>
    </w:p>
    <w:p w14:paraId="58B3B9C8" w14:textId="77777777" w:rsidR="0014553A" w:rsidRPr="0014553A" w:rsidRDefault="0014553A" w:rsidP="0014553A"/>
    <w:p w14:paraId="01EB0ADF" w14:textId="77777777" w:rsidR="0014553A" w:rsidRPr="0014553A" w:rsidRDefault="0014553A" w:rsidP="0014553A">
      <w:r w:rsidRPr="0014553A">
        <w:t>The meeting terminated at 8.45pm.</w:t>
      </w:r>
    </w:p>
    <w:p w14:paraId="2277A99A" w14:textId="1989590D" w:rsidR="0033058C" w:rsidRDefault="0033058C" w:rsidP="00147812"/>
    <w:p w14:paraId="452A18B8" w14:textId="7B03323E" w:rsidR="009410C2" w:rsidRPr="009410C2" w:rsidRDefault="009410C2" w:rsidP="009410C2"/>
    <w:p w14:paraId="44AB67D7" w14:textId="7EBB6B8F" w:rsidR="009410C2" w:rsidRPr="009410C2" w:rsidRDefault="009410C2" w:rsidP="009410C2"/>
    <w:p w14:paraId="771A3F96" w14:textId="45065A66" w:rsidR="009410C2" w:rsidRPr="009410C2" w:rsidRDefault="009410C2" w:rsidP="009410C2"/>
    <w:p w14:paraId="4F64B2FE" w14:textId="6533A87E" w:rsidR="009410C2" w:rsidRPr="009410C2" w:rsidRDefault="009410C2" w:rsidP="009410C2"/>
    <w:p w14:paraId="09D3CB09" w14:textId="1D20C2E8" w:rsidR="009410C2" w:rsidRPr="009410C2" w:rsidRDefault="009410C2" w:rsidP="009410C2"/>
    <w:p w14:paraId="0CE1FF53" w14:textId="550CB9BD" w:rsidR="009410C2" w:rsidRPr="009410C2" w:rsidRDefault="009410C2" w:rsidP="009410C2"/>
    <w:p w14:paraId="643E7667" w14:textId="4B513917" w:rsidR="009410C2" w:rsidRPr="009410C2" w:rsidRDefault="009410C2" w:rsidP="009410C2"/>
    <w:p w14:paraId="060801DF" w14:textId="7C3C8BAB" w:rsidR="009410C2" w:rsidRDefault="009410C2" w:rsidP="009410C2"/>
    <w:p w14:paraId="39C72026" w14:textId="77777777" w:rsidR="009410C2" w:rsidRPr="009410C2" w:rsidRDefault="009410C2" w:rsidP="009410C2">
      <w:pPr>
        <w:jc w:val="center"/>
      </w:pPr>
    </w:p>
    <w:sectPr w:rsidR="009410C2" w:rsidRPr="009410C2" w:rsidSect="008E588C">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D039" w14:textId="77777777" w:rsidR="00414923" w:rsidRDefault="00414923" w:rsidP="0033058C">
      <w:r>
        <w:separator/>
      </w:r>
    </w:p>
  </w:endnote>
  <w:endnote w:type="continuationSeparator" w:id="0">
    <w:p w14:paraId="4C7CDC4D" w14:textId="77777777" w:rsidR="00414923" w:rsidRDefault="00414923" w:rsidP="003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w Cen MT">
    <w:panose1 w:val="020B06020201040206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2D32AC36" w14:textId="77777777" w:rsidR="004164F7" w:rsidRPr="00C816DA" w:rsidRDefault="004164F7">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0C055123" w14:textId="77777777" w:rsidR="004164F7" w:rsidRDefault="004164F7">
    <w:pPr>
      <w:pStyle w:val="Footer"/>
      <w:rPr>
        <w:sz w:val="24"/>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DB9E" w14:textId="77777777" w:rsidR="00414923" w:rsidRDefault="00414923" w:rsidP="0033058C">
      <w:r>
        <w:separator/>
      </w:r>
    </w:p>
  </w:footnote>
  <w:footnote w:type="continuationSeparator" w:id="0">
    <w:p w14:paraId="2B7F3EA0" w14:textId="77777777" w:rsidR="00414923" w:rsidRDefault="00414923" w:rsidP="0033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B67" w14:textId="6D6C0AEB" w:rsidR="004164F7" w:rsidRDefault="004164F7" w:rsidP="008E588C">
    <w:pPr>
      <w:pStyle w:val="Header"/>
      <w:rPr>
        <w:sz w:val="24"/>
        <w:lang w:eastAsia="en-US"/>
      </w:rPr>
    </w:pPr>
    <w:r>
      <w:rPr>
        <w:sz w:val="24"/>
        <w:lang w:eastAsia="en-US"/>
      </w:rPr>
      <w:tab/>
    </w:r>
    <w:r>
      <w:rPr>
        <w:sz w:val="24"/>
        <w:lang w:eastAsia="en-US"/>
      </w:rPr>
      <w:tab/>
      <w:t>CS.</w:t>
    </w:r>
    <w:r w:rsidR="00933431">
      <w:rPr>
        <w:sz w:val="24"/>
        <w:lang w:eastAsia="en-US"/>
      </w:rPr>
      <w:t>20</w:t>
    </w:r>
    <w:r>
      <w:rPr>
        <w:sz w:val="24"/>
        <w:lang w:eastAsia="en-US"/>
      </w:rPr>
      <w:t>.0</w:t>
    </w:r>
    <w:r w:rsidR="00933431">
      <w:rPr>
        <w:sz w:val="24"/>
        <w:lang w:eastAsia="en-US"/>
      </w:rPr>
      <w:t>6</w:t>
    </w:r>
    <w:r>
      <w:rPr>
        <w:sz w:val="24"/>
        <w:lang w:eastAsia="en-US"/>
      </w:rPr>
      <w:t>.2</w:t>
    </w:r>
    <w:r w:rsidR="00733DFE">
      <w:rPr>
        <w:sz w:val="24"/>
        <w:lang w:eastAsia="en-US"/>
      </w:rPr>
      <w:t>3</w:t>
    </w:r>
    <w:r w:rsidR="0014553A">
      <w:rPr>
        <w:sz w:val="24"/>
        <w:lang w:eastAsia="en-US"/>
      </w:rPr>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8410" w14:textId="44FC0D5D" w:rsidR="004164F7" w:rsidRPr="00DA2CFA" w:rsidRDefault="004164F7" w:rsidP="00796CE8">
    <w:pPr>
      <w:pStyle w:val="Header"/>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936872"/>
    <w:multiLevelType w:val="hybridMultilevel"/>
    <w:tmpl w:val="31EE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441C2"/>
    <w:multiLevelType w:val="hybridMultilevel"/>
    <w:tmpl w:val="E6828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2204B3"/>
    <w:multiLevelType w:val="hybridMultilevel"/>
    <w:tmpl w:val="C8108E1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921CA450">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0C91"/>
    <w:multiLevelType w:val="hybridMultilevel"/>
    <w:tmpl w:val="D598B48C"/>
    <w:lvl w:ilvl="0" w:tplc="D03AF184">
      <w:start w:val="1"/>
      <w:numFmt w:val="decimal"/>
      <w:lvlText w:val="%1."/>
      <w:lvlJc w:val="left"/>
      <w:pPr>
        <w:ind w:left="720" w:hanging="360"/>
      </w:pPr>
      <w:rPr>
        <w:rFonts w:ascii="Arial" w:eastAsia="Calibri" w:hAnsi="Arial"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1D29DF"/>
    <w:multiLevelType w:val="hybridMultilevel"/>
    <w:tmpl w:val="172AE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1109EF"/>
    <w:multiLevelType w:val="hybridMultilevel"/>
    <w:tmpl w:val="F880F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1B73A0"/>
    <w:multiLevelType w:val="hybridMultilevel"/>
    <w:tmpl w:val="10C0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65DFF"/>
    <w:multiLevelType w:val="hybridMultilevel"/>
    <w:tmpl w:val="345AB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74553"/>
    <w:multiLevelType w:val="hybridMultilevel"/>
    <w:tmpl w:val="76AAF7BA"/>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F786B24"/>
    <w:multiLevelType w:val="hybridMultilevel"/>
    <w:tmpl w:val="0736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C7254"/>
    <w:multiLevelType w:val="hybridMultilevel"/>
    <w:tmpl w:val="11C2A2D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4F1C56"/>
    <w:multiLevelType w:val="hybridMultilevel"/>
    <w:tmpl w:val="0A48B4B8"/>
    <w:lvl w:ilvl="0" w:tplc="024EC12A">
      <w:start w:val="1"/>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15" w15:restartNumberingAfterBreak="0">
    <w:nsid w:val="248C4701"/>
    <w:multiLevelType w:val="hybridMultilevel"/>
    <w:tmpl w:val="8FD0AC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5C10884"/>
    <w:multiLevelType w:val="hybridMultilevel"/>
    <w:tmpl w:val="27321524"/>
    <w:lvl w:ilvl="0" w:tplc="C166DA24">
      <w:start w:val="1"/>
      <w:numFmt w:val="bullet"/>
      <w:lvlText w:val=""/>
      <w:lvlJc w:val="left"/>
      <w:pPr>
        <w:tabs>
          <w:tab w:val="num" w:pos="-493"/>
        </w:tabs>
        <w:ind w:left="-626" w:hanging="227"/>
      </w:pPr>
      <w:rPr>
        <w:rFonts w:ascii="Symbol" w:hAnsi="Symbol" w:hint="default"/>
        <w:color w:val="auto"/>
      </w:rPr>
    </w:lvl>
    <w:lvl w:ilvl="1" w:tplc="8A06832A">
      <w:start w:val="2"/>
      <w:numFmt w:val="bullet"/>
      <w:lvlText w:val="-"/>
      <w:lvlJc w:val="left"/>
      <w:pPr>
        <w:tabs>
          <w:tab w:val="num" w:pos="227"/>
        </w:tabs>
        <w:ind w:left="227" w:hanging="360"/>
      </w:pPr>
      <w:rPr>
        <w:rFonts w:ascii="Times New Roman" w:eastAsia="Times New Roman" w:hAnsi="Times New Roman" w:hint="default"/>
      </w:rPr>
    </w:lvl>
    <w:lvl w:ilvl="2" w:tplc="0409001B" w:tentative="1">
      <w:start w:val="1"/>
      <w:numFmt w:val="lowerRoman"/>
      <w:lvlText w:val="%3."/>
      <w:lvlJc w:val="right"/>
      <w:pPr>
        <w:tabs>
          <w:tab w:val="num" w:pos="947"/>
        </w:tabs>
        <w:ind w:left="947" w:hanging="180"/>
      </w:pPr>
      <w:rPr>
        <w:rFonts w:cs="Times New Roman"/>
      </w:rPr>
    </w:lvl>
    <w:lvl w:ilvl="3" w:tplc="0409000F" w:tentative="1">
      <w:start w:val="1"/>
      <w:numFmt w:val="decimal"/>
      <w:lvlText w:val="%4."/>
      <w:lvlJc w:val="left"/>
      <w:pPr>
        <w:tabs>
          <w:tab w:val="num" w:pos="1667"/>
        </w:tabs>
        <w:ind w:left="1667" w:hanging="360"/>
      </w:pPr>
      <w:rPr>
        <w:rFonts w:cs="Times New Roman"/>
      </w:rPr>
    </w:lvl>
    <w:lvl w:ilvl="4" w:tplc="04090019" w:tentative="1">
      <w:start w:val="1"/>
      <w:numFmt w:val="lowerLetter"/>
      <w:lvlText w:val="%5."/>
      <w:lvlJc w:val="left"/>
      <w:pPr>
        <w:tabs>
          <w:tab w:val="num" w:pos="2387"/>
        </w:tabs>
        <w:ind w:left="2387" w:hanging="360"/>
      </w:pPr>
      <w:rPr>
        <w:rFonts w:cs="Times New Roman"/>
      </w:rPr>
    </w:lvl>
    <w:lvl w:ilvl="5" w:tplc="0409001B" w:tentative="1">
      <w:start w:val="1"/>
      <w:numFmt w:val="lowerRoman"/>
      <w:lvlText w:val="%6."/>
      <w:lvlJc w:val="right"/>
      <w:pPr>
        <w:tabs>
          <w:tab w:val="num" w:pos="3107"/>
        </w:tabs>
        <w:ind w:left="3107" w:hanging="180"/>
      </w:pPr>
      <w:rPr>
        <w:rFonts w:cs="Times New Roman"/>
      </w:rPr>
    </w:lvl>
    <w:lvl w:ilvl="6" w:tplc="0409000F" w:tentative="1">
      <w:start w:val="1"/>
      <w:numFmt w:val="decimal"/>
      <w:lvlText w:val="%7."/>
      <w:lvlJc w:val="left"/>
      <w:pPr>
        <w:tabs>
          <w:tab w:val="num" w:pos="3827"/>
        </w:tabs>
        <w:ind w:left="3827" w:hanging="360"/>
      </w:pPr>
      <w:rPr>
        <w:rFonts w:cs="Times New Roman"/>
      </w:rPr>
    </w:lvl>
    <w:lvl w:ilvl="7" w:tplc="04090019" w:tentative="1">
      <w:start w:val="1"/>
      <w:numFmt w:val="lowerLetter"/>
      <w:lvlText w:val="%8."/>
      <w:lvlJc w:val="left"/>
      <w:pPr>
        <w:tabs>
          <w:tab w:val="num" w:pos="4547"/>
        </w:tabs>
        <w:ind w:left="4547" w:hanging="360"/>
      </w:pPr>
      <w:rPr>
        <w:rFonts w:cs="Times New Roman"/>
      </w:rPr>
    </w:lvl>
    <w:lvl w:ilvl="8" w:tplc="0409001B" w:tentative="1">
      <w:start w:val="1"/>
      <w:numFmt w:val="lowerRoman"/>
      <w:lvlText w:val="%9."/>
      <w:lvlJc w:val="right"/>
      <w:pPr>
        <w:tabs>
          <w:tab w:val="num" w:pos="5267"/>
        </w:tabs>
        <w:ind w:left="5267" w:hanging="180"/>
      </w:pPr>
      <w:rPr>
        <w:rFonts w:cs="Times New Roman"/>
      </w:rPr>
    </w:lvl>
  </w:abstractNum>
  <w:abstractNum w:abstractNumId="17" w15:restartNumberingAfterBreak="0">
    <w:nsid w:val="25FC699C"/>
    <w:multiLevelType w:val="hybridMultilevel"/>
    <w:tmpl w:val="ABFEC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596642"/>
    <w:multiLevelType w:val="hybridMultilevel"/>
    <w:tmpl w:val="A3B0095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28CC4ACB"/>
    <w:multiLevelType w:val="hybridMultilevel"/>
    <w:tmpl w:val="7E10B4C8"/>
    <w:lvl w:ilvl="0" w:tplc="21B6A7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45342"/>
    <w:multiLevelType w:val="hybridMultilevel"/>
    <w:tmpl w:val="B1B6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736C4E"/>
    <w:multiLevelType w:val="hybridMultilevel"/>
    <w:tmpl w:val="7B7E2D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3ADD6A89"/>
    <w:multiLevelType w:val="hybridMultilevel"/>
    <w:tmpl w:val="D3C244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4E78F2"/>
    <w:multiLevelType w:val="multilevel"/>
    <w:tmpl w:val="4A4A5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2F68F8"/>
    <w:multiLevelType w:val="hybridMultilevel"/>
    <w:tmpl w:val="F9F0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7021E"/>
    <w:multiLevelType w:val="hybridMultilevel"/>
    <w:tmpl w:val="5D0E3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253B0D"/>
    <w:multiLevelType w:val="hybridMultilevel"/>
    <w:tmpl w:val="413E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F64877"/>
    <w:multiLevelType w:val="hybridMultilevel"/>
    <w:tmpl w:val="7354C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A5BC6"/>
    <w:multiLevelType w:val="multilevel"/>
    <w:tmpl w:val="ECD8B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A4E96"/>
    <w:multiLevelType w:val="hybridMultilevel"/>
    <w:tmpl w:val="CCA688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235E10"/>
    <w:multiLevelType w:val="multilevel"/>
    <w:tmpl w:val="4A9E0536"/>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2B30D29"/>
    <w:multiLevelType w:val="hybridMultilevel"/>
    <w:tmpl w:val="2D5EB6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4640195"/>
    <w:multiLevelType w:val="multilevel"/>
    <w:tmpl w:val="B8C873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B6717D"/>
    <w:multiLevelType w:val="hybridMultilevel"/>
    <w:tmpl w:val="222C7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C01B54"/>
    <w:multiLevelType w:val="hybridMultilevel"/>
    <w:tmpl w:val="17FE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A72F6"/>
    <w:multiLevelType w:val="hybridMultilevel"/>
    <w:tmpl w:val="4C4EA62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2119643986">
    <w:abstractNumId w:val="2"/>
  </w:num>
  <w:num w:numId="2" w16cid:durableId="1486972891">
    <w:abstractNumId w:val="5"/>
  </w:num>
  <w:num w:numId="3" w16cid:durableId="1428304953">
    <w:abstractNumId w:val="15"/>
  </w:num>
  <w:num w:numId="4" w16cid:durableId="2065134236">
    <w:abstractNumId w:val="11"/>
  </w:num>
  <w:num w:numId="5" w16cid:durableId="759914919">
    <w:abstractNumId w:val="0"/>
  </w:num>
  <w:num w:numId="6" w16cid:durableId="781926253">
    <w:abstractNumId w:val="13"/>
  </w:num>
  <w:num w:numId="7" w16cid:durableId="362828540">
    <w:abstractNumId w:val="17"/>
  </w:num>
  <w:num w:numId="8" w16cid:durableId="671685485">
    <w:abstractNumId w:val="32"/>
  </w:num>
  <w:num w:numId="9" w16cid:durableId="1625964900">
    <w:abstractNumId w:val="16"/>
  </w:num>
  <w:num w:numId="10" w16cid:durableId="838008871">
    <w:abstractNumId w:val="10"/>
  </w:num>
  <w:num w:numId="11" w16cid:durableId="206526153">
    <w:abstractNumId w:val="4"/>
  </w:num>
  <w:num w:numId="12" w16cid:durableId="1912421692">
    <w:abstractNumId w:val="22"/>
  </w:num>
  <w:num w:numId="13" w16cid:durableId="383408631">
    <w:abstractNumId w:val="14"/>
  </w:num>
  <w:num w:numId="14" w16cid:durableId="13169569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8484376">
    <w:abstractNumId w:val="8"/>
  </w:num>
  <w:num w:numId="16" w16cid:durableId="750665216">
    <w:abstractNumId w:val="33"/>
  </w:num>
  <w:num w:numId="17" w16cid:durableId="1716193965">
    <w:abstractNumId w:val="6"/>
    <w:lvlOverride w:ilvl="0">
      <w:startOverride w:val="1"/>
    </w:lvlOverride>
    <w:lvlOverride w:ilvl="1"/>
    <w:lvlOverride w:ilvl="2"/>
    <w:lvlOverride w:ilvl="3"/>
    <w:lvlOverride w:ilvl="4"/>
    <w:lvlOverride w:ilvl="5"/>
    <w:lvlOverride w:ilvl="6"/>
    <w:lvlOverride w:ilvl="7"/>
    <w:lvlOverride w:ilvl="8"/>
  </w:num>
  <w:num w:numId="18" w16cid:durableId="53745820">
    <w:abstractNumId w:val="27"/>
  </w:num>
  <w:num w:numId="19" w16cid:durableId="1226069519">
    <w:abstractNumId w:val="34"/>
  </w:num>
  <w:num w:numId="20" w16cid:durableId="956958301">
    <w:abstractNumId w:val="19"/>
  </w:num>
  <w:num w:numId="21" w16cid:durableId="148596899">
    <w:abstractNumId w:val="1"/>
  </w:num>
  <w:num w:numId="22" w16cid:durableId="112091310">
    <w:abstractNumId w:val="0"/>
  </w:num>
  <w:num w:numId="23" w16cid:durableId="2031757300">
    <w:abstractNumId w:val="30"/>
  </w:num>
  <w:num w:numId="24" w16cid:durableId="43843773">
    <w:abstractNumId w:val="25"/>
  </w:num>
  <w:num w:numId="25" w16cid:durableId="2080320039">
    <w:abstractNumId w:val="31"/>
  </w:num>
  <w:num w:numId="26" w16cid:durableId="1615019869">
    <w:abstractNumId w:val="7"/>
  </w:num>
  <w:num w:numId="27" w16cid:durableId="507522535">
    <w:abstractNumId w:val="3"/>
  </w:num>
  <w:num w:numId="28" w16cid:durableId="562102637">
    <w:abstractNumId w:val="9"/>
  </w:num>
  <w:num w:numId="29" w16cid:durableId="1886134161">
    <w:abstractNumId w:val="26"/>
  </w:num>
  <w:num w:numId="30" w16cid:durableId="656304838">
    <w:abstractNumId w:val="20"/>
  </w:num>
  <w:num w:numId="31" w16cid:durableId="789396995">
    <w:abstractNumId w:val="35"/>
  </w:num>
  <w:num w:numId="32" w16cid:durableId="1634212780">
    <w:abstractNumId w:val="35"/>
  </w:num>
  <w:num w:numId="33" w16cid:durableId="1300185786">
    <w:abstractNumId w:val="21"/>
  </w:num>
  <w:num w:numId="34" w16cid:durableId="597178648">
    <w:abstractNumId w:val="18"/>
  </w:num>
  <w:num w:numId="35" w16cid:durableId="68696324">
    <w:abstractNumId w:val="12"/>
  </w:num>
  <w:num w:numId="36" w16cid:durableId="890657788">
    <w:abstractNumId w:val="28"/>
  </w:num>
  <w:num w:numId="37" w16cid:durableId="1847361207">
    <w:abstractNumId w:val="23"/>
  </w:num>
  <w:num w:numId="38" w16cid:durableId="1658001313">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0jaw3mE/VJnK+vAnRPzl2SPMTRQJPzisdARWrjuMpjJ5pZmMSYbuzN7gSM6fkPlhhi/EN8ztifuU5Sr6Kc7CA==" w:salt="oGC1vpxarA7oLB7KwEFO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00623 CS 20 June 2023"/>
    <w:docVar w:name="Trove_G_1_Withdraw" w:val="-1"/>
    <w:docVar w:name="Trove_H_Title_1" w:val="200623 CS 20 June 2023"/>
    <w:docVar w:name="Trove_H_Version_1" w:val=" "/>
  </w:docVars>
  <w:rsids>
    <w:rsidRoot w:val="0033058C"/>
    <w:rsid w:val="0001297A"/>
    <w:rsid w:val="000167C0"/>
    <w:rsid w:val="00023DCB"/>
    <w:rsid w:val="0003114B"/>
    <w:rsid w:val="00035FD3"/>
    <w:rsid w:val="00050B34"/>
    <w:rsid w:val="0005766E"/>
    <w:rsid w:val="00062D89"/>
    <w:rsid w:val="00065A24"/>
    <w:rsid w:val="0007083F"/>
    <w:rsid w:val="00071A7B"/>
    <w:rsid w:val="00077B4D"/>
    <w:rsid w:val="00092B09"/>
    <w:rsid w:val="000947F4"/>
    <w:rsid w:val="000A10E8"/>
    <w:rsid w:val="000B17C7"/>
    <w:rsid w:val="000B1C88"/>
    <w:rsid w:val="000B55AC"/>
    <w:rsid w:val="000B595A"/>
    <w:rsid w:val="000B5A00"/>
    <w:rsid w:val="000C4918"/>
    <w:rsid w:val="000C74EE"/>
    <w:rsid w:val="000D185F"/>
    <w:rsid w:val="000D36B2"/>
    <w:rsid w:val="000D47FA"/>
    <w:rsid w:val="000D6177"/>
    <w:rsid w:val="000E19B5"/>
    <w:rsid w:val="000E1ED4"/>
    <w:rsid w:val="000E321D"/>
    <w:rsid w:val="000F539A"/>
    <w:rsid w:val="00106305"/>
    <w:rsid w:val="00110190"/>
    <w:rsid w:val="001131C3"/>
    <w:rsid w:val="00124D06"/>
    <w:rsid w:val="00127616"/>
    <w:rsid w:val="00127C14"/>
    <w:rsid w:val="00131BD1"/>
    <w:rsid w:val="0014286E"/>
    <w:rsid w:val="0014553A"/>
    <w:rsid w:val="00147812"/>
    <w:rsid w:val="00147C00"/>
    <w:rsid w:val="00147FE2"/>
    <w:rsid w:val="00160051"/>
    <w:rsid w:val="001664B4"/>
    <w:rsid w:val="00166B1B"/>
    <w:rsid w:val="00171C04"/>
    <w:rsid w:val="00176F73"/>
    <w:rsid w:val="001A0930"/>
    <w:rsid w:val="001A13AD"/>
    <w:rsid w:val="001B5C5C"/>
    <w:rsid w:val="001C0D40"/>
    <w:rsid w:val="001C3529"/>
    <w:rsid w:val="001D0276"/>
    <w:rsid w:val="001E0BC8"/>
    <w:rsid w:val="001E2EFD"/>
    <w:rsid w:val="001E6952"/>
    <w:rsid w:val="001F0B42"/>
    <w:rsid w:val="0020265F"/>
    <w:rsid w:val="00203EE1"/>
    <w:rsid w:val="00210004"/>
    <w:rsid w:val="00213529"/>
    <w:rsid w:val="00220629"/>
    <w:rsid w:val="002212C0"/>
    <w:rsid w:val="00231A96"/>
    <w:rsid w:val="00233B85"/>
    <w:rsid w:val="00244FED"/>
    <w:rsid w:val="002465E2"/>
    <w:rsid w:val="00257452"/>
    <w:rsid w:val="00261CA5"/>
    <w:rsid w:val="00262BB4"/>
    <w:rsid w:val="0027377A"/>
    <w:rsid w:val="00282108"/>
    <w:rsid w:val="00282F06"/>
    <w:rsid w:val="00283F3F"/>
    <w:rsid w:val="00285E8E"/>
    <w:rsid w:val="00290465"/>
    <w:rsid w:val="002921E8"/>
    <w:rsid w:val="00292508"/>
    <w:rsid w:val="002A3143"/>
    <w:rsid w:val="002A5F7E"/>
    <w:rsid w:val="002B0CE4"/>
    <w:rsid w:val="002B7EA6"/>
    <w:rsid w:val="002C1F9E"/>
    <w:rsid w:val="002C2618"/>
    <w:rsid w:val="002C2E93"/>
    <w:rsid w:val="002D1F0C"/>
    <w:rsid w:val="002D4A83"/>
    <w:rsid w:val="002D7A8E"/>
    <w:rsid w:val="002E5B18"/>
    <w:rsid w:val="002E7099"/>
    <w:rsid w:val="002F050B"/>
    <w:rsid w:val="002F4F57"/>
    <w:rsid w:val="003045C0"/>
    <w:rsid w:val="00304B0C"/>
    <w:rsid w:val="003153AD"/>
    <w:rsid w:val="00316552"/>
    <w:rsid w:val="00317499"/>
    <w:rsid w:val="00317A74"/>
    <w:rsid w:val="00325509"/>
    <w:rsid w:val="0032631A"/>
    <w:rsid w:val="0033058C"/>
    <w:rsid w:val="003310E8"/>
    <w:rsid w:val="00335CAA"/>
    <w:rsid w:val="003367CF"/>
    <w:rsid w:val="003375FA"/>
    <w:rsid w:val="00340C5C"/>
    <w:rsid w:val="00346FF9"/>
    <w:rsid w:val="00366415"/>
    <w:rsid w:val="00376D33"/>
    <w:rsid w:val="003830AA"/>
    <w:rsid w:val="00383B87"/>
    <w:rsid w:val="0038502B"/>
    <w:rsid w:val="00385F87"/>
    <w:rsid w:val="00391E8B"/>
    <w:rsid w:val="00392A10"/>
    <w:rsid w:val="00393882"/>
    <w:rsid w:val="003A08AB"/>
    <w:rsid w:val="003A1A44"/>
    <w:rsid w:val="003D0D83"/>
    <w:rsid w:val="003D1A0C"/>
    <w:rsid w:val="003D5F54"/>
    <w:rsid w:val="003E30BA"/>
    <w:rsid w:val="003F2DFE"/>
    <w:rsid w:val="003F2F82"/>
    <w:rsid w:val="003F34AE"/>
    <w:rsid w:val="003F68EC"/>
    <w:rsid w:val="00404217"/>
    <w:rsid w:val="00414923"/>
    <w:rsid w:val="004164F7"/>
    <w:rsid w:val="00425E05"/>
    <w:rsid w:val="00436605"/>
    <w:rsid w:val="0044393E"/>
    <w:rsid w:val="00453D6B"/>
    <w:rsid w:val="0046151F"/>
    <w:rsid w:val="00462A86"/>
    <w:rsid w:val="00484166"/>
    <w:rsid w:val="00491C6F"/>
    <w:rsid w:val="00493682"/>
    <w:rsid w:val="0049539E"/>
    <w:rsid w:val="00497B70"/>
    <w:rsid w:val="004A0840"/>
    <w:rsid w:val="004A2428"/>
    <w:rsid w:val="004A7F78"/>
    <w:rsid w:val="004B07D4"/>
    <w:rsid w:val="004D3247"/>
    <w:rsid w:val="004D7348"/>
    <w:rsid w:val="004D7BA4"/>
    <w:rsid w:val="004E0BA7"/>
    <w:rsid w:val="004E753D"/>
    <w:rsid w:val="004F2A5A"/>
    <w:rsid w:val="004F313A"/>
    <w:rsid w:val="004F3791"/>
    <w:rsid w:val="004F3F57"/>
    <w:rsid w:val="00500267"/>
    <w:rsid w:val="0050107E"/>
    <w:rsid w:val="005014FF"/>
    <w:rsid w:val="00530423"/>
    <w:rsid w:val="00530A76"/>
    <w:rsid w:val="00531938"/>
    <w:rsid w:val="005336B7"/>
    <w:rsid w:val="005343A5"/>
    <w:rsid w:val="00535CF7"/>
    <w:rsid w:val="0054424B"/>
    <w:rsid w:val="005518CD"/>
    <w:rsid w:val="00555555"/>
    <w:rsid w:val="005562A0"/>
    <w:rsid w:val="00562026"/>
    <w:rsid w:val="00564A28"/>
    <w:rsid w:val="00565F02"/>
    <w:rsid w:val="00566ACF"/>
    <w:rsid w:val="00567B46"/>
    <w:rsid w:val="00571E1C"/>
    <w:rsid w:val="00573F43"/>
    <w:rsid w:val="005804A0"/>
    <w:rsid w:val="00581F05"/>
    <w:rsid w:val="005854C5"/>
    <w:rsid w:val="00586288"/>
    <w:rsid w:val="00586F2F"/>
    <w:rsid w:val="00586FF4"/>
    <w:rsid w:val="00590824"/>
    <w:rsid w:val="00590C7D"/>
    <w:rsid w:val="005916ED"/>
    <w:rsid w:val="00593C0A"/>
    <w:rsid w:val="00594424"/>
    <w:rsid w:val="00595B49"/>
    <w:rsid w:val="0059749D"/>
    <w:rsid w:val="005A103F"/>
    <w:rsid w:val="005A1A69"/>
    <w:rsid w:val="005A4F9D"/>
    <w:rsid w:val="005A5643"/>
    <w:rsid w:val="005A57AC"/>
    <w:rsid w:val="005A6D9A"/>
    <w:rsid w:val="005C1E32"/>
    <w:rsid w:val="005C5ACC"/>
    <w:rsid w:val="005D5BA8"/>
    <w:rsid w:val="005D6106"/>
    <w:rsid w:val="005D61B1"/>
    <w:rsid w:val="005D67CA"/>
    <w:rsid w:val="005D7E74"/>
    <w:rsid w:val="005E6A8A"/>
    <w:rsid w:val="005F0B2E"/>
    <w:rsid w:val="00600493"/>
    <w:rsid w:val="00600B65"/>
    <w:rsid w:val="006030F6"/>
    <w:rsid w:val="00603AAC"/>
    <w:rsid w:val="00604B70"/>
    <w:rsid w:val="00605DFE"/>
    <w:rsid w:val="00620410"/>
    <w:rsid w:val="0062402F"/>
    <w:rsid w:val="00624A26"/>
    <w:rsid w:val="006260A5"/>
    <w:rsid w:val="006363FB"/>
    <w:rsid w:val="00637B68"/>
    <w:rsid w:val="00637E1F"/>
    <w:rsid w:val="00645858"/>
    <w:rsid w:val="00651FA6"/>
    <w:rsid w:val="00657136"/>
    <w:rsid w:val="0065784A"/>
    <w:rsid w:val="0066001F"/>
    <w:rsid w:val="00676F2E"/>
    <w:rsid w:val="00693BAC"/>
    <w:rsid w:val="006A4CD0"/>
    <w:rsid w:val="006A7006"/>
    <w:rsid w:val="006B3B48"/>
    <w:rsid w:val="006B4006"/>
    <w:rsid w:val="006B6C7A"/>
    <w:rsid w:val="006C5666"/>
    <w:rsid w:val="006D3574"/>
    <w:rsid w:val="006E1E12"/>
    <w:rsid w:val="006F09EF"/>
    <w:rsid w:val="006F3155"/>
    <w:rsid w:val="006F379F"/>
    <w:rsid w:val="006F4286"/>
    <w:rsid w:val="006F7D37"/>
    <w:rsid w:val="007008AD"/>
    <w:rsid w:val="00700961"/>
    <w:rsid w:val="0070194E"/>
    <w:rsid w:val="00706B50"/>
    <w:rsid w:val="0071771F"/>
    <w:rsid w:val="00727160"/>
    <w:rsid w:val="007272F9"/>
    <w:rsid w:val="00727770"/>
    <w:rsid w:val="0073012D"/>
    <w:rsid w:val="00732A95"/>
    <w:rsid w:val="00732B02"/>
    <w:rsid w:val="00732C23"/>
    <w:rsid w:val="007334AE"/>
    <w:rsid w:val="00733DFE"/>
    <w:rsid w:val="00733F6D"/>
    <w:rsid w:val="0074383C"/>
    <w:rsid w:val="00743F5E"/>
    <w:rsid w:val="00745770"/>
    <w:rsid w:val="00753F9F"/>
    <w:rsid w:val="007543CF"/>
    <w:rsid w:val="007572EE"/>
    <w:rsid w:val="007603CA"/>
    <w:rsid w:val="00760C64"/>
    <w:rsid w:val="00765BB8"/>
    <w:rsid w:val="007677C6"/>
    <w:rsid w:val="00771F64"/>
    <w:rsid w:val="0077206F"/>
    <w:rsid w:val="007720AE"/>
    <w:rsid w:val="007722C7"/>
    <w:rsid w:val="0078139A"/>
    <w:rsid w:val="0078184E"/>
    <w:rsid w:val="007872D1"/>
    <w:rsid w:val="0079096F"/>
    <w:rsid w:val="00796CE8"/>
    <w:rsid w:val="007A5B64"/>
    <w:rsid w:val="007A7BC3"/>
    <w:rsid w:val="007B1817"/>
    <w:rsid w:val="007B37A2"/>
    <w:rsid w:val="007C332F"/>
    <w:rsid w:val="007D092C"/>
    <w:rsid w:val="007E46CE"/>
    <w:rsid w:val="007F27AD"/>
    <w:rsid w:val="007F38BE"/>
    <w:rsid w:val="00801536"/>
    <w:rsid w:val="0080265E"/>
    <w:rsid w:val="0080500E"/>
    <w:rsid w:val="0081525C"/>
    <w:rsid w:val="008261AE"/>
    <w:rsid w:val="00827979"/>
    <w:rsid w:val="00832231"/>
    <w:rsid w:val="00832577"/>
    <w:rsid w:val="008334C0"/>
    <w:rsid w:val="00835DBA"/>
    <w:rsid w:val="0083612D"/>
    <w:rsid w:val="008368F1"/>
    <w:rsid w:val="0084133A"/>
    <w:rsid w:val="008459E7"/>
    <w:rsid w:val="0084738B"/>
    <w:rsid w:val="008577FB"/>
    <w:rsid w:val="008578AA"/>
    <w:rsid w:val="00865B13"/>
    <w:rsid w:val="00866572"/>
    <w:rsid w:val="00877A69"/>
    <w:rsid w:val="00877B59"/>
    <w:rsid w:val="008A0004"/>
    <w:rsid w:val="008B0860"/>
    <w:rsid w:val="008B4015"/>
    <w:rsid w:val="008B6BC2"/>
    <w:rsid w:val="008C172C"/>
    <w:rsid w:val="008D3FC8"/>
    <w:rsid w:val="008E0367"/>
    <w:rsid w:val="008E47A4"/>
    <w:rsid w:val="008E588C"/>
    <w:rsid w:val="008E5C13"/>
    <w:rsid w:val="008F12F5"/>
    <w:rsid w:val="008F1911"/>
    <w:rsid w:val="008F238F"/>
    <w:rsid w:val="008F4ECB"/>
    <w:rsid w:val="009012DB"/>
    <w:rsid w:val="009015EC"/>
    <w:rsid w:val="00902991"/>
    <w:rsid w:val="00903391"/>
    <w:rsid w:val="00903C30"/>
    <w:rsid w:val="00904C0C"/>
    <w:rsid w:val="00914238"/>
    <w:rsid w:val="009164FC"/>
    <w:rsid w:val="00922746"/>
    <w:rsid w:val="00924650"/>
    <w:rsid w:val="00925F38"/>
    <w:rsid w:val="0093319F"/>
    <w:rsid w:val="00933431"/>
    <w:rsid w:val="00934923"/>
    <w:rsid w:val="009410C2"/>
    <w:rsid w:val="009410F3"/>
    <w:rsid w:val="009420F0"/>
    <w:rsid w:val="00943903"/>
    <w:rsid w:val="00947021"/>
    <w:rsid w:val="00950C04"/>
    <w:rsid w:val="00955C73"/>
    <w:rsid w:val="009608D1"/>
    <w:rsid w:val="00960D70"/>
    <w:rsid w:val="00962CB3"/>
    <w:rsid w:val="00964BAC"/>
    <w:rsid w:val="00966BAE"/>
    <w:rsid w:val="00991B23"/>
    <w:rsid w:val="00994A3D"/>
    <w:rsid w:val="00996465"/>
    <w:rsid w:val="009A098C"/>
    <w:rsid w:val="009A2885"/>
    <w:rsid w:val="009A5E16"/>
    <w:rsid w:val="009B2281"/>
    <w:rsid w:val="009B42F4"/>
    <w:rsid w:val="009B6C73"/>
    <w:rsid w:val="009C0D9B"/>
    <w:rsid w:val="009C2DE8"/>
    <w:rsid w:val="009C4142"/>
    <w:rsid w:val="009C7000"/>
    <w:rsid w:val="009D284A"/>
    <w:rsid w:val="009D71B8"/>
    <w:rsid w:val="009E4BEC"/>
    <w:rsid w:val="009E5618"/>
    <w:rsid w:val="009E6862"/>
    <w:rsid w:val="009E7137"/>
    <w:rsid w:val="009F4EB5"/>
    <w:rsid w:val="009F56CB"/>
    <w:rsid w:val="00A00BDD"/>
    <w:rsid w:val="00A01335"/>
    <w:rsid w:val="00A0680B"/>
    <w:rsid w:val="00A06C50"/>
    <w:rsid w:val="00A07A25"/>
    <w:rsid w:val="00A07F1F"/>
    <w:rsid w:val="00A1680B"/>
    <w:rsid w:val="00A234A0"/>
    <w:rsid w:val="00A251B4"/>
    <w:rsid w:val="00A254F0"/>
    <w:rsid w:val="00A263E6"/>
    <w:rsid w:val="00A26768"/>
    <w:rsid w:val="00A3444B"/>
    <w:rsid w:val="00A358CC"/>
    <w:rsid w:val="00A41613"/>
    <w:rsid w:val="00A45BC2"/>
    <w:rsid w:val="00A467B1"/>
    <w:rsid w:val="00A47BC8"/>
    <w:rsid w:val="00A6483C"/>
    <w:rsid w:val="00A65FD8"/>
    <w:rsid w:val="00A71A56"/>
    <w:rsid w:val="00A7491F"/>
    <w:rsid w:val="00A859D1"/>
    <w:rsid w:val="00A8610B"/>
    <w:rsid w:val="00A9071A"/>
    <w:rsid w:val="00A95C31"/>
    <w:rsid w:val="00A96492"/>
    <w:rsid w:val="00AA051A"/>
    <w:rsid w:val="00AA08FB"/>
    <w:rsid w:val="00AA40B7"/>
    <w:rsid w:val="00AA7DA4"/>
    <w:rsid w:val="00AC7AC2"/>
    <w:rsid w:val="00AD74AD"/>
    <w:rsid w:val="00AE24AE"/>
    <w:rsid w:val="00B016F5"/>
    <w:rsid w:val="00B02D15"/>
    <w:rsid w:val="00B04B75"/>
    <w:rsid w:val="00B04C9E"/>
    <w:rsid w:val="00B07149"/>
    <w:rsid w:val="00B135E2"/>
    <w:rsid w:val="00B142B2"/>
    <w:rsid w:val="00B14439"/>
    <w:rsid w:val="00B15A32"/>
    <w:rsid w:val="00B3422F"/>
    <w:rsid w:val="00B35042"/>
    <w:rsid w:val="00B365E5"/>
    <w:rsid w:val="00B36D3A"/>
    <w:rsid w:val="00B42C94"/>
    <w:rsid w:val="00B45724"/>
    <w:rsid w:val="00B521AC"/>
    <w:rsid w:val="00B52B5A"/>
    <w:rsid w:val="00B54E7F"/>
    <w:rsid w:val="00B55813"/>
    <w:rsid w:val="00B639AF"/>
    <w:rsid w:val="00B63DE9"/>
    <w:rsid w:val="00B64259"/>
    <w:rsid w:val="00B64594"/>
    <w:rsid w:val="00B67F0E"/>
    <w:rsid w:val="00B75DCB"/>
    <w:rsid w:val="00B83814"/>
    <w:rsid w:val="00B94FB3"/>
    <w:rsid w:val="00B9605B"/>
    <w:rsid w:val="00B96CDF"/>
    <w:rsid w:val="00BA11A2"/>
    <w:rsid w:val="00BA5152"/>
    <w:rsid w:val="00BA7557"/>
    <w:rsid w:val="00BB3D2E"/>
    <w:rsid w:val="00BB7B1C"/>
    <w:rsid w:val="00BB7DE0"/>
    <w:rsid w:val="00BC3553"/>
    <w:rsid w:val="00BC3689"/>
    <w:rsid w:val="00BD33FF"/>
    <w:rsid w:val="00BE0594"/>
    <w:rsid w:val="00BE400F"/>
    <w:rsid w:val="00BF1DA5"/>
    <w:rsid w:val="00BF6946"/>
    <w:rsid w:val="00C02C35"/>
    <w:rsid w:val="00C12D22"/>
    <w:rsid w:val="00C131AF"/>
    <w:rsid w:val="00C17A28"/>
    <w:rsid w:val="00C2317C"/>
    <w:rsid w:val="00C2535E"/>
    <w:rsid w:val="00C269BC"/>
    <w:rsid w:val="00C33F3C"/>
    <w:rsid w:val="00C355D4"/>
    <w:rsid w:val="00C438E8"/>
    <w:rsid w:val="00C558ED"/>
    <w:rsid w:val="00C64FD4"/>
    <w:rsid w:val="00C6783B"/>
    <w:rsid w:val="00C74E7F"/>
    <w:rsid w:val="00C84438"/>
    <w:rsid w:val="00C85FBD"/>
    <w:rsid w:val="00C8706F"/>
    <w:rsid w:val="00C90305"/>
    <w:rsid w:val="00C9423E"/>
    <w:rsid w:val="00CB35A4"/>
    <w:rsid w:val="00CB35A9"/>
    <w:rsid w:val="00CB42C4"/>
    <w:rsid w:val="00CC2E18"/>
    <w:rsid w:val="00CC36E7"/>
    <w:rsid w:val="00CC643A"/>
    <w:rsid w:val="00CD28EA"/>
    <w:rsid w:val="00CE0C98"/>
    <w:rsid w:val="00CE43EF"/>
    <w:rsid w:val="00CF34D3"/>
    <w:rsid w:val="00CF4A55"/>
    <w:rsid w:val="00CF6AA7"/>
    <w:rsid w:val="00CF7EBC"/>
    <w:rsid w:val="00D07837"/>
    <w:rsid w:val="00D15539"/>
    <w:rsid w:val="00D15EBE"/>
    <w:rsid w:val="00D25829"/>
    <w:rsid w:val="00D41E82"/>
    <w:rsid w:val="00D452FC"/>
    <w:rsid w:val="00D51568"/>
    <w:rsid w:val="00D56C50"/>
    <w:rsid w:val="00D60EC2"/>
    <w:rsid w:val="00D643D6"/>
    <w:rsid w:val="00D67A24"/>
    <w:rsid w:val="00D84204"/>
    <w:rsid w:val="00D842B9"/>
    <w:rsid w:val="00D87257"/>
    <w:rsid w:val="00D924A1"/>
    <w:rsid w:val="00DA2CFA"/>
    <w:rsid w:val="00DA6B1A"/>
    <w:rsid w:val="00DB1E62"/>
    <w:rsid w:val="00DB776F"/>
    <w:rsid w:val="00DC1DF9"/>
    <w:rsid w:val="00DC50A6"/>
    <w:rsid w:val="00DC5392"/>
    <w:rsid w:val="00DD1F19"/>
    <w:rsid w:val="00DD49F3"/>
    <w:rsid w:val="00DD6BFB"/>
    <w:rsid w:val="00DD74AF"/>
    <w:rsid w:val="00DE20FE"/>
    <w:rsid w:val="00DE372E"/>
    <w:rsid w:val="00DF5A04"/>
    <w:rsid w:val="00E00CFB"/>
    <w:rsid w:val="00E00E2C"/>
    <w:rsid w:val="00E0302B"/>
    <w:rsid w:val="00E04A33"/>
    <w:rsid w:val="00E07468"/>
    <w:rsid w:val="00E07B3A"/>
    <w:rsid w:val="00E23F88"/>
    <w:rsid w:val="00E40B34"/>
    <w:rsid w:val="00E4537D"/>
    <w:rsid w:val="00E50C30"/>
    <w:rsid w:val="00E51DF2"/>
    <w:rsid w:val="00E55740"/>
    <w:rsid w:val="00E56173"/>
    <w:rsid w:val="00E60007"/>
    <w:rsid w:val="00E60158"/>
    <w:rsid w:val="00E66059"/>
    <w:rsid w:val="00E85019"/>
    <w:rsid w:val="00E865ED"/>
    <w:rsid w:val="00E92C2D"/>
    <w:rsid w:val="00E92FD1"/>
    <w:rsid w:val="00E965A0"/>
    <w:rsid w:val="00EA1CA6"/>
    <w:rsid w:val="00EA5741"/>
    <w:rsid w:val="00EB36A4"/>
    <w:rsid w:val="00EB3EC0"/>
    <w:rsid w:val="00EB730F"/>
    <w:rsid w:val="00EC4786"/>
    <w:rsid w:val="00ED211A"/>
    <w:rsid w:val="00ED392F"/>
    <w:rsid w:val="00ED58D3"/>
    <w:rsid w:val="00EE1FB9"/>
    <w:rsid w:val="00EE24E4"/>
    <w:rsid w:val="00EE773B"/>
    <w:rsid w:val="00EF3070"/>
    <w:rsid w:val="00F006C2"/>
    <w:rsid w:val="00F035EC"/>
    <w:rsid w:val="00F053CD"/>
    <w:rsid w:val="00F10150"/>
    <w:rsid w:val="00F10E37"/>
    <w:rsid w:val="00F12AB7"/>
    <w:rsid w:val="00F12FB9"/>
    <w:rsid w:val="00F146A3"/>
    <w:rsid w:val="00F22AC9"/>
    <w:rsid w:val="00F25C7E"/>
    <w:rsid w:val="00F26057"/>
    <w:rsid w:val="00F3236F"/>
    <w:rsid w:val="00F36C7B"/>
    <w:rsid w:val="00F400BC"/>
    <w:rsid w:val="00F4388D"/>
    <w:rsid w:val="00F44DA6"/>
    <w:rsid w:val="00F458A1"/>
    <w:rsid w:val="00F45AA5"/>
    <w:rsid w:val="00F47EEF"/>
    <w:rsid w:val="00F55A4B"/>
    <w:rsid w:val="00F565BD"/>
    <w:rsid w:val="00F6663D"/>
    <w:rsid w:val="00F675A7"/>
    <w:rsid w:val="00F844DE"/>
    <w:rsid w:val="00F860D0"/>
    <w:rsid w:val="00F91F68"/>
    <w:rsid w:val="00F92711"/>
    <w:rsid w:val="00F9489F"/>
    <w:rsid w:val="00F95E24"/>
    <w:rsid w:val="00F97B2A"/>
    <w:rsid w:val="00FA4443"/>
    <w:rsid w:val="00FB3957"/>
    <w:rsid w:val="00FC3149"/>
    <w:rsid w:val="00FC4D07"/>
    <w:rsid w:val="00FD03E1"/>
    <w:rsid w:val="00FD1742"/>
    <w:rsid w:val="00FD1FF4"/>
    <w:rsid w:val="00FF0FBC"/>
    <w:rsid w:val="00FF54CE"/>
    <w:rsid w:val="00FF5AAF"/>
    <w:rsid w:val="00FF7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9029"/>
  <w15:chartTrackingRefBased/>
  <w15:docId w15:val="{5A7C5DD9-696B-46D4-8724-58CEAA43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29"/>
    <w:pPr>
      <w:spacing w:after="0" w:line="240" w:lineRule="auto"/>
    </w:pPr>
    <w:rPr>
      <w:rFonts w:ascii="Arial" w:eastAsia="Calibri" w:hAnsi="Arial" w:cs="Times New Roman"/>
      <w:sz w:val="24"/>
    </w:rPr>
  </w:style>
  <w:style w:type="paragraph" w:styleId="Heading1">
    <w:name w:val="heading 1"/>
    <w:basedOn w:val="Normal"/>
    <w:next w:val="Normal"/>
    <w:link w:val="Heading1Char"/>
    <w:qFormat/>
    <w:rsid w:val="0033058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33058C"/>
    <w:pPr>
      <w:keepNext/>
      <w:keepLines/>
      <w:outlineLvl w:val="1"/>
    </w:pPr>
    <w:rPr>
      <w:rFonts w:eastAsiaTheme="majorEastAsia" w:cstheme="majorBidi"/>
      <w:szCs w:val="26"/>
    </w:rPr>
  </w:style>
  <w:style w:type="paragraph" w:styleId="Heading4">
    <w:name w:val="heading 4"/>
    <w:basedOn w:val="Normal"/>
    <w:next w:val="Normal"/>
    <w:link w:val="Heading4Char"/>
    <w:uiPriority w:val="9"/>
    <w:unhideWhenUsed/>
    <w:qFormat/>
    <w:rsid w:val="008F12F5"/>
    <w:pPr>
      <w:keepNext/>
      <w:keepLines/>
      <w:spacing w:before="200"/>
      <w:outlineLvl w:val="3"/>
    </w:pPr>
    <w:rPr>
      <w:rFonts w:ascii="Calibri Light" w:eastAsia="Times New Roman" w:hAnsi="Calibri Light"/>
      <w:b/>
      <w:bCs/>
      <w:i/>
      <w:iCs/>
      <w:color w:val="4472C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58C"/>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33058C"/>
    <w:rPr>
      <w:rFonts w:ascii="Arial" w:eastAsiaTheme="majorEastAsia" w:hAnsi="Arial" w:cstheme="majorBidi"/>
      <w:sz w:val="24"/>
      <w:szCs w:val="26"/>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33058C"/>
    <w:pPr>
      <w:ind w:left="720"/>
    </w:pPr>
    <w:rPr>
      <w:rFonts w:ascii="Calibri" w:eastAsiaTheme="minorHAnsi" w:hAnsi="Calibri"/>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33058C"/>
    <w:rPr>
      <w:rFonts w:ascii="Calibri" w:hAnsi="Calibri" w:cs="Times New Roman"/>
    </w:rPr>
  </w:style>
  <w:style w:type="paragraph" w:customStyle="1" w:styleId="xxxmsonormal">
    <w:name w:val="x_xxmsonormal"/>
    <w:basedOn w:val="Normal"/>
    <w:rsid w:val="0033058C"/>
    <w:rPr>
      <w:rFonts w:ascii="Calibri" w:eastAsiaTheme="minorHAnsi" w:hAnsi="Calibri" w:cs="Calibri"/>
      <w:sz w:val="22"/>
      <w:lang w:eastAsia="en-GB"/>
    </w:rPr>
  </w:style>
  <w:style w:type="paragraph" w:styleId="BlockText">
    <w:name w:val="Block Text"/>
    <w:basedOn w:val="Normal"/>
    <w:autoRedefine/>
    <w:qFormat/>
    <w:rsid w:val="0033058C"/>
    <w:rPr>
      <w:rFonts w:eastAsia="Times New Roman" w:cs="Arial"/>
      <w:color w:val="000000"/>
      <w:szCs w:val="24"/>
    </w:rPr>
  </w:style>
  <w:style w:type="character" w:styleId="Strong">
    <w:name w:val="Strong"/>
    <w:basedOn w:val="DefaultParagraphFont"/>
    <w:uiPriority w:val="22"/>
    <w:qFormat/>
    <w:rsid w:val="0033058C"/>
    <w:rPr>
      <w:b/>
      <w:bCs/>
    </w:rPr>
  </w:style>
  <w:style w:type="table" w:styleId="TableGrid">
    <w:name w:val="Table Grid"/>
    <w:basedOn w:val="TableNormal"/>
    <w:uiPriority w:val="39"/>
    <w:rsid w:val="0033058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AA40B7"/>
    <w:pPr>
      <w:spacing w:after="0" w:line="240" w:lineRule="auto"/>
    </w:pPr>
    <w:rPr>
      <w:rFonts w:ascii="Arial" w:eastAsia="Times New Roman" w:hAnsi="Arial" w:cs="Times New Roman"/>
      <w:sz w:val="24"/>
      <w:szCs w:val="20"/>
      <w:lang w:eastAsia="en-GB"/>
    </w:rPr>
  </w:style>
  <w:style w:type="paragraph" w:customStyle="1" w:styleId="Normal0">
    <w:name w:val="Normal_0"/>
    <w:qFormat/>
    <w:rsid w:val="0033058C"/>
    <w:pPr>
      <w:spacing w:after="0" w:line="240" w:lineRule="auto"/>
    </w:pPr>
    <w:rPr>
      <w:rFonts w:ascii="Arial" w:eastAsia="Times New Roman" w:hAnsi="Arial" w:cs="Times New Roman"/>
      <w:sz w:val="20"/>
      <w:szCs w:val="20"/>
      <w:lang w:eastAsia="en-GB"/>
    </w:rPr>
  </w:style>
  <w:style w:type="character" w:styleId="Hyperlink">
    <w:name w:val="Hyperlink"/>
    <w:uiPriority w:val="99"/>
    <w:unhideWhenUsed/>
    <w:rsid w:val="0033058C"/>
    <w:rPr>
      <w:color w:val="0000FF"/>
      <w:u w:val="single"/>
    </w:rPr>
  </w:style>
  <w:style w:type="paragraph" w:styleId="NormalWeb">
    <w:name w:val="Normal (Web)"/>
    <w:basedOn w:val="Normal"/>
    <w:uiPriority w:val="99"/>
    <w:unhideWhenUsed/>
    <w:rsid w:val="0033058C"/>
    <w:pPr>
      <w:spacing w:before="100" w:beforeAutospacing="1" w:after="100" w:afterAutospacing="1"/>
    </w:pPr>
    <w:rPr>
      <w:rFonts w:ascii="Times New Roman" w:eastAsia="Times New Roman" w:hAnsi="Times New Roman"/>
      <w:szCs w:val="24"/>
      <w:lang w:eastAsia="en-GB"/>
    </w:rPr>
  </w:style>
  <w:style w:type="paragraph" w:styleId="Header">
    <w:name w:val="header"/>
    <w:basedOn w:val="Normal0"/>
    <w:link w:val="HeaderChar"/>
    <w:uiPriority w:val="99"/>
    <w:unhideWhenUsed/>
    <w:rsid w:val="0033058C"/>
    <w:pPr>
      <w:tabs>
        <w:tab w:val="center" w:pos="4513"/>
        <w:tab w:val="right" w:pos="9026"/>
      </w:tabs>
    </w:pPr>
  </w:style>
  <w:style w:type="character" w:customStyle="1" w:styleId="HeaderChar">
    <w:name w:val="Header Char"/>
    <w:basedOn w:val="DefaultParagraphFont"/>
    <w:link w:val="Header"/>
    <w:uiPriority w:val="99"/>
    <w:rsid w:val="0033058C"/>
    <w:rPr>
      <w:rFonts w:ascii="Arial" w:eastAsia="Times New Roman" w:hAnsi="Arial" w:cs="Times New Roman"/>
      <w:sz w:val="20"/>
      <w:szCs w:val="20"/>
      <w:lang w:eastAsia="en-GB"/>
    </w:rPr>
  </w:style>
  <w:style w:type="paragraph" w:styleId="Footer">
    <w:name w:val="footer"/>
    <w:basedOn w:val="Normal0"/>
    <w:link w:val="FooterChar"/>
    <w:uiPriority w:val="99"/>
    <w:unhideWhenUsed/>
    <w:rsid w:val="0033058C"/>
    <w:pPr>
      <w:tabs>
        <w:tab w:val="center" w:pos="4513"/>
        <w:tab w:val="right" w:pos="9026"/>
      </w:tabs>
    </w:pPr>
  </w:style>
  <w:style w:type="character" w:customStyle="1" w:styleId="FooterChar">
    <w:name w:val="Footer Char"/>
    <w:basedOn w:val="DefaultParagraphFont"/>
    <w:link w:val="Footer"/>
    <w:uiPriority w:val="99"/>
    <w:rsid w:val="0033058C"/>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unhideWhenUsed/>
    <w:rsid w:val="0033058C"/>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33058C"/>
    <w:rPr>
      <w:rFonts w:ascii="Times New Roman" w:hAnsi="Times New Roman" w:cs="Times New Roman"/>
      <w:sz w:val="20"/>
      <w:szCs w:val="20"/>
    </w:rPr>
  </w:style>
  <w:style w:type="paragraph" w:customStyle="1" w:styleId="BulletText2">
    <w:name w:val="Bullet Text 2"/>
    <w:basedOn w:val="Normal"/>
    <w:rsid w:val="0033058C"/>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3305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058C"/>
    <w:rPr>
      <w:rFonts w:ascii="Calibri" w:hAnsi="Calibri"/>
      <w:szCs w:val="21"/>
    </w:rPr>
  </w:style>
  <w:style w:type="paragraph" w:styleId="FootnoteText">
    <w:name w:val="footnote text"/>
    <w:basedOn w:val="Normal"/>
    <w:link w:val="FootnoteTextChar"/>
    <w:uiPriority w:val="99"/>
    <w:semiHidden/>
    <w:unhideWhenUsed/>
    <w:rsid w:val="003305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58C"/>
    <w:rPr>
      <w:sz w:val="20"/>
      <w:szCs w:val="20"/>
    </w:rPr>
  </w:style>
  <w:style w:type="character" w:styleId="FootnoteReference">
    <w:name w:val="footnote reference"/>
    <w:basedOn w:val="DefaultParagraphFont"/>
    <w:uiPriority w:val="99"/>
    <w:semiHidden/>
    <w:unhideWhenUsed/>
    <w:rsid w:val="0033058C"/>
    <w:rPr>
      <w:vertAlign w:val="superscript"/>
    </w:rPr>
  </w:style>
  <w:style w:type="paragraph" w:styleId="Revision">
    <w:name w:val="Revision"/>
    <w:hidden/>
    <w:uiPriority w:val="99"/>
    <w:semiHidden/>
    <w:rsid w:val="0033058C"/>
    <w:pPr>
      <w:spacing w:after="0" w:line="240" w:lineRule="auto"/>
    </w:pPr>
    <w:rPr>
      <w:rFonts w:ascii="Arial" w:eastAsia="Calibri" w:hAnsi="Arial" w:cs="Times New Roman"/>
      <w:sz w:val="24"/>
    </w:rPr>
  </w:style>
  <w:style w:type="paragraph" w:customStyle="1" w:styleId="xmsonormal">
    <w:name w:val="x_msonormal"/>
    <w:basedOn w:val="Normal"/>
    <w:rsid w:val="00BE0594"/>
    <w:rPr>
      <w:rFonts w:ascii="Calibri" w:eastAsiaTheme="minorHAnsi" w:hAnsi="Calibri" w:cs="Calibri"/>
      <w:sz w:val="22"/>
      <w:lang w:eastAsia="en-GB"/>
    </w:rPr>
  </w:style>
  <w:style w:type="paragraph" w:styleId="BalloonText">
    <w:name w:val="Balloon Text"/>
    <w:basedOn w:val="Normal"/>
    <w:link w:val="BalloonTextChar"/>
    <w:unhideWhenUsed/>
    <w:rsid w:val="00753F9F"/>
    <w:rPr>
      <w:rFonts w:ascii="Segoe UI" w:hAnsi="Segoe UI" w:cs="Segoe UI"/>
      <w:sz w:val="18"/>
      <w:szCs w:val="18"/>
    </w:rPr>
  </w:style>
  <w:style w:type="character" w:customStyle="1" w:styleId="BalloonTextChar">
    <w:name w:val="Balloon Text Char"/>
    <w:basedOn w:val="DefaultParagraphFont"/>
    <w:link w:val="BalloonText"/>
    <w:rsid w:val="00753F9F"/>
    <w:rPr>
      <w:rFonts w:ascii="Segoe UI" w:eastAsia="Calibri" w:hAnsi="Segoe UI" w:cs="Segoe UI"/>
      <w:sz w:val="18"/>
      <w:szCs w:val="18"/>
    </w:rPr>
  </w:style>
  <w:style w:type="table" w:styleId="GridTable4-Accent5">
    <w:name w:val="Grid Table 4 Accent 5"/>
    <w:basedOn w:val="TableNormal"/>
    <w:uiPriority w:val="49"/>
    <w:rsid w:val="00283F3F"/>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gmail-s1ppyq">
    <w:name w:val="gmail-s1ppyq"/>
    <w:basedOn w:val="DefaultParagraphFont"/>
    <w:rsid w:val="008F1911"/>
  </w:style>
  <w:style w:type="character" w:customStyle="1" w:styleId="gmail-apple-converted-space">
    <w:name w:val="gmail-apple-converted-space"/>
    <w:basedOn w:val="DefaultParagraphFont"/>
    <w:rsid w:val="008F1911"/>
  </w:style>
  <w:style w:type="table" w:styleId="ListTable4-Accent5">
    <w:name w:val="List Table 4 Accent 5"/>
    <w:basedOn w:val="TableNormal"/>
    <w:uiPriority w:val="49"/>
    <w:rsid w:val="00106305"/>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ontentpasted0">
    <w:name w:val="contentpasted0"/>
    <w:basedOn w:val="DefaultParagraphFont"/>
    <w:rsid w:val="00603AAC"/>
  </w:style>
  <w:style w:type="character" w:customStyle="1" w:styleId="bumpedfont15">
    <w:name w:val="bumpedfont15"/>
    <w:basedOn w:val="DefaultParagraphFont"/>
    <w:rsid w:val="00F565BD"/>
  </w:style>
  <w:style w:type="character" w:customStyle="1" w:styleId="apple-converted-space">
    <w:name w:val="apple-converted-space"/>
    <w:basedOn w:val="DefaultParagraphFont"/>
    <w:rsid w:val="00023DCB"/>
  </w:style>
  <w:style w:type="character" w:customStyle="1" w:styleId="s1">
    <w:name w:val="s1"/>
    <w:basedOn w:val="DefaultParagraphFont"/>
    <w:rsid w:val="0074383C"/>
  </w:style>
  <w:style w:type="character" w:customStyle="1" w:styleId="s2">
    <w:name w:val="s2"/>
    <w:basedOn w:val="DefaultParagraphFont"/>
    <w:rsid w:val="0074383C"/>
  </w:style>
  <w:style w:type="character" w:customStyle="1" w:styleId="s3">
    <w:name w:val="s3"/>
    <w:basedOn w:val="DefaultParagraphFont"/>
    <w:rsid w:val="0074383C"/>
  </w:style>
  <w:style w:type="numbering" w:customStyle="1" w:styleId="NoList1">
    <w:name w:val="No List1"/>
    <w:next w:val="NoList"/>
    <w:semiHidden/>
    <w:rsid w:val="008B4015"/>
  </w:style>
  <w:style w:type="paragraph" w:customStyle="1" w:styleId="Classification">
    <w:name w:val="Classification"/>
    <w:basedOn w:val="Normal0"/>
    <w:qFormat/>
    <w:rsid w:val="008B4015"/>
    <w:pPr>
      <w:spacing w:before="120" w:after="120"/>
      <w:jc w:val="both"/>
    </w:pPr>
    <w:rPr>
      <w:rFonts w:eastAsia="Calibri" w:cs="Arial"/>
      <w:sz w:val="24"/>
      <w:szCs w:val="24"/>
      <w:lang w:eastAsia="en-US"/>
    </w:rPr>
  </w:style>
  <w:style w:type="character" w:styleId="PlaceholderText">
    <w:name w:val="Placeholder Text"/>
    <w:uiPriority w:val="99"/>
    <w:semiHidden/>
    <w:rsid w:val="008B4015"/>
    <w:rPr>
      <w:rFonts w:ascii="Arial" w:eastAsia="Calibri" w:hAnsi="Arial"/>
      <w:color w:val="808080"/>
    </w:rPr>
  </w:style>
  <w:style w:type="paragraph" w:customStyle="1" w:styleId="Normal1">
    <w:name w:val="Normal_1"/>
    <w:qFormat/>
    <w:rsid w:val="008B4015"/>
    <w:pPr>
      <w:spacing w:after="0" w:line="240" w:lineRule="auto"/>
    </w:pPr>
    <w:rPr>
      <w:rFonts w:ascii="Times New Roman" w:eastAsia="Times New Roman" w:hAnsi="Times New Roman" w:cs="Times New Roman"/>
      <w:sz w:val="24"/>
      <w:szCs w:val="24"/>
      <w:lang w:eastAsia="en-GB"/>
    </w:rPr>
  </w:style>
  <w:style w:type="numbering" w:customStyle="1" w:styleId="NoList2">
    <w:name w:val="No List2"/>
    <w:next w:val="NoList"/>
    <w:semiHidden/>
    <w:rsid w:val="00F44DA6"/>
  </w:style>
  <w:style w:type="character" w:customStyle="1" w:styleId="Heading4Char">
    <w:name w:val="Heading 4 Char"/>
    <w:basedOn w:val="DefaultParagraphFont"/>
    <w:link w:val="Heading4"/>
    <w:uiPriority w:val="9"/>
    <w:rsid w:val="008F12F5"/>
    <w:rPr>
      <w:rFonts w:ascii="Calibri Light" w:eastAsia="Times New Roman" w:hAnsi="Calibri Light" w:cs="Times New Roman"/>
      <w:b/>
      <w:bCs/>
      <w:i/>
      <w:iCs/>
      <w:color w:val="4472C4"/>
    </w:rPr>
  </w:style>
  <w:style w:type="numbering" w:customStyle="1" w:styleId="NoList3">
    <w:name w:val="No List3"/>
    <w:next w:val="NoList"/>
    <w:semiHidden/>
    <w:rsid w:val="008F12F5"/>
  </w:style>
  <w:style w:type="table" w:customStyle="1" w:styleId="TableGrid1">
    <w:name w:val="Table Grid1"/>
    <w:basedOn w:val="TableNormal"/>
    <w:next w:val="TableGrid"/>
    <w:uiPriority w:val="39"/>
    <w:rsid w:val="008F12F5"/>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F12F5"/>
    <w:pPr>
      <w:spacing w:after="0" w:line="240" w:lineRule="auto"/>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8F12F5"/>
    <w:rPr>
      <w:sz w:val="16"/>
      <w:szCs w:val="16"/>
    </w:rPr>
  </w:style>
  <w:style w:type="paragraph" w:styleId="CommentText">
    <w:name w:val="annotation text"/>
    <w:basedOn w:val="Normal"/>
    <w:link w:val="CommentTextChar"/>
    <w:rsid w:val="008F12F5"/>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rsid w:val="008F12F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8F12F5"/>
    <w:rPr>
      <w:b/>
      <w:bCs/>
    </w:rPr>
  </w:style>
  <w:style w:type="character" w:customStyle="1" w:styleId="CommentSubjectChar">
    <w:name w:val="Comment Subject Char"/>
    <w:basedOn w:val="CommentTextChar"/>
    <w:link w:val="CommentSubject"/>
    <w:rsid w:val="008F12F5"/>
    <w:rPr>
      <w:rFonts w:ascii="Times New Roman" w:eastAsia="Times New Roman" w:hAnsi="Times New Roman" w:cs="Times New Roman"/>
      <w:b/>
      <w:bCs/>
      <w:sz w:val="20"/>
      <w:szCs w:val="20"/>
      <w:lang w:eastAsia="en-GB"/>
    </w:rPr>
  </w:style>
  <w:style w:type="numbering" w:customStyle="1" w:styleId="NoList4">
    <w:name w:val="No List4"/>
    <w:next w:val="NoList"/>
    <w:semiHidden/>
    <w:rsid w:val="00F95E24"/>
  </w:style>
  <w:style w:type="paragraph" w:styleId="BodyText">
    <w:name w:val="Body Text"/>
    <w:basedOn w:val="Normal"/>
    <w:link w:val="BodyTextChar"/>
    <w:uiPriority w:val="99"/>
    <w:semiHidden/>
    <w:unhideWhenUsed/>
    <w:rsid w:val="00567B46"/>
    <w:pPr>
      <w:spacing w:after="120"/>
    </w:pPr>
  </w:style>
  <w:style w:type="character" w:customStyle="1" w:styleId="BodyTextChar">
    <w:name w:val="Body Text Char"/>
    <w:basedOn w:val="DefaultParagraphFont"/>
    <w:link w:val="BodyText"/>
    <w:uiPriority w:val="99"/>
    <w:semiHidden/>
    <w:rsid w:val="00567B46"/>
    <w:rPr>
      <w:rFonts w:ascii="Arial" w:eastAsia="Calibri" w:hAnsi="Arial" w:cs="Times New Roman"/>
      <w:sz w:val="24"/>
    </w:rPr>
  </w:style>
  <w:style w:type="numbering" w:customStyle="1" w:styleId="NoList5">
    <w:name w:val="No List5"/>
    <w:next w:val="NoList"/>
    <w:semiHidden/>
    <w:unhideWhenUsed/>
    <w:rsid w:val="00933431"/>
  </w:style>
  <w:style w:type="table" w:customStyle="1" w:styleId="TableGrid2">
    <w:name w:val="Table Grid2"/>
    <w:basedOn w:val="TableNormal"/>
    <w:next w:val="TableGrid"/>
    <w:uiPriority w:val="39"/>
    <w:rsid w:val="00933431"/>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62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8472">
      <w:bodyDiv w:val="1"/>
      <w:marLeft w:val="0"/>
      <w:marRight w:val="0"/>
      <w:marTop w:val="0"/>
      <w:marBottom w:val="0"/>
      <w:divBdr>
        <w:top w:val="none" w:sz="0" w:space="0" w:color="auto"/>
        <w:left w:val="none" w:sz="0" w:space="0" w:color="auto"/>
        <w:bottom w:val="none" w:sz="0" w:space="0" w:color="auto"/>
        <w:right w:val="none" w:sz="0" w:space="0" w:color="auto"/>
      </w:divBdr>
    </w:div>
    <w:div w:id="86536043">
      <w:bodyDiv w:val="1"/>
      <w:marLeft w:val="0"/>
      <w:marRight w:val="0"/>
      <w:marTop w:val="0"/>
      <w:marBottom w:val="0"/>
      <w:divBdr>
        <w:top w:val="none" w:sz="0" w:space="0" w:color="auto"/>
        <w:left w:val="none" w:sz="0" w:space="0" w:color="auto"/>
        <w:bottom w:val="none" w:sz="0" w:space="0" w:color="auto"/>
        <w:right w:val="none" w:sz="0" w:space="0" w:color="auto"/>
      </w:divBdr>
    </w:div>
    <w:div w:id="134685081">
      <w:bodyDiv w:val="1"/>
      <w:marLeft w:val="0"/>
      <w:marRight w:val="0"/>
      <w:marTop w:val="0"/>
      <w:marBottom w:val="0"/>
      <w:divBdr>
        <w:top w:val="none" w:sz="0" w:space="0" w:color="auto"/>
        <w:left w:val="none" w:sz="0" w:space="0" w:color="auto"/>
        <w:bottom w:val="none" w:sz="0" w:space="0" w:color="auto"/>
        <w:right w:val="none" w:sz="0" w:space="0" w:color="auto"/>
      </w:divBdr>
    </w:div>
    <w:div w:id="248778944">
      <w:bodyDiv w:val="1"/>
      <w:marLeft w:val="0"/>
      <w:marRight w:val="0"/>
      <w:marTop w:val="0"/>
      <w:marBottom w:val="0"/>
      <w:divBdr>
        <w:top w:val="none" w:sz="0" w:space="0" w:color="auto"/>
        <w:left w:val="none" w:sz="0" w:space="0" w:color="auto"/>
        <w:bottom w:val="none" w:sz="0" w:space="0" w:color="auto"/>
        <w:right w:val="none" w:sz="0" w:space="0" w:color="auto"/>
      </w:divBdr>
    </w:div>
    <w:div w:id="334578928">
      <w:bodyDiv w:val="1"/>
      <w:marLeft w:val="0"/>
      <w:marRight w:val="0"/>
      <w:marTop w:val="0"/>
      <w:marBottom w:val="0"/>
      <w:divBdr>
        <w:top w:val="none" w:sz="0" w:space="0" w:color="auto"/>
        <w:left w:val="none" w:sz="0" w:space="0" w:color="auto"/>
        <w:bottom w:val="none" w:sz="0" w:space="0" w:color="auto"/>
        <w:right w:val="none" w:sz="0" w:space="0" w:color="auto"/>
      </w:divBdr>
    </w:div>
    <w:div w:id="345443298">
      <w:bodyDiv w:val="1"/>
      <w:marLeft w:val="0"/>
      <w:marRight w:val="0"/>
      <w:marTop w:val="0"/>
      <w:marBottom w:val="0"/>
      <w:divBdr>
        <w:top w:val="none" w:sz="0" w:space="0" w:color="auto"/>
        <w:left w:val="none" w:sz="0" w:space="0" w:color="auto"/>
        <w:bottom w:val="none" w:sz="0" w:space="0" w:color="auto"/>
        <w:right w:val="none" w:sz="0" w:space="0" w:color="auto"/>
      </w:divBdr>
    </w:div>
    <w:div w:id="446200236">
      <w:bodyDiv w:val="1"/>
      <w:marLeft w:val="0"/>
      <w:marRight w:val="0"/>
      <w:marTop w:val="0"/>
      <w:marBottom w:val="0"/>
      <w:divBdr>
        <w:top w:val="none" w:sz="0" w:space="0" w:color="auto"/>
        <w:left w:val="none" w:sz="0" w:space="0" w:color="auto"/>
        <w:bottom w:val="none" w:sz="0" w:space="0" w:color="auto"/>
        <w:right w:val="none" w:sz="0" w:space="0" w:color="auto"/>
      </w:divBdr>
    </w:div>
    <w:div w:id="579100573">
      <w:bodyDiv w:val="1"/>
      <w:marLeft w:val="0"/>
      <w:marRight w:val="0"/>
      <w:marTop w:val="0"/>
      <w:marBottom w:val="0"/>
      <w:divBdr>
        <w:top w:val="none" w:sz="0" w:space="0" w:color="auto"/>
        <w:left w:val="none" w:sz="0" w:space="0" w:color="auto"/>
        <w:bottom w:val="none" w:sz="0" w:space="0" w:color="auto"/>
        <w:right w:val="none" w:sz="0" w:space="0" w:color="auto"/>
      </w:divBdr>
    </w:div>
    <w:div w:id="705905832">
      <w:bodyDiv w:val="1"/>
      <w:marLeft w:val="0"/>
      <w:marRight w:val="0"/>
      <w:marTop w:val="0"/>
      <w:marBottom w:val="0"/>
      <w:divBdr>
        <w:top w:val="none" w:sz="0" w:space="0" w:color="auto"/>
        <w:left w:val="none" w:sz="0" w:space="0" w:color="auto"/>
        <w:bottom w:val="none" w:sz="0" w:space="0" w:color="auto"/>
        <w:right w:val="none" w:sz="0" w:space="0" w:color="auto"/>
      </w:divBdr>
    </w:div>
    <w:div w:id="806551619">
      <w:bodyDiv w:val="1"/>
      <w:marLeft w:val="0"/>
      <w:marRight w:val="0"/>
      <w:marTop w:val="0"/>
      <w:marBottom w:val="0"/>
      <w:divBdr>
        <w:top w:val="none" w:sz="0" w:space="0" w:color="auto"/>
        <w:left w:val="none" w:sz="0" w:space="0" w:color="auto"/>
        <w:bottom w:val="none" w:sz="0" w:space="0" w:color="auto"/>
        <w:right w:val="none" w:sz="0" w:space="0" w:color="auto"/>
      </w:divBdr>
    </w:div>
    <w:div w:id="1015308178">
      <w:bodyDiv w:val="1"/>
      <w:marLeft w:val="0"/>
      <w:marRight w:val="0"/>
      <w:marTop w:val="0"/>
      <w:marBottom w:val="0"/>
      <w:divBdr>
        <w:top w:val="none" w:sz="0" w:space="0" w:color="auto"/>
        <w:left w:val="none" w:sz="0" w:space="0" w:color="auto"/>
        <w:bottom w:val="none" w:sz="0" w:space="0" w:color="auto"/>
        <w:right w:val="none" w:sz="0" w:space="0" w:color="auto"/>
      </w:divBdr>
    </w:div>
    <w:div w:id="1130174685">
      <w:bodyDiv w:val="1"/>
      <w:marLeft w:val="0"/>
      <w:marRight w:val="0"/>
      <w:marTop w:val="0"/>
      <w:marBottom w:val="0"/>
      <w:divBdr>
        <w:top w:val="none" w:sz="0" w:space="0" w:color="auto"/>
        <w:left w:val="none" w:sz="0" w:space="0" w:color="auto"/>
        <w:bottom w:val="none" w:sz="0" w:space="0" w:color="auto"/>
        <w:right w:val="none" w:sz="0" w:space="0" w:color="auto"/>
      </w:divBdr>
    </w:div>
    <w:div w:id="1148328243">
      <w:bodyDiv w:val="1"/>
      <w:marLeft w:val="0"/>
      <w:marRight w:val="0"/>
      <w:marTop w:val="0"/>
      <w:marBottom w:val="0"/>
      <w:divBdr>
        <w:top w:val="none" w:sz="0" w:space="0" w:color="auto"/>
        <w:left w:val="none" w:sz="0" w:space="0" w:color="auto"/>
        <w:bottom w:val="none" w:sz="0" w:space="0" w:color="auto"/>
        <w:right w:val="none" w:sz="0" w:space="0" w:color="auto"/>
      </w:divBdr>
    </w:div>
    <w:div w:id="1159886010">
      <w:bodyDiv w:val="1"/>
      <w:marLeft w:val="0"/>
      <w:marRight w:val="0"/>
      <w:marTop w:val="0"/>
      <w:marBottom w:val="0"/>
      <w:divBdr>
        <w:top w:val="none" w:sz="0" w:space="0" w:color="auto"/>
        <w:left w:val="none" w:sz="0" w:space="0" w:color="auto"/>
        <w:bottom w:val="none" w:sz="0" w:space="0" w:color="auto"/>
        <w:right w:val="none" w:sz="0" w:space="0" w:color="auto"/>
      </w:divBdr>
    </w:div>
    <w:div w:id="1174761136">
      <w:bodyDiv w:val="1"/>
      <w:marLeft w:val="0"/>
      <w:marRight w:val="0"/>
      <w:marTop w:val="0"/>
      <w:marBottom w:val="0"/>
      <w:divBdr>
        <w:top w:val="none" w:sz="0" w:space="0" w:color="auto"/>
        <w:left w:val="none" w:sz="0" w:space="0" w:color="auto"/>
        <w:bottom w:val="none" w:sz="0" w:space="0" w:color="auto"/>
        <w:right w:val="none" w:sz="0" w:space="0" w:color="auto"/>
      </w:divBdr>
    </w:div>
    <w:div w:id="1235437938">
      <w:bodyDiv w:val="1"/>
      <w:marLeft w:val="0"/>
      <w:marRight w:val="0"/>
      <w:marTop w:val="0"/>
      <w:marBottom w:val="0"/>
      <w:divBdr>
        <w:top w:val="none" w:sz="0" w:space="0" w:color="auto"/>
        <w:left w:val="none" w:sz="0" w:space="0" w:color="auto"/>
        <w:bottom w:val="none" w:sz="0" w:space="0" w:color="auto"/>
        <w:right w:val="none" w:sz="0" w:space="0" w:color="auto"/>
      </w:divBdr>
    </w:div>
    <w:div w:id="1286423982">
      <w:bodyDiv w:val="1"/>
      <w:marLeft w:val="0"/>
      <w:marRight w:val="0"/>
      <w:marTop w:val="0"/>
      <w:marBottom w:val="0"/>
      <w:divBdr>
        <w:top w:val="none" w:sz="0" w:space="0" w:color="auto"/>
        <w:left w:val="none" w:sz="0" w:space="0" w:color="auto"/>
        <w:bottom w:val="none" w:sz="0" w:space="0" w:color="auto"/>
        <w:right w:val="none" w:sz="0" w:space="0" w:color="auto"/>
      </w:divBdr>
    </w:div>
    <w:div w:id="1476144261">
      <w:bodyDiv w:val="1"/>
      <w:marLeft w:val="0"/>
      <w:marRight w:val="0"/>
      <w:marTop w:val="0"/>
      <w:marBottom w:val="0"/>
      <w:divBdr>
        <w:top w:val="none" w:sz="0" w:space="0" w:color="auto"/>
        <w:left w:val="none" w:sz="0" w:space="0" w:color="auto"/>
        <w:bottom w:val="none" w:sz="0" w:space="0" w:color="auto"/>
        <w:right w:val="none" w:sz="0" w:space="0" w:color="auto"/>
      </w:divBdr>
    </w:div>
    <w:div w:id="1480803315">
      <w:bodyDiv w:val="1"/>
      <w:marLeft w:val="0"/>
      <w:marRight w:val="0"/>
      <w:marTop w:val="0"/>
      <w:marBottom w:val="0"/>
      <w:divBdr>
        <w:top w:val="none" w:sz="0" w:space="0" w:color="auto"/>
        <w:left w:val="none" w:sz="0" w:space="0" w:color="auto"/>
        <w:bottom w:val="none" w:sz="0" w:space="0" w:color="auto"/>
        <w:right w:val="none" w:sz="0" w:space="0" w:color="auto"/>
      </w:divBdr>
    </w:div>
    <w:div w:id="1508905344">
      <w:bodyDiv w:val="1"/>
      <w:marLeft w:val="0"/>
      <w:marRight w:val="0"/>
      <w:marTop w:val="0"/>
      <w:marBottom w:val="0"/>
      <w:divBdr>
        <w:top w:val="none" w:sz="0" w:space="0" w:color="auto"/>
        <w:left w:val="none" w:sz="0" w:space="0" w:color="auto"/>
        <w:bottom w:val="none" w:sz="0" w:space="0" w:color="auto"/>
        <w:right w:val="none" w:sz="0" w:space="0" w:color="auto"/>
      </w:divBdr>
    </w:div>
    <w:div w:id="1551530314">
      <w:bodyDiv w:val="1"/>
      <w:marLeft w:val="0"/>
      <w:marRight w:val="0"/>
      <w:marTop w:val="0"/>
      <w:marBottom w:val="0"/>
      <w:divBdr>
        <w:top w:val="none" w:sz="0" w:space="0" w:color="auto"/>
        <w:left w:val="none" w:sz="0" w:space="0" w:color="auto"/>
        <w:bottom w:val="none" w:sz="0" w:space="0" w:color="auto"/>
        <w:right w:val="none" w:sz="0" w:space="0" w:color="auto"/>
      </w:divBdr>
    </w:div>
    <w:div w:id="1557938412">
      <w:bodyDiv w:val="1"/>
      <w:marLeft w:val="0"/>
      <w:marRight w:val="0"/>
      <w:marTop w:val="0"/>
      <w:marBottom w:val="0"/>
      <w:divBdr>
        <w:top w:val="none" w:sz="0" w:space="0" w:color="auto"/>
        <w:left w:val="none" w:sz="0" w:space="0" w:color="auto"/>
        <w:bottom w:val="none" w:sz="0" w:space="0" w:color="auto"/>
        <w:right w:val="none" w:sz="0" w:space="0" w:color="auto"/>
      </w:divBdr>
    </w:div>
    <w:div w:id="1575504419">
      <w:bodyDiv w:val="1"/>
      <w:marLeft w:val="0"/>
      <w:marRight w:val="0"/>
      <w:marTop w:val="0"/>
      <w:marBottom w:val="0"/>
      <w:divBdr>
        <w:top w:val="none" w:sz="0" w:space="0" w:color="auto"/>
        <w:left w:val="none" w:sz="0" w:space="0" w:color="auto"/>
        <w:bottom w:val="none" w:sz="0" w:space="0" w:color="auto"/>
        <w:right w:val="none" w:sz="0" w:space="0" w:color="auto"/>
      </w:divBdr>
    </w:div>
    <w:div w:id="1801653706">
      <w:bodyDiv w:val="1"/>
      <w:marLeft w:val="0"/>
      <w:marRight w:val="0"/>
      <w:marTop w:val="0"/>
      <w:marBottom w:val="0"/>
      <w:divBdr>
        <w:top w:val="none" w:sz="0" w:space="0" w:color="auto"/>
        <w:left w:val="none" w:sz="0" w:space="0" w:color="auto"/>
        <w:bottom w:val="none" w:sz="0" w:space="0" w:color="auto"/>
        <w:right w:val="none" w:sz="0" w:space="0" w:color="auto"/>
      </w:divBdr>
    </w:div>
    <w:div w:id="1876700151">
      <w:bodyDiv w:val="1"/>
      <w:marLeft w:val="0"/>
      <w:marRight w:val="0"/>
      <w:marTop w:val="0"/>
      <w:marBottom w:val="0"/>
      <w:divBdr>
        <w:top w:val="none" w:sz="0" w:space="0" w:color="auto"/>
        <w:left w:val="none" w:sz="0" w:space="0" w:color="auto"/>
        <w:bottom w:val="none" w:sz="0" w:space="0" w:color="auto"/>
        <w:right w:val="none" w:sz="0" w:space="0" w:color="auto"/>
      </w:divBdr>
    </w:div>
    <w:div w:id="1901020178">
      <w:bodyDiv w:val="1"/>
      <w:marLeft w:val="0"/>
      <w:marRight w:val="0"/>
      <w:marTop w:val="0"/>
      <w:marBottom w:val="0"/>
      <w:divBdr>
        <w:top w:val="none" w:sz="0" w:space="0" w:color="auto"/>
        <w:left w:val="none" w:sz="0" w:space="0" w:color="auto"/>
        <w:bottom w:val="none" w:sz="0" w:space="0" w:color="auto"/>
        <w:right w:val="none" w:sz="0" w:space="0" w:color="auto"/>
      </w:divBdr>
    </w:div>
    <w:div w:id="2002542459">
      <w:bodyDiv w:val="1"/>
      <w:marLeft w:val="0"/>
      <w:marRight w:val="0"/>
      <w:marTop w:val="0"/>
      <w:marBottom w:val="0"/>
      <w:divBdr>
        <w:top w:val="none" w:sz="0" w:space="0" w:color="auto"/>
        <w:left w:val="none" w:sz="0" w:space="0" w:color="auto"/>
        <w:bottom w:val="none" w:sz="0" w:space="0" w:color="auto"/>
        <w:right w:val="none" w:sz="0" w:space="0" w:color="auto"/>
      </w:divBdr>
    </w:div>
    <w:div w:id="2040276510">
      <w:bodyDiv w:val="1"/>
      <w:marLeft w:val="0"/>
      <w:marRight w:val="0"/>
      <w:marTop w:val="0"/>
      <w:marBottom w:val="0"/>
      <w:divBdr>
        <w:top w:val="none" w:sz="0" w:space="0" w:color="auto"/>
        <w:left w:val="none" w:sz="0" w:space="0" w:color="auto"/>
        <w:bottom w:val="none" w:sz="0" w:space="0" w:color="auto"/>
        <w:right w:val="none" w:sz="0" w:space="0" w:color="auto"/>
      </w:divBdr>
    </w:div>
    <w:div w:id="2073580393">
      <w:bodyDiv w:val="1"/>
      <w:marLeft w:val="0"/>
      <w:marRight w:val="0"/>
      <w:marTop w:val="0"/>
      <w:marBottom w:val="0"/>
      <w:divBdr>
        <w:top w:val="none" w:sz="0" w:space="0" w:color="auto"/>
        <w:left w:val="none" w:sz="0" w:space="0" w:color="auto"/>
        <w:bottom w:val="none" w:sz="0" w:space="0" w:color="auto"/>
        <w:right w:val="none" w:sz="0" w:space="0" w:color="auto"/>
      </w:divBdr>
    </w:div>
    <w:div w:id="21198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3E9F7-1A28-4BAC-BA09-9DC488F75C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2524F6-A9D3-4ABC-9BC2-4214A2563442}">
  <ds:schemaRefs>
    <ds:schemaRef ds:uri="http://schemas.microsoft.com/sharepoint/v3/contenttype/forms"/>
  </ds:schemaRefs>
</ds:datastoreItem>
</file>

<file path=customXml/itemProps3.xml><?xml version="1.0" encoding="utf-8"?>
<ds:datastoreItem xmlns:ds="http://schemas.openxmlformats.org/officeDocument/2006/customXml" ds:itemID="{C12D61AD-AACF-4BFB-A7F2-F7DA3901A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40</Pages>
  <Words>12810</Words>
  <Characters>73020</Characters>
  <Application>Microsoft Office Word</Application>
  <DocSecurity>8</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85659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200623 CS 20 June 2023</dc:title>
  <dc:subject/>
  <dc:creator>Foster, Paulene</dc:creator>
  <cp:keywords/>
  <dc:description/>
  <cp:lastModifiedBy>Cull, Joshua</cp:lastModifiedBy>
  <cp:revision>14</cp:revision>
  <cp:lastPrinted>2023-02-24T11:43:00Z</cp:lastPrinted>
  <dcterms:created xsi:type="dcterms:W3CDTF">2023-06-27T13:35:00Z</dcterms:created>
  <dcterms:modified xsi:type="dcterms:W3CDTF">2026-01-09T10:35:00Z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