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C7C7" w14:textId="77777777" w:rsidR="00BE74C7" w:rsidRPr="00093F67" w:rsidRDefault="00BE74C7" w:rsidP="00BE74C7">
      <w:pPr>
        <w:jc w:val="center"/>
        <w:rPr>
          <w:rFonts w:cs="Arial"/>
          <w:b/>
          <w:caps/>
          <w:sz w:val="28"/>
          <w:szCs w:val="28"/>
          <w:u w:val="single"/>
        </w:rPr>
      </w:pPr>
      <w:r w:rsidRPr="00093F67">
        <w:rPr>
          <w:rFonts w:cs="Arial"/>
          <w:b/>
          <w:caps/>
          <w:sz w:val="28"/>
          <w:szCs w:val="28"/>
          <w:u w:val="single"/>
        </w:rPr>
        <w:t>ARDS and North Down Borough Council</w:t>
      </w:r>
    </w:p>
    <w:p w14:paraId="0C180034" w14:textId="77777777" w:rsidR="00BE74C7" w:rsidRPr="003313F8" w:rsidRDefault="00BE74C7" w:rsidP="00BE74C7">
      <w:pPr>
        <w:rPr>
          <w:rFonts w:cs="Arial"/>
          <w:b/>
          <w:caps/>
          <w:szCs w:val="24"/>
          <w:u w:val="single"/>
        </w:rPr>
      </w:pPr>
    </w:p>
    <w:p w14:paraId="0FCC7561" w14:textId="5F343272" w:rsidR="00BE74C7" w:rsidRPr="003313F8" w:rsidRDefault="00BE74C7" w:rsidP="00BE74C7">
      <w:pPr>
        <w:rPr>
          <w:rFonts w:cs="Arial"/>
          <w:szCs w:val="24"/>
        </w:rPr>
      </w:pPr>
      <w:r w:rsidRPr="003313F8">
        <w:rPr>
          <w:rFonts w:cs="Arial"/>
          <w:szCs w:val="24"/>
        </w:rPr>
        <w:t>A</w:t>
      </w:r>
      <w:r>
        <w:rPr>
          <w:rFonts w:cs="Arial"/>
          <w:szCs w:val="24"/>
        </w:rPr>
        <w:t xml:space="preserve"> hybrid</w:t>
      </w:r>
      <w:r w:rsidRPr="003313F8">
        <w:rPr>
          <w:rFonts w:cs="Arial"/>
          <w:szCs w:val="24"/>
        </w:rPr>
        <w:t xml:space="preserve"> meeting </w:t>
      </w:r>
      <w:r>
        <w:rPr>
          <w:rFonts w:cs="Arial"/>
          <w:szCs w:val="24"/>
        </w:rPr>
        <w:t xml:space="preserve">(in person and via zoom) </w:t>
      </w:r>
      <w:r w:rsidRPr="003313F8">
        <w:rPr>
          <w:rFonts w:cs="Arial"/>
          <w:szCs w:val="24"/>
        </w:rPr>
        <w:t>of the Corporate Services Committee was held</w:t>
      </w:r>
      <w:r w:rsidR="00121482">
        <w:rPr>
          <w:rFonts w:cs="Arial"/>
          <w:szCs w:val="24"/>
        </w:rPr>
        <w:t xml:space="preserve"> in </w:t>
      </w:r>
      <w:r w:rsidRPr="003313F8">
        <w:rPr>
          <w:rFonts w:cs="Arial"/>
          <w:szCs w:val="24"/>
        </w:rPr>
        <w:t xml:space="preserve">the Council Chamber, Church Street, Newtownards on Tuesday </w:t>
      </w:r>
      <w:r>
        <w:rPr>
          <w:rFonts w:cs="Arial"/>
          <w:szCs w:val="24"/>
        </w:rPr>
        <w:t xml:space="preserve">12 November </w:t>
      </w:r>
      <w:r w:rsidRPr="003313F8">
        <w:rPr>
          <w:rFonts w:cs="Arial"/>
          <w:szCs w:val="24"/>
        </w:rPr>
        <w:t xml:space="preserve">2024 at 7.00 pm. </w:t>
      </w:r>
    </w:p>
    <w:p w14:paraId="31BFBD57" w14:textId="77777777" w:rsidR="00BE74C7" w:rsidRPr="003313F8" w:rsidRDefault="00BE74C7" w:rsidP="00BE74C7">
      <w:pPr>
        <w:rPr>
          <w:rFonts w:cs="Arial"/>
          <w:b/>
          <w:szCs w:val="24"/>
        </w:rPr>
      </w:pPr>
    </w:p>
    <w:p w14:paraId="23CF87CD" w14:textId="77777777" w:rsidR="00BE74C7" w:rsidRPr="003313F8" w:rsidRDefault="00BE74C7" w:rsidP="00BE74C7">
      <w:pPr>
        <w:rPr>
          <w:rFonts w:cs="Arial"/>
          <w:b/>
          <w:szCs w:val="24"/>
        </w:rPr>
      </w:pPr>
      <w:r w:rsidRPr="003313F8">
        <w:rPr>
          <w:rFonts w:cs="Arial"/>
          <w:b/>
          <w:szCs w:val="24"/>
        </w:rPr>
        <w:t xml:space="preserve">PRESENT: </w:t>
      </w:r>
    </w:p>
    <w:p w14:paraId="6B998B1A" w14:textId="77777777" w:rsidR="00BE74C7" w:rsidRPr="003313F8" w:rsidRDefault="00BE74C7" w:rsidP="00BE74C7">
      <w:pPr>
        <w:jc w:val="center"/>
        <w:rPr>
          <w:rFonts w:cs="Arial"/>
          <w:szCs w:val="24"/>
        </w:rPr>
      </w:pPr>
    </w:p>
    <w:p w14:paraId="7C7A5728" w14:textId="2F60CE62" w:rsidR="00BE74C7" w:rsidRPr="003313F8" w:rsidRDefault="00BE74C7" w:rsidP="00BE74C7">
      <w:pPr>
        <w:rPr>
          <w:rFonts w:cs="Arial"/>
          <w:bCs/>
          <w:szCs w:val="24"/>
        </w:rPr>
      </w:pPr>
      <w:r w:rsidRPr="003313F8">
        <w:rPr>
          <w:rFonts w:cs="Arial"/>
          <w:b/>
          <w:szCs w:val="24"/>
        </w:rPr>
        <w:t xml:space="preserve">In the Chair:  </w:t>
      </w:r>
      <w:r w:rsidRPr="003313F8">
        <w:rPr>
          <w:rFonts w:cs="Arial"/>
          <w:b/>
          <w:szCs w:val="24"/>
        </w:rPr>
        <w:tab/>
      </w:r>
      <w:r w:rsidRPr="003313F8">
        <w:rPr>
          <w:rFonts w:cs="Arial"/>
          <w:bCs/>
          <w:szCs w:val="24"/>
        </w:rPr>
        <w:t xml:space="preserve">Councillor </w:t>
      </w:r>
      <w:r>
        <w:rPr>
          <w:rFonts w:cs="Arial"/>
          <w:bCs/>
          <w:szCs w:val="24"/>
        </w:rPr>
        <w:t>Irwin</w:t>
      </w:r>
    </w:p>
    <w:p w14:paraId="7C6E9D54" w14:textId="77777777" w:rsidR="00BE74C7" w:rsidRPr="003313F8" w:rsidRDefault="00BE74C7" w:rsidP="00BE74C7">
      <w:pPr>
        <w:tabs>
          <w:tab w:val="left" w:pos="142"/>
          <w:tab w:val="left" w:pos="720"/>
        </w:tabs>
        <w:rPr>
          <w:rFonts w:cs="Arial"/>
          <w:szCs w:val="24"/>
        </w:rPr>
      </w:pPr>
    </w:p>
    <w:p w14:paraId="3A968CD6" w14:textId="77777777" w:rsidR="00BE74C7" w:rsidRDefault="00BE74C7" w:rsidP="00BE74C7">
      <w:pPr>
        <w:tabs>
          <w:tab w:val="left" w:pos="142"/>
          <w:tab w:val="left" w:pos="720"/>
        </w:tabs>
        <w:ind w:left="2160" w:hanging="2160"/>
        <w:rPr>
          <w:rFonts w:cs="Arial"/>
          <w:b/>
          <w:szCs w:val="24"/>
        </w:rPr>
      </w:pPr>
      <w:r w:rsidRPr="003313F8">
        <w:rPr>
          <w:rFonts w:cs="Arial"/>
          <w:b/>
          <w:szCs w:val="24"/>
        </w:rPr>
        <w:t>Aldermen:</w:t>
      </w:r>
      <w:r w:rsidRPr="003313F8">
        <w:rPr>
          <w:rFonts w:cs="Arial"/>
          <w:b/>
          <w:szCs w:val="24"/>
        </w:rPr>
        <w:tab/>
      </w:r>
      <w:r w:rsidRPr="00F527DE">
        <w:rPr>
          <w:rFonts w:cs="Arial"/>
          <w:bCs/>
          <w:szCs w:val="24"/>
        </w:rPr>
        <w:t xml:space="preserve">Brooks </w:t>
      </w:r>
      <w:r>
        <w:rPr>
          <w:rFonts w:cs="Arial"/>
          <w:bCs/>
          <w:szCs w:val="24"/>
        </w:rPr>
        <w:tab/>
      </w:r>
      <w:r>
        <w:rPr>
          <w:rFonts w:cs="Arial"/>
          <w:bCs/>
          <w:szCs w:val="24"/>
        </w:rPr>
        <w:tab/>
        <w:t xml:space="preserve">McIlveen </w:t>
      </w:r>
    </w:p>
    <w:p w14:paraId="3CA5C82E" w14:textId="38FAE959" w:rsidR="00BE74C7" w:rsidRPr="003313F8" w:rsidRDefault="00BE74C7" w:rsidP="00BE74C7">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C503E">
        <w:rPr>
          <w:rFonts w:cs="Arial"/>
          <w:bCs/>
          <w:szCs w:val="24"/>
        </w:rPr>
        <w:t>McAlpine</w:t>
      </w:r>
      <w:r w:rsidR="00BC503E">
        <w:rPr>
          <w:rFonts w:cs="Arial"/>
          <w:bCs/>
          <w:szCs w:val="24"/>
        </w:rPr>
        <w:tab/>
      </w:r>
      <w:r w:rsidR="00BC503E">
        <w:rPr>
          <w:rFonts w:cs="Arial"/>
          <w:bCs/>
          <w:szCs w:val="24"/>
        </w:rPr>
        <w:tab/>
        <w:t xml:space="preserve">Smith </w:t>
      </w:r>
    </w:p>
    <w:p w14:paraId="3EFD6FC4" w14:textId="7E6B2AF2" w:rsidR="00BE74C7" w:rsidRPr="003313F8" w:rsidRDefault="00BE74C7" w:rsidP="00BE74C7">
      <w:pPr>
        <w:tabs>
          <w:tab w:val="left" w:pos="142"/>
          <w:tab w:val="left" w:pos="720"/>
        </w:tabs>
        <w:ind w:left="2160" w:hanging="2160"/>
        <w:rPr>
          <w:rFonts w:cs="Arial"/>
          <w:bCs/>
          <w:szCs w:val="24"/>
        </w:rPr>
      </w:pPr>
      <w:r w:rsidRPr="003313F8">
        <w:rPr>
          <w:rFonts w:cs="Arial"/>
          <w:b/>
          <w:szCs w:val="24"/>
        </w:rPr>
        <w:tab/>
      </w:r>
      <w:r w:rsidRPr="003313F8">
        <w:rPr>
          <w:rFonts w:cs="Arial"/>
          <w:b/>
          <w:szCs w:val="24"/>
        </w:rPr>
        <w:tab/>
      </w:r>
      <w:r w:rsidRPr="003313F8">
        <w:rPr>
          <w:rFonts w:cs="Arial"/>
          <w:b/>
          <w:szCs w:val="24"/>
        </w:rPr>
        <w:tab/>
      </w:r>
      <w:r w:rsidRPr="003313F8">
        <w:rPr>
          <w:rFonts w:cs="Arial"/>
          <w:bCs/>
          <w:szCs w:val="24"/>
        </w:rPr>
        <w:t>Mc</w:t>
      </w:r>
      <w:r w:rsidR="00BC503E">
        <w:rPr>
          <w:rFonts w:cs="Arial"/>
          <w:bCs/>
          <w:szCs w:val="24"/>
        </w:rPr>
        <w:t>Randal</w:t>
      </w:r>
      <w:r>
        <w:rPr>
          <w:rFonts w:cs="Arial"/>
          <w:bCs/>
          <w:szCs w:val="24"/>
        </w:rPr>
        <w:t xml:space="preserve"> </w:t>
      </w:r>
      <w:r>
        <w:rPr>
          <w:rFonts w:cs="Arial"/>
          <w:bCs/>
          <w:szCs w:val="24"/>
        </w:rPr>
        <w:tab/>
      </w:r>
    </w:p>
    <w:p w14:paraId="1BB590FD" w14:textId="77777777" w:rsidR="00BE74C7" w:rsidRPr="00F527DE" w:rsidRDefault="00BE74C7" w:rsidP="00BE74C7">
      <w:pPr>
        <w:tabs>
          <w:tab w:val="left" w:pos="142"/>
          <w:tab w:val="left" w:pos="720"/>
        </w:tabs>
        <w:ind w:left="2160" w:hanging="2160"/>
        <w:rPr>
          <w:rFonts w:cs="Arial"/>
          <w:szCs w:val="24"/>
        </w:rPr>
      </w:pPr>
      <w:r w:rsidRPr="003313F8">
        <w:rPr>
          <w:rFonts w:cs="Arial"/>
          <w:bCs/>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p>
    <w:p w14:paraId="66A92DF0" w14:textId="235A73B9" w:rsidR="00BE74C7" w:rsidRDefault="00BE74C7" w:rsidP="00BE74C7">
      <w:pPr>
        <w:tabs>
          <w:tab w:val="left" w:pos="142"/>
          <w:tab w:val="left" w:pos="720"/>
        </w:tabs>
        <w:ind w:left="2160" w:hanging="2160"/>
        <w:rPr>
          <w:rFonts w:cs="Arial"/>
          <w:bCs/>
          <w:szCs w:val="24"/>
        </w:rPr>
      </w:pPr>
      <w:r w:rsidRPr="003313F8">
        <w:rPr>
          <w:rFonts w:cs="Arial"/>
          <w:b/>
          <w:szCs w:val="24"/>
        </w:rPr>
        <w:t>Councillors:</w:t>
      </w:r>
      <w:r w:rsidRPr="003313F8">
        <w:rPr>
          <w:rFonts w:cs="Arial"/>
          <w:b/>
          <w:szCs w:val="24"/>
        </w:rPr>
        <w:tab/>
      </w:r>
      <w:r>
        <w:rPr>
          <w:rFonts w:cs="Arial"/>
          <w:bCs/>
          <w:szCs w:val="24"/>
        </w:rPr>
        <w:t xml:space="preserve">Cochrane </w:t>
      </w:r>
      <w:r w:rsidR="00A60830">
        <w:rPr>
          <w:rFonts w:cs="Arial"/>
          <w:bCs/>
          <w:szCs w:val="24"/>
        </w:rPr>
        <w:tab/>
      </w:r>
      <w:r w:rsidR="00A60830">
        <w:rPr>
          <w:rFonts w:cs="Arial"/>
          <w:bCs/>
          <w:szCs w:val="24"/>
        </w:rPr>
        <w:tab/>
        <w:t>Irvine, W</w:t>
      </w:r>
    </w:p>
    <w:p w14:paraId="390BD379" w14:textId="40F232F6" w:rsidR="00BE74C7" w:rsidRPr="00BE74C7" w:rsidRDefault="00BE74C7" w:rsidP="00BE74C7">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Pr="00BE74C7">
        <w:rPr>
          <w:rFonts w:cs="Arial"/>
          <w:bCs/>
          <w:szCs w:val="24"/>
        </w:rPr>
        <w:t>Chambers</w:t>
      </w:r>
      <w:r w:rsidR="00A60830">
        <w:rPr>
          <w:rFonts w:cs="Arial"/>
          <w:bCs/>
          <w:szCs w:val="24"/>
        </w:rPr>
        <w:tab/>
      </w:r>
      <w:r w:rsidR="00A60830">
        <w:rPr>
          <w:rFonts w:cs="Arial"/>
          <w:bCs/>
          <w:szCs w:val="24"/>
        </w:rPr>
        <w:tab/>
        <w:t>Kennedy</w:t>
      </w:r>
    </w:p>
    <w:p w14:paraId="1F880B22" w14:textId="41003ACE" w:rsidR="00BE74C7" w:rsidRDefault="00BE74C7" w:rsidP="00BE74C7">
      <w:pPr>
        <w:tabs>
          <w:tab w:val="left" w:pos="142"/>
          <w:tab w:val="left" w:pos="720"/>
        </w:tabs>
        <w:ind w:left="2160" w:hanging="2160"/>
        <w:rPr>
          <w:rFonts w:cs="Arial"/>
          <w:b/>
          <w:szCs w:val="24"/>
        </w:rPr>
      </w:pPr>
      <w:r>
        <w:rPr>
          <w:rFonts w:cs="Arial"/>
          <w:b/>
          <w:szCs w:val="24"/>
        </w:rPr>
        <w:tab/>
      </w:r>
      <w:r>
        <w:rPr>
          <w:rFonts w:cs="Arial"/>
          <w:b/>
          <w:szCs w:val="24"/>
        </w:rPr>
        <w:tab/>
      </w:r>
      <w:r>
        <w:rPr>
          <w:rFonts w:cs="Arial"/>
          <w:b/>
          <w:szCs w:val="24"/>
        </w:rPr>
        <w:tab/>
      </w:r>
      <w:r w:rsidRPr="00E35348">
        <w:rPr>
          <w:rFonts w:cs="Arial"/>
          <w:bCs/>
          <w:szCs w:val="24"/>
        </w:rPr>
        <w:t>Gilmour</w:t>
      </w:r>
      <w:r>
        <w:rPr>
          <w:rFonts w:cs="Arial"/>
          <w:bCs/>
          <w:szCs w:val="24"/>
        </w:rPr>
        <w:tab/>
      </w:r>
      <w:r>
        <w:rPr>
          <w:rFonts w:cs="Arial"/>
          <w:bCs/>
          <w:szCs w:val="24"/>
        </w:rPr>
        <w:tab/>
        <w:t xml:space="preserve">Moore </w:t>
      </w:r>
    </w:p>
    <w:p w14:paraId="00DF3D34" w14:textId="3C2565D0" w:rsidR="00BE74C7" w:rsidRDefault="00BE74C7" w:rsidP="00A6083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Pr="00922209">
        <w:rPr>
          <w:rFonts w:cs="Arial"/>
          <w:bCs/>
          <w:szCs w:val="24"/>
        </w:rPr>
        <w:t>Irvine, S</w:t>
      </w:r>
      <w:r>
        <w:rPr>
          <w:rFonts w:cs="Arial"/>
          <w:b/>
          <w:szCs w:val="24"/>
        </w:rPr>
        <w:tab/>
      </w:r>
      <w:r>
        <w:rPr>
          <w:rFonts w:cs="Arial"/>
          <w:bCs/>
          <w:szCs w:val="24"/>
        </w:rPr>
        <w:t xml:space="preserve"> </w:t>
      </w:r>
      <w:r w:rsidR="00A60830">
        <w:rPr>
          <w:rFonts w:cs="Arial"/>
          <w:bCs/>
          <w:szCs w:val="24"/>
        </w:rPr>
        <w:tab/>
        <w:t xml:space="preserve">Thompson </w:t>
      </w:r>
    </w:p>
    <w:p w14:paraId="7C1DEF03" w14:textId="604B1796" w:rsidR="00BE74C7" w:rsidRPr="003313F8" w:rsidRDefault="00BE74C7" w:rsidP="00A6083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Pr="003313F8">
        <w:rPr>
          <w:rFonts w:cs="Arial"/>
          <w:bCs/>
          <w:szCs w:val="24"/>
        </w:rPr>
        <w:tab/>
      </w:r>
      <w:r w:rsidRPr="003313F8">
        <w:rPr>
          <w:rFonts w:cs="Arial"/>
          <w:bCs/>
          <w:szCs w:val="24"/>
        </w:rPr>
        <w:tab/>
      </w:r>
      <w:r>
        <w:rPr>
          <w:rFonts w:cs="Arial"/>
          <w:bCs/>
          <w:szCs w:val="24"/>
        </w:rPr>
        <w:t xml:space="preserve"> </w:t>
      </w:r>
      <w:r w:rsidRPr="003313F8">
        <w:rPr>
          <w:rFonts w:cs="Arial"/>
          <w:szCs w:val="24"/>
        </w:rPr>
        <w:tab/>
      </w:r>
      <w:r w:rsidRPr="003313F8">
        <w:rPr>
          <w:rFonts w:cs="Arial"/>
          <w:szCs w:val="24"/>
        </w:rPr>
        <w:tab/>
      </w:r>
      <w:r w:rsidRPr="003313F8">
        <w:rPr>
          <w:rFonts w:cs="Arial"/>
          <w:szCs w:val="24"/>
        </w:rPr>
        <w:tab/>
        <w:t xml:space="preserve"> </w:t>
      </w:r>
    </w:p>
    <w:p w14:paraId="23673B04" w14:textId="6D39A069" w:rsidR="00BE74C7" w:rsidRPr="003313F8" w:rsidRDefault="00BE74C7" w:rsidP="00BE74C7">
      <w:pPr>
        <w:tabs>
          <w:tab w:val="left" w:pos="142"/>
          <w:tab w:val="left" w:pos="720"/>
        </w:tabs>
        <w:ind w:left="1440" w:hanging="1440"/>
        <w:rPr>
          <w:rFonts w:cs="Arial"/>
          <w:szCs w:val="24"/>
        </w:rPr>
      </w:pPr>
      <w:r w:rsidRPr="003313F8">
        <w:rPr>
          <w:rFonts w:cs="Arial"/>
          <w:b/>
          <w:szCs w:val="24"/>
        </w:rPr>
        <w:t>Officers:</w:t>
      </w:r>
      <w:r w:rsidRPr="003313F8">
        <w:rPr>
          <w:rFonts w:cs="Arial"/>
          <w:szCs w:val="24"/>
        </w:rPr>
        <w:t xml:space="preserve"> </w:t>
      </w:r>
      <w:r w:rsidRPr="003313F8">
        <w:rPr>
          <w:rFonts w:cs="Arial"/>
          <w:szCs w:val="24"/>
        </w:rPr>
        <w:tab/>
        <w:t xml:space="preserve">Director of Corporate Services (M Steele), Head of Administration (A Curtis), </w:t>
      </w:r>
      <w:r>
        <w:rPr>
          <w:rFonts w:cs="Arial"/>
          <w:szCs w:val="24"/>
        </w:rPr>
        <w:t xml:space="preserve">Head of Human Resources &amp; Organisational Development (R McCullough), </w:t>
      </w:r>
      <w:r w:rsidR="00BC503E">
        <w:rPr>
          <w:rFonts w:cs="Arial"/>
          <w:szCs w:val="24"/>
        </w:rPr>
        <w:t xml:space="preserve">Head of Communications and Marketing (C Jackson), </w:t>
      </w:r>
      <w:r w:rsidRPr="003313F8">
        <w:rPr>
          <w:rFonts w:cs="Arial"/>
          <w:szCs w:val="24"/>
        </w:rPr>
        <w:t xml:space="preserve">Head of Finance (S Grieve) and Democratic Services Officer </w:t>
      </w:r>
      <w:r>
        <w:rPr>
          <w:rFonts w:cs="Arial"/>
          <w:szCs w:val="24"/>
        </w:rPr>
        <w:t>(J Glasgow</w:t>
      </w:r>
      <w:r w:rsidRPr="003313F8">
        <w:rPr>
          <w:rFonts w:cs="Arial"/>
          <w:szCs w:val="24"/>
        </w:rPr>
        <w:t xml:space="preserve">) </w:t>
      </w:r>
    </w:p>
    <w:p w14:paraId="4A4FE07E" w14:textId="77777777" w:rsidR="00BE74C7" w:rsidRPr="00BE74C7" w:rsidRDefault="00BE74C7" w:rsidP="00BE74C7">
      <w:pPr>
        <w:rPr>
          <w:rFonts w:cs="Arial"/>
          <w:szCs w:val="24"/>
        </w:rPr>
      </w:pPr>
    </w:p>
    <w:p w14:paraId="75642C05" w14:textId="77777777" w:rsidR="00BE74C7" w:rsidRPr="00BE74C7" w:rsidRDefault="00BE74C7" w:rsidP="00BE74C7">
      <w:pPr>
        <w:pStyle w:val="Heading1"/>
        <w:rPr>
          <w:u w:val="single"/>
        </w:rPr>
      </w:pPr>
      <w:r w:rsidRPr="00BE74C7">
        <w:t>1.</w:t>
      </w:r>
      <w:r w:rsidRPr="00BE74C7">
        <w:tab/>
      </w:r>
      <w:r w:rsidRPr="00BE74C7">
        <w:rPr>
          <w:u w:val="single"/>
        </w:rPr>
        <w:t>Apologies</w:t>
      </w:r>
    </w:p>
    <w:p w14:paraId="044F4E3D" w14:textId="77777777" w:rsidR="00BC503E" w:rsidRDefault="00BC503E" w:rsidP="008B0461">
      <w:pPr>
        <w:rPr>
          <w:rFonts w:cs="Arial"/>
          <w:szCs w:val="24"/>
        </w:rPr>
      </w:pPr>
    </w:p>
    <w:p w14:paraId="3FE846EF" w14:textId="587CCB3B" w:rsidR="00737112" w:rsidRDefault="00737112" w:rsidP="008B0461">
      <w:pPr>
        <w:rPr>
          <w:rFonts w:cs="Arial"/>
          <w:szCs w:val="24"/>
        </w:rPr>
      </w:pPr>
      <w:r>
        <w:rPr>
          <w:rFonts w:cs="Arial"/>
          <w:szCs w:val="24"/>
        </w:rPr>
        <w:t xml:space="preserve">There was a slight delay in the commencement of </w:t>
      </w:r>
      <w:r w:rsidR="005B1428">
        <w:rPr>
          <w:rFonts w:cs="Arial"/>
          <w:szCs w:val="24"/>
        </w:rPr>
        <w:t xml:space="preserve">the </w:t>
      </w:r>
      <w:r>
        <w:rPr>
          <w:rFonts w:cs="Arial"/>
          <w:szCs w:val="24"/>
        </w:rPr>
        <w:t>meeting due to technical difficulties</w:t>
      </w:r>
      <w:r w:rsidR="005B1428">
        <w:rPr>
          <w:rFonts w:cs="Arial"/>
          <w:szCs w:val="24"/>
        </w:rPr>
        <w:t xml:space="preserve"> experienced with the live stream. </w:t>
      </w:r>
    </w:p>
    <w:p w14:paraId="63755FEB" w14:textId="77777777" w:rsidR="00737112" w:rsidRDefault="00737112" w:rsidP="008B0461">
      <w:pPr>
        <w:rPr>
          <w:rFonts w:cs="Arial"/>
          <w:szCs w:val="24"/>
        </w:rPr>
      </w:pPr>
    </w:p>
    <w:p w14:paraId="3CDF17FC" w14:textId="6DEA0937" w:rsidR="00497F02" w:rsidRDefault="00BC503E" w:rsidP="008B0461">
      <w:r>
        <w:t>A</w:t>
      </w:r>
      <w:r w:rsidR="00497F02">
        <w:t>polog</w:t>
      </w:r>
      <w:r>
        <w:t>ies</w:t>
      </w:r>
      <w:r w:rsidR="00497F02">
        <w:t xml:space="preserve"> for inability to attend w</w:t>
      </w:r>
      <w:r w:rsidR="00121482">
        <w:t>ere</w:t>
      </w:r>
      <w:r w:rsidR="00497F02">
        <w:t xml:space="preserve"> received from </w:t>
      </w:r>
      <w:r>
        <w:t xml:space="preserve">Alderman Graham and </w:t>
      </w:r>
      <w:r w:rsidR="00497F02">
        <w:t xml:space="preserve">Councillor McCracken. </w:t>
      </w:r>
    </w:p>
    <w:p w14:paraId="7C6464FC" w14:textId="77777777" w:rsidR="00497F02" w:rsidRPr="00497F02" w:rsidRDefault="00497F02" w:rsidP="00497F02"/>
    <w:p w14:paraId="3EFB83C6" w14:textId="77777777" w:rsidR="00BE74C7" w:rsidRPr="00BE74C7" w:rsidRDefault="00BE74C7" w:rsidP="00BE74C7">
      <w:pPr>
        <w:pStyle w:val="Heading1"/>
        <w:rPr>
          <w:u w:val="single"/>
        </w:rPr>
      </w:pPr>
      <w:r w:rsidRPr="00BE74C7">
        <w:t>2.</w:t>
      </w:r>
      <w:r w:rsidRPr="00BE74C7">
        <w:tab/>
      </w:r>
      <w:r w:rsidRPr="00BE74C7">
        <w:rPr>
          <w:u w:val="single"/>
        </w:rPr>
        <w:t>Declarations of Interest</w:t>
      </w:r>
    </w:p>
    <w:p w14:paraId="51FB155A" w14:textId="77777777" w:rsidR="00BE74C7" w:rsidRDefault="00BE74C7" w:rsidP="00BE74C7">
      <w:pPr>
        <w:rPr>
          <w:rFonts w:cs="Arial"/>
          <w:szCs w:val="24"/>
        </w:rPr>
      </w:pPr>
    </w:p>
    <w:p w14:paraId="7432C198" w14:textId="233FB177" w:rsidR="004E5534" w:rsidRDefault="00BE74C7" w:rsidP="00497F02">
      <w:pPr>
        <w:rPr>
          <w:rFonts w:cs="Arial"/>
          <w:szCs w:val="24"/>
        </w:rPr>
      </w:pPr>
      <w:r>
        <w:rPr>
          <w:rFonts w:cs="Arial"/>
          <w:szCs w:val="24"/>
        </w:rPr>
        <w:t>There were no</w:t>
      </w:r>
      <w:r w:rsidRPr="00ED5A6E">
        <w:rPr>
          <w:rFonts w:cs="Arial"/>
          <w:szCs w:val="24"/>
        </w:rPr>
        <w:t xml:space="preserve"> declarations of interest notified. </w:t>
      </w:r>
    </w:p>
    <w:p w14:paraId="41321A80" w14:textId="77777777" w:rsidR="00497F02" w:rsidRPr="00497F02" w:rsidRDefault="00497F02" w:rsidP="00497F02">
      <w:pPr>
        <w:rPr>
          <w:rFonts w:cs="Arial"/>
          <w:szCs w:val="24"/>
        </w:rPr>
      </w:pPr>
    </w:p>
    <w:p w14:paraId="77FA4C0D" w14:textId="45C05EF5" w:rsidR="004E5534" w:rsidRDefault="00093F67" w:rsidP="000220C2">
      <w:pPr>
        <w:pStyle w:val="Heading1"/>
        <w:ind w:left="567" w:hanging="567"/>
        <w:rPr>
          <w:lang w:val="en-US"/>
        </w:rPr>
      </w:pPr>
      <w:r>
        <w:rPr>
          <w:lang w:val="en-US"/>
        </w:rPr>
        <w:t>3.</w:t>
      </w:r>
      <w:r>
        <w:rPr>
          <w:lang w:val="en-US"/>
        </w:rPr>
        <w:tab/>
      </w:r>
      <w:r w:rsidR="004E5534" w:rsidRPr="00093F67">
        <w:rPr>
          <w:u w:val="single"/>
          <w:lang w:val="en-US"/>
        </w:rPr>
        <w:t>Deputation – Northern Ireland Housing Executive – Annual update of the 2023-2026 Housing Investment Plan</w:t>
      </w:r>
      <w:r w:rsidR="004E5534" w:rsidRPr="00093F67">
        <w:rPr>
          <w:lang w:val="en-US"/>
        </w:rPr>
        <w:t xml:space="preserve"> </w:t>
      </w:r>
    </w:p>
    <w:p w14:paraId="42DBCFB1" w14:textId="44FBD051" w:rsidR="000220C2" w:rsidRPr="00497F02" w:rsidRDefault="00497F02" w:rsidP="00497F02">
      <w:pPr>
        <w:ind w:firstLine="567"/>
        <w:rPr>
          <w:rFonts w:cs="Arial"/>
          <w:szCs w:val="24"/>
          <w:lang w:val="en-US"/>
        </w:rPr>
      </w:pPr>
      <w:r w:rsidRPr="00497F02">
        <w:rPr>
          <w:rFonts w:cs="Arial"/>
          <w:szCs w:val="24"/>
          <w:lang w:val="en-US"/>
        </w:rPr>
        <w:t>(Appendi</w:t>
      </w:r>
      <w:r>
        <w:rPr>
          <w:rFonts w:cs="Arial"/>
          <w:szCs w:val="24"/>
          <w:lang w:val="en-US"/>
        </w:rPr>
        <w:t>ces</w:t>
      </w:r>
      <w:r w:rsidRPr="00497F02">
        <w:rPr>
          <w:rFonts w:cs="Arial"/>
          <w:szCs w:val="24"/>
          <w:lang w:val="en-US"/>
        </w:rPr>
        <w:t xml:space="preserve"> </w:t>
      </w:r>
      <w:r w:rsidR="005B1428">
        <w:rPr>
          <w:rFonts w:cs="Arial"/>
          <w:szCs w:val="24"/>
          <w:lang w:val="en-US"/>
        </w:rPr>
        <w:t>I &amp; II</w:t>
      </w:r>
      <w:r w:rsidRPr="00497F02">
        <w:rPr>
          <w:rFonts w:cs="Arial"/>
          <w:szCs w:val="24"/>
          <w:lang w:val="en-US"/>
        </w:rPr>
        <w:t>)</w:t>
      </w:r>
    </w:p>
    <w:p w14:paraId="7274E6C3" w14:textId="77777777" w:rsidR="00497F02" w:rsidRDefault="00497F02" w:rsidP="000220C2">
      <w:pPr>
        <w:rPr>
          <w:lang w:val="en-US"/>
        </w:rPr>
      </w:pPr>
    </w:p>
    <w:p w14:paraId="0729B46A" w14:textId="0A1063BE" w:rsidR="00497F02" w:rsidRPr="00497F02" w:rsidRDefault="004910FE" w:rsidP="000220C2">
      <w:pPr>
        <w:rPr>
          <w:rFonts w:cs="Arial"/>
          <w:szCs w:val="24"/>
          <w:lang w:val="en-US"/>
        </w:rPr>
      </w:pPr>
      <w:r w:rsidRPr="002A5317">
        <w:rPr>
          <w:rFonts w:cs="Arial"/>
          <w:caps/>
          <w:szCs w:val="24"/>
          <w:lang w:val="en-US"/>
        </w:rPr>
        <w:t>Previously circulated:-</w:t>
      </w:r>
      <w:r>
        <w:rPr>
          <w:rFonts w:cs="Arial"/>
          <w:szCs w:val="24"/>
          <w:lang w:val="en-US"/>
        </w:rPr>
        <w:t xml:space="preserve"> Housing Investment Plan and p</w:t>
      </w:r>
      <w:r w:rsidR="00497F02" w:rsidRPr="00497F02">
        <w:rPr>
          <w:rFonts w:cs="Arial"/>
          <w:szCs w:val="24"/>
          <w:lang w:val="en-US"/>
        </w:rPr>
        <w:t>resentation</w:t>
      </w:r>
      <w:r>
        <w:rPr>
          <w:rFonts w:cs="Arial"/>
          <w:szCs w:val="24"/>
          <w:lang w:val="en-US"/>
        </w:rPr>
        <w:t>.</w:t>
      </w:r>
    </w:p>
    <w:p w14:paraId="7A946B37" w14:textId="77777777" w:rsidR="00497F02" w:rsidRPr="000220C2" w:rsidRDefault="00497F02" w:rsidP="000220C2">
      <w:pPr>
        <w:rPr>
          <w:lang w:val="en-US"/>
        </w:rPr>
      </w:pPr>
    </w:p>
    <w:p w14:paraId="0399A724" w14:textId="37278D02" w:rsidR="000220C2" w:rsidRPr="000220C2" w:rsidRDefault="000220C2" w:rsidP="000220C2">
      <w:pPr>
        <w:rPr>
          <w:rFonts w:cs="Arial"/>
          <w:color w:val="000000" w:themeColor="text1"/>
          <w:szCs w:val="24"/>
        </w:rPr>
      </w:pPr>
      <w:r>
        <w:rPr>
          <w:rFonts w:cs="Arial"/>
          <w:color w:val="000000" w:themeColor="text1"/>
          <w:szCs w:val="24"/>
        </w:rPr>
        <w:t xml:space="preserve">The Chair welcomed and introduced </w:t>
      </w:r>
      <w:r w:rsidR="004910FE" w:rsidRPr="004910FE">
        <w:rPr>
          <w:rFonts w:cs="Arial"/>
          <w:color w:val="000000" w:themeColor="text1"/>
          <w:szCs w:val="24"/>
        </w:rPr>
        <w:t>Grainia Long</w:t>
      </w:r>
      <w:r w:rsidR="004910FE">
        <w:rPr>
          <w:rFonts w:cs="Arial"/>
          <w:color w:val="000000" w:themeColor="text1"/>
          <w:szCs w:val="24"/>
        </w:rPr>
        <w:t xml:space="preserve">, Chief Executive and Eileen Thompson, Ards and North Down Area Manager.  </w:t>
      </w:r>
    </w:p>
    <w:p w14:paraId="7E884E27" w14:textId="77777777" w:rsidR="00093F67" w:rsidRDefault="00093F67" w:rsidP="000220C2">
      <w:pPr>
        <w:rPr>
          <w:rFonts w:cs="Arial"/>
          <w:color w:val="000000" w:themeColor="text1"/>
          <w:szCs w:val="24"/>
        </w:rPr>
      </w:pPr>
    </w:p>
    <w:p w14:paraId="6BAFAC76" w14:textId="77777777" w:rsidR="00093F67" w:rsidRDefault="00093F67" w:rsidP="000220C2">
      <w:pPr>
        <w:rPr>
          <w:rFonts w:cs="Arial"/>
          <w:color w:val="000000" w:themeColor="text1"/>
          <w:szCs w:val="24"/>
        </w:rPr>
      </w:pPr>
    </w:p>
    <w:p w14:paraId="1F754B3E" w14:textId="77777777" w:rsidR="00497F02" w:rsidRDefault="00497F02" w:rsidP="000220C2">
      <w:pPr>
        <w:rPr>
          <w:rFonts w:cs="Arial"/>
          <w:color w:val="000000" w:themeColor="text1"/>
          <w:szCs w:val="24"/>
        </w:rPr>
      </w:pPr>
    </w:p>
    <w:p w14:paraId="7A652A6E" w14:textId="1655B5F1" w:rsidR="00497F02" w:rsidRDefault="005B1428" w:rsidP="00237690">
      <w:pPr>
        <w:rPr>
          <w:rFonts w:cs="Arial"/>
          <w:color w:val="000000" w:themeColor="text1"/>
          <w:szCs w:val="24"/>
        </w:rPr>
      </w:pPr>
      <w:r>
        <w:rPr>
          <w:rFonts w:cs="Arial"/>
          <w:color w:val="000000" w:themeColor="text1"/>
          <w:szCs w:val="24"/>
        </w:rPr>
        <w:lastRenderedPageBreak/>
        <w:t>Ms Long undertook a powerpoint presentatio</w:t>
      </w:r>
      <w:r w:rsidR="004910FE">
        <w:rPr>
          <w:rFonts w:cs="Arial"/>
          <w:color w:val="000000" w:themeColor="text1"/>
          <w:szCs w:val="24"/>
        </w:rPr>
        <w:t xml:space="preserve">n </w:t>
      </w:r>
      <w:r w:rsidR="00B75554">
        <w:rPr>
          <w:rFonts w:cs="Arial"/>
          <w:color w:val="000000" w:themeColor="text1"/>
          <w:szCs w:val="24"/>
        </w:rPr>
        <w:t xml:space="preserve">covering the undernoted aspects. </w:t>
      </w:r>
    </w:p>
    <w:p w14:paraId="1D498028" w14:textId="77777777" w:rsidR="00B75554" w:rsidRDefault="00B75554" w:rsidP="00237690">
      <w:pPr>
        <w:rPr>
          <w:rFonts w:cs="Arial"/>
          <w:color w:val="000000" w:themeColor="text1"/>
          <w:szCs w:val="24"/>
        </w:rPr>
      </w:pPr>
    </w:p>
    <w:p w14:paraId="4091B517" w14:textId="79C334C1" w:rsidR="00237690" w:rsidRPr="00237690" w:rsidRDefault="00237690" w:rsidP="00237690">
      <w:pPr>
        <w:pStyle w:val="ListParagraph"/>
        <w:numPr>
          <w:ilvl w:val="0"/>
          <w:numId w:val="25"/>
        </w:numPr>
        <w:spacing w:after="0" w:line="240" w:lineRule="auto"/>
        <w:contextualSpacing w:val="0"/>
        <w:rPr>
          <w:rFonts w:cs="Arial"/>
          <w:color w:val="000000" w:themeColor="text1"/>
          <w:szCs w:val="24"/>
        </w:rPr>
      </w:pPr>
      <w:r w:rsidRPr="00237690">
        <w:rPr>
          <w:rFonts w:cs="Arial"/>
          <w:color w:val="000000" w:themeColor="text1"/>
          <w:szCs w:val="24"/>
        </w:rPr>
        <w:t xml:space="preserve">Community Planning Update </w:t>
      </w:r>
    </w:p>
    <w:p w14:paraId="7B5C32AB" w14:textId="4FA8C039" w:rsidR="00B75554" w:rsidRPr="00237690" w:rsidRDefault="00B75554" w:rsidP="00237690">
      <w:pPr>
        <w:pStyle w:val="ListParagraph"/>
        <w:numPr>
          <w:ilvl w:val="0"/>
          <w:numId w:val="25"/>
        </w:numPr>
        <w:spacing w:after="0" w:line="240" w:lineRule="auto"/>
        <w:contextualSpacing w:val="0"/>
        <w:rPr>
          <w:rFonts w:cs="Arial"/>
          <w:color w:val="000000" w:themeColor="text1"/>
          <w:szCs w:val="24"/>
        </w:rPr>
      </w:pPr>
      <w:r w:rsidRPr="00237690">
        <w:rPr>
          <w:rFonts w:cs="Arial"/>
          <w:color w:val="000000" w:themeColor="text1"/>
          <w:szCs w:val="24"/>
        </w:rPr>
        <w:t xml:space="preserve">Tenure Breakdown &amp; Total Homes </w:t>
      </w:r>
    </w:p>
    <w:p w14:paraId="7E7CB1DB" w14:textId="37E5FA0A" w:rsidR="00B75554" w:rsidRPr="00D77159" w:rsidRDefault="00B75554" w:rsidP="00237690">
      <w:pPr>
        <w:pStyle w:val="ListParagraph"/>
        <w:numPr>
          <w:ilvl w:val="0"/>
          <w:numId w:val="25"/>
        </w:numPr>
        <w:spacing w:after="0" w:line="240" w:lineRule="auto"/>
        <w:contextualSpacing w:val="0"/>
        <w:rPr>
          <w:rFonts w:cs="Arial"/>
          <w:color w:val="000000" w:themeColor="text1"/>
          <w:szCs w:val="24"/>
        </w:rPr>
      </w:pPr>
      <w:r w:rsidRPr="00237690">
        <w:rPr>
          <w:rFonts w:cs="Arial"/>
          <w:color w:val="000000" w:themeColor="text1"/>
          <w:szCs w:val="24"/>
        </w:rPr>
        <w:t>Housing Executive Spend 23/24</w:t>
      </w:r>
      <w:r w:rsidR="0004403B">
        <w:rPr>
          <w:rFonts w:cs="Arial"/>
          <w:color w:val="000000" w:themeColor="text1"/>
          <w:szCs w:val="24"/>
        </w:rPr>
        <w:t xml:space="preserve"> – £78.87m. A large part of that was </w:t>
      </w:r>
      <w:r w:rsidR="000D5BA4">
        <w:rPr>
          <w:rFonts w:cs="Arial"/>
          <w:color w:val="000000" w:themeColor="text1"/>
          <w:szCs w:val="24"/>
        </w:rPr>
        <w:t>h</w:t>
      </w:r>
      <w:r w:rsidR="0004403B">
        <w:rPr>
          <w:rFonts w:cs="Arial"/>
          <w:color w:val="000000" w:themeColor="text1"/>
          <w:szCs w:val="24"/>
        </w:rPr>
        <w:t xml:space="preserve">ousing </w:t>
      </w:r>
      <w:r w:rsidR="000D5BA4">
        <w:rPr>
          <w:rFonts w:cs="Arial"/>
          <w:color w:val="000000" w:themeColor="text1"/>
          <w:szCs w:val="24"/>
        </w:rPr>
        <w:t>b</w:t>
      </w:r>
      <w:r w:rsidR="0004403B">
        <w:rPr>
          <w:rFonts w:cs="Arial"/>
          <w:color w:val="000000" w:themeColor="text1"/>
          <w:szCs w:val="24"/>
        </w:rPr>
        <w:t xml:space="preserve">enefit </w:t>
      </w:r>
      <w:r w:rsidR="000D5BA4">
        <w:rPr>
          <w:rFonts w:cs="Arial"/>
          <w:color w:val="000000" w:themeColor="text1"/>
          <w:szCs w:val="24"/>
        </w:rPr>
        <w:t xml:space="preserve">(£31.67m) </w:t>
      </w:r>
      <w:r w:rsidR="0004403B">
        <w:rPr>
          <w:rFonts w:cs="Arial"/>
          <w:color w:val="000000" w:themeColor="text1"/>
          <w:szCs w:val="24"/>
        </w:rPr>
        <w:t xml:space="preserve">and </w:t>
      </w:r>
      <w:r w:rsidR="000D5BA4">
        <w:rPr>
          <w:rFonts w:cs="Arial"/>
          <w:color w:val="000000" w:themeColor="text1"/>
          <w:szCs w:val="24"/>
        </w:rPr>
        <w:t>i</w:t>
      </w:r>
      <w:r w:rsidR="0004403B">
        <w:rPr>
          <w:rFonts w:cs="Arial"/>
          <w:color w:val="000000" w:themeColor="text1"/>
          <w:szCs w:val="24"/>
        </w:rPr>
        <w:t xml:space="preserve">nvestment in </w:t>
      </w:r>
      <w:r w:rsidR="000D5BA4">
        <w:rPr>
          <w:rFonts w:cs="Arial"/>
          <w:color w:val="000000" w:themeColor="text1"/>
          <w:szCs w:val="24"/>
        </w:rPr>
        <w:t>n</w:t>
      </w:r>
      <w:r w:rsidR="0004403B">
        <w:rPr>
          <w:rFonts w:cs="Arial"/>
          <w:color w:val="000000" w:themeColor="text1"/>
          <w:szCs w:val="24"/>
        </w:rPr>
        <w:t xml:space="preserve">ew </w:t>
      </w:r>
      <w:r w:rsidR="000D5BA4">
        <w:rPr>
          <w:rFonts w:cs="Arial"/>
          <w:color w:val="000000" w:themeColor="text1"/>
          <w:szCs w:val="24"/>
        </w:rPr>
        <w:t>b</w:t>
      </w:r>
      <w:r w:rsidR="0004403B" w:rsidRPr="00D77159">
        <w:rPr>
          <w:rFonts w:cs="Arial"/>
          <w:color w:val="000000" w:themeColor="text1"/>
          <w:szCs w:val="24"/>
        </w:rPr>
        <w:t>uild</w:t>
      </w:r>
      <w:r w:rsidR="000D5BA4">
        <w:rPr>
          <w:rFonts w:cs="Arial"/>
          <w:color w:val="000000" w:themeColor="text1"/>
          <w:szCs w:val="24"/>
        </w:rPr>
        <w:t xml:space="preserve"> (£26.70m).   </w:t>
      </w:r>
    </w:p>
    <w:p w14:paraId="7BC03634" w14:textId="3F3F0800" w:rsidR="00B75554" w:rsidRPr="00D77159" w:rsidRDefault="00B75554" w:rsidP="0004403B">
      <w:pPr>
        <w:pStyle w:val="ListParagraph"/>
        <w:numPr>
          <w:ilvl w:val="0"/>
          <w:numId w:val="25"/>
        </w:numPr>
        <w:spacing w:after="0" w:line="240" w:lineRule="auto"/>
        <w:contextualSpacing w:val="0"/>
        <w:rPr>
          <w:rFonts w:cs="Arial"/>
          <w:color w:val="000000" w:themeColor="text1"/>
          <w:szCs w:val="24"/>
        </w:rPr>
      </w:pPr>
      <w:r w:rsidRPr="00D77159">
        <w:rPr>
          <w:rFonts w:cs="Arial"/>
          <w:color w:val="000000" w:themeColor="text1"/>
          <w:szCs w:val="24"/>
        </w:rPr>
        <w:t xml:space="preserve">New Homes </w:t>
      </w:r>
      <w:r w:rsidR="000D5BA4">
        <w:rPr>
          <w:rFonts w:cs="Arial"/>
          <w:color w:val="000000" w:themeColor="text1"/>
          <w:szCs w:val="24"/>
        </w:rPr>
        <w:t>o</w:t>
      </w:r>
      <w:r w:rsidRPr="00D77159">
        <w:rPr>
          <w:rFonts w:cs="Arial"/>
          <w:color w:val="000000" w:themeColor="text1"/>
          <w:szCs w:val="24"/>
        </w:rPr>
        <w:t xml:space="preserve">n </w:t>
      </w:r>
      <w:r w:rsidR="000D5BA4">
        <w:rPr>
          <w:rFonts w:cs="Arial"/>
          <w:color w:val="000000" w:themeColor="text1"/>
          <w:szCs w:val="24"/>
        </w:rPr>
        <w:t>s</w:t>
      </w:r>
      <w:r w:rsidRPr="00D77159">
        <w:rPr>
          <w:rFonts w:cs="Arial"/>
          <w:color w:val="000000" w:themeColor="text1"/>
          <w:szCs w:val="24"/>
        </w:rPr>
        <w:t>ite in the last year</w:t>
      </w:r>
      <w:r w:rsidR="0004403B" w:rsidRPr="00D77159">
        <w:rPr>
          <w:rFonts w:cs="Arial"/>
          <w:color w:val="000000" w:themeColor="text1"/>
          <w:szCs w:val="24"/>
        </w:rPr>
        <w:t xml:space="preserve"> - </w:t>
      </w:r>
      <w:r w:rsidR="0004403B" w:rsidRPr="00D77159">
        <w:rPr>
          <w:rFonts w:cs="Arial"/>
          <w:color w:val="000000" w:themeColor="text1"/>
          <w:szCs w:val="24"/>
          <w:lang w:val="en-US"/>
        </w:rPr>
        <w:t>120 new social homes completed</w:t>
      </w:r>
      <w:r w:rsidR="000D5BA4">
        <w:rPr>
          <w:rFonts w:cs="Arial"/>
          <w:color w:val="000000" w:themeColor="text1"/>
          <w:szCs w:val="24"/>
          <w:lang w:val="en-US"/>
        </w:rPr>
        <w:t xml:space="preserve"> </w:t>
      </w:r>
      <w:r w:rsidR="0004403B" w:rsidRPr="00D77159">
        <w:rPr>
          <w:rFonts w:cs="Arial"/>
          <w:color w:val="000000" w:themeColor="text1"/>
          <w:szCs w:val="24"/>
          <w:lang w:val="en-US"/>
        </w:rPr>
        <w:t>and</w:t>
      </w:r>
      <w:r w:rsidR="00C23339" w:rsidRPr="00D77159">
        <w:rPr>
          <w:rFonts w:cs="Arial"/>
          <w:color w:val="000000" w:themeColor="text1"/>
          <w:szCs w:val="24"/>
          <w:lang w:val="en-US"/>
        </w:rPr>
        <w:t xml:space="preserve"> </w:t>
      </w:r>
      <w:r w:rsidR="0004403B" w:rsidRPr="00D77159">
        <w:rPr>
          <w:rFonts w:cs="Arial"/>
          <w:color w:val="000000" w:themeColor="text1"/>
          <w:szCs w:val="24"/>
          <w:lang w:val="en-US"/>
        </w:rPr>
        <w:t>174 new social homes under construction at end of March 2024.</w:t>
      </w:r>
    </w:p>
    <w:p w14:paraId="221DFC61" w14:textId="4E960847" w:rsidR="0004403B" w:rsidRPr="00D77159" w:rsidRDefault="00B75554" w:rsidP="0004403B">
      <w:pPr>
        <w:pStyle w:val="ListParagraph"/>
        <w:numPr>
          <w:ilvl w:val="0"/>
          <w:numId w:val="25"/>
        </w:numPr>
        <w:spacing w:after="0" w:line="240" w:lineRule="auto"/>
        <w:contextualSpacing w:val="0"/>
        <w:rPr>
          <w:rFonts w:cs="Arial"/>
          <w:color w:val="000000" w:themeColor="text1"/>
          <w:szCs w:val="24"/>
        </w:rPr>
      </w:pPr>
      <w:r w:rsidRPr="00D77159">
        <w:rPr>
          <w:rFonts w:cs="Arial"/>
          <w:color w:val="000000" w:themeColor="text1"/>
          <w:szCs w:val="24"/>
        </w:rPr>
        <w:t>New Housing for All role</w:t>
      </w:r>
      <w:r w:rsidR="0004403B" w:rsidRPr="00D77159">
        <w:rPr>
          <w:rFonts w:cs="Arial"/>
          <w:color w:val="000000" w:themeColor="text1"/>
          <w:szCs w:val="24"/>
        </w:rPr>
        <w:t xml:space="preserve"> - </w:t>
      </w:r>
      <w:r w:rsidR="0004403B" w:rsidRPr="0004403B">
        <w:rPr>
          <w:rFonts w:cs="Arial"/>
          <w:color w:val="000000" w:themeColor="text1"/>
          <w:szCs w:val="24"/>
          <w:lang w:val="en-US"/>
        </w:rPr>
        <w:t>Shared Housing Programme</w:t>
      </w:r>
      <w:r w:rsidR="000D5BA4">
        <w:rPr>
          <w:rFonts w:cs="Arial"/>
          <w:color w:val="000000" w:themeColor="text1"/>
          <w:szCs w:val="24"/>
          <w:lang w:val="en-US"/>
        </w:rPr>
        <w:t xml:space="preserve"> had</w:t>
      </w:r>
      <w:r w:rsidR="0004403B" w:rsidRPr="0004403B">
        <w:rPr>
          <w:rFonts w:cs="Arial"/>
          <w:color w:val="000000" w:themeColor="text1"/>
          <w:szCs w:val="24"/>
          <w:lang w:val="en-US"/>
        </w:rPr>
        <w:t xml:space="preserve"> transferred to NIHE from D</w:t>
      </w:r>
      <w:r w:rsidR="000D5BA4">
        <w:rPr>
          <w:rFonts w:cs="Arial"/>
          <w:color w:val="000000" w:themeColor="text1"/>
          <w:szCs w:val="24"/>
          <w:lang w:val="en-US"/>
        </w:rPr>
        <w:t>f</w:t>
      </w:r>
      <w:r w:rsidR="0004403B" w:rsidRPr="0004403B">
        <w:rPr>
          <w:rFonts w:cs="Arial"/>
          <w:color w:val="000000" w:themeColor="text1"/>
          <w:szCs w:val="24"/>
          <w:lang w:val="en-US"/>
        </w:rPr>
        <w:t xml:space="preserve">C with plans to further develop this successful partnership for the Good Relations programme in the coming years. </w:t>
      </w:r>
      <w:r w:rsidR="0004403B" w:rsidRPr="0004403B">
        <w:rPr>
          <w:rFonts w:cs="Arial"/>
          <w:color w:val="000000" w:themeColor="text1"/>
          <w:szCs w:val="24"/>
        </w:rPr>
        <w:t>Within Ards &amp; North Down Borough Council area, one Housing for All schemes ha</w:t>
      </w:r>
      <w:r w:rsidR="00C23339" w:rsidRPr="00D77159">
        <w:rPr>
          <w:rFonts w:cs="Arial"/>
          <w:color w:val="000000" w:themeColor="text1"/>
          <w:szCs w:val="24"/>
        </w:rPr>
        <w:t>d</w:t>
      </w:r>
      <w:r w:rsidR="0004403B" w:rsidRPr="0004403B">
        <w:rPr>
          <w:rFonts w:cs="Arial"/>
          <w:color w:val="000000" w:themeColor="text1"/>
          <w:szCs w:val="24"/>
        </w:rPr>
        <w:t xml:space="preserve"> been completed and celebrated as shared, with two potential schemes at pre allocation stage</w:t>
      </w:r>
      <w:r w:rsidR="0004403B" w:rsidRPr="00D77159">
        <w:rPr>
          <w:rFonts w:cs="Arial"/>
          <w:color w:val="000000" w:themeColor="text1"/>
          <w:szCs w:val="24"/>
        </w:rPr>
        <w:t xml:space="preserve">. </w:t>
      </w:r>
    </w:p>
    <w:p w14:paraId="7CBDEBE9" w14:textId="7594C67D" w:rsidR="00C23339" w:rsidRPr="00D77159" w:rsidRDefault="0004403B" w:rsidP="00C23339">
      <w:pPr>
        <w:pStyle w:val="ListParagraph"/>
        <w:numPr>
          <w:ilvl w:val="0"/>
          <w:numId w:val="25"/>
        </w:numPr>
        <w:spacing w:after="0" w:line="240" w:lineRule="auto"/>
        <w:contextualSpacing w:val="0"/>
        <w:rPr>
          <w:rFonts w:cs="Arial"/>
          <w:color w:val="000000" w:themeColor="text1"/>
        </w:rPr>
      </w:pPr>
      <w:r w:rsidRPr="00D77159">
        <w:rPr>
          <w:rFonts w:cs="Arial"/>
          <w:color w:val="000000" w:themeColor="text1"/>
          <w:szCs w:val="24"/>
        </w:rPr>
        <w:t xml:space="preserve">Waiting List Trends 2021-24 </w:t>
      </w:r>
      <w:r w:rsidR="00C23339" w:rsidRPr="00D77159">
        <w:rPr>
          <w:rFonts w:cs="Arial"/>
          <w:color w:val="000000" w:themeColor="text1"/>
          <w:szCs w:val="24"/>
        </w:rPr>
        <w:t xml:space="preserve">- </w:t>
      </w:r>
      <w:r w:rsidR="00C23339" w:rsidRPr="00D77159">
        <w:rPr>
          <w:rFonts w:cs="Arial"/>
          <w:color w:val="000000" w:themeColor="text1"/>
          <w:lang w:val="en-US"/>
        </w:rPr>
        <w:t xml:space="preserve">At March 2024 </w:t>
      </w:r>
      <w:r w:rsidR="00C23339" w:rsidRPr="00D77159">
        <w:rPr>
          <w:rFonts w:cs="Arial"/>
          <w:color w:val="000000" w:themeColor="text1"/>
          <w:szCs w:val="24"/>
          <w:lang w:val="en-US"/>
        </w:rPr>
        <w:t xml:space="preserve">3,284 households on waiting list, </w:t>
      </w:r>
    </w:p>
    <w:p w14:paraId="02CDF438" w14:textId="19B662A9" w:rsidR="0004403B" w:rsidRPr="00C23339" w:rsidRDefault="00C23339" w:rsidP="00C23339">
      <w:pPr>
        <w:pStyle w:val="ListParagraph"/>
        <w:spacing w:after="0" w:line="240" w:lineRule="auto"/>
        <w:contextualSpacing w:val="0"/>
        <w:rPr>
          <w:rFonts w:cs="Arial"/>
          <w:color w:val="000000" w:themeColor="text1"/>
          <w:szCs w:val="24"/>
        </w:rPr>
      </w:pPr>
      <w:r w:rsidRPr="00C23339">
        <w:rPr>
          <w:rFonts w:cs="Arial"/>
          <w:color w:val="000000" w:themeColor="text1"/>
          <w:szCs w:val="24"/>
          <w:lang w:val="en-US"/>
        </w:rPr>
        <w:t xml:space="preserve">2,404 in </w:t>
      </w:r>
      <w:r w:rsidR="000D5BA4">
        <w:rPr>
          <w:rFonts w:cs="Arial"/>
          <w:color w:val="000000" w:themeColor="text1"/>
          <w:szCs w:val="24"/>
          <w:lang w:val="en-US"/>
        </w:rPr>
        <w:t>h</w:t>
      </w:r>
      <w:r w:rsidRPr="00C23339">
        <w:rPr>
          <w:rFonts w:cs="Arial"/>
          <w:color w:val="000000" w:themeColor="text1"/>
          <w:szCs w:val="24"/>
          <w:lang w:val="en-US"/>
        </w:rPr>
        <w:t xml:space="preserve">ousing </w:t>
      </w:r>
      <w:r w:rsidR="000D5BA4">
        <w:rPr>
          <w:rFonts w:cs="Arial"/>
          <w:color w:val="000000" w:themeColor="text1"/>
          <w:szCs w:val="24"/>
          <w:lang w:val="en-US"/>
        </w:rPr>
        <w:t>s</w:t>
      </w:r>
      <w:r w:rsidRPr="00C23339">
        <w:rPr>
          <w:rFonts w:cs="Arial"/>
          <w:color w:val="000000" w:themeColor="text1"/>
          <w:szCs w:val="24"/>
          <w:lang w:val="en-US"/>
        </w:rPr>
        <w:t>tress</w:t>
      </w:r>
      <w:r w:rsidRPr="00D77159">
        <w:rPr>
          <w:rFonts w:cs="Arial"/>
          <w:color w:val="000000" w:themeColor="text1"/>
          <w:szCs w:val="24"/>
          <w:lang w:val="en-US"/>
        </w:rPr>
        <w:t xml:space="preserve"> and over 500 allocations (April</w:t>
      </w:r>
      <w:r w:rsidRPr="00C23339">
        <w:rPr>
          <w:rFonts w:cs="Arial"/>
          <w:color w:val="000000" w:themeColor="text1"/>
          <w:szCs w:val="24"/>
          <w:lang w:val="en-US"/>
        </w:rPr>
        <w:t xml:space="preserve"> 23 – March 24</w:t>
      </w:r>
      <w:r>
        <w:rPr>
          <w:rFonts w:cs="Arial"/>
          <w:color w:val="000000" w:themeColor="text1"/>
          <w:szCs w:val="24"/>
          <w:lang w:val="en-US"/>
        </w:rPr>
        <w:t>)</w:t>
      </w:r>
      <w:r w:rsidR="000D5BA4">
        <w:rPr>
          <w:rFonts w:cs="Arial"/>
          <w:color w:val="000000" w:themeColor="text1"/>
          <w:szCs w:val="24"/>
          <w:lang w:val="en-US"/>
        </w:rPr>
        <w:t xml:space="preserve">. </w:t>
      </w:r>
    </w:p>
    <w:p w14:paraId="658C0840" w14:textId="523E45B0" w:rsidR="00C23339" w:rsidRDefault="00C23339" w:rsidP="00A647CC">
      <w:pPr>
        <w:pStyle w:val="ListParagraph"/>
        <w:numPr>
          <w:ilvl w:val="0"/>
          <w:numId w:val="25"/>
        </w:numPr>
        <w:rPr>
          <w:rFonts w:cs="Arial"/>
          <w:color w:val="000000" w:themeColor="text1"/>
          <w:szCs w:val="24"/>
        </w:rPr>
      </w:pPr>
      <w:r>
        <w:rPr>
          <w:rFonts w:cs="Arial"/>
          <w:color w:val="000000" w:themeColor="text1"/>
          <w:szCs w:val="24"/>
        </w:rPr>
        <w:t xml:space="preserve">New Build/SHDP – housing needs assessments </w:t>
      </w:r>
      <w:r w:rsidR="000D5BA4">
        <w:rPr>
          <w:rFonts w:cs="Arial"/>
          <w:color w:val="000000" w:themeColor="text1"/>
          <w:szCs w:val="24"/>
        </w:rPr>
        <w:t xml:space="preserve">were undertaken to understand the scale of the need locally which was split between urban and rural along with the type of housing that was needed.  </w:t>
      </w:r>
      <w:r w:rsidR="004D5420">
        <w:rPr>
          <w:rFonts w:cs="Arial"/>
          <w:color w:val="000000" w:themeColor="text1"/>
          <w:szCs w:val="24"/>
        </w:rPr>
        <w:t>1,390 new homes as the strategic guidelines target for the next five years.</w:t>
      </w:r>
    </w:p>
    <w:p w14:paraId="76498D8D" w14:textId="04CFE574" w:rsidR="004D5420" w:rsidRDefault="004D5420" w:rsidP="004D5420">
      <w:pPr>
        <w:pStyle w:val="ListParagraph"/>
        <w:numPr>
          <w:ilvl w:val="0"/>
          <w:numId w:val="25"/>
        </w:numPr>
        <w:spacing w:after="0" w:line="240" w:lineRule="auto"/>
        <w:contextualSpacing w:val="0"/>
        <w:rPr>
          <w:rFonts w:cs="Arial"/>
          <w:color w:val="000000" w:themeColor="text1"/>
          <w:szCs w:val="24"/>
        </w:rPr>
      </w:pPr>
      <w:r w:rsidRPr="00237690">
        <w:rPr>
          <w:rFonts w:cs="Arial"/>
          <w:color w:val="000000" w:themeColor="text1"/>
          <w:szCs w:val="24"/>
        </w:rPr>
        <w:t>Projected Spend 24/25</w:t>
      </w:r>
      <w:r>
        <w:rPr>
          <w:rFonts w:cs="Arial"/>
          <w:color w:val="000000" w:themeColor="text1"/>
          <w:szCs w:val="24"/>
        </w:rPr>
        <w:t xml:space="preserve"> – One of the areas that the NIHE was committed to increasing investment in its own stock with a significant increase in the budget of £11.5m for planned maintenance and stock improvements. </w:t>
      </w:r>
    </w:p>
    <w:p w14:paraId="18B7A265" w14:textId="07DD0437" w:rsidR="004D5420" w:rsidRPr="004D5420" w:rsidRDefault="00B75554" w:rsidP="004D5420">
      <w:pPr>
        <w:pStyle w:val="ListParagraph"/>
        <w:numPr>
          <w:ilvl w:val="0"/>
          <w:numId w:val="25"/>
        </w:numPr>
        <w:rPr>
          <w:rFonts w:cs="Arial"/>
          <w:color w:val="000000" w:themeColor="text1"/>
          <w:szCs w:val="24"/>
        </w:rPr>
      </w:pPr>
      <w:r w:rsidRPr="00237690">
        <w:rPr>
          <w:rFonts w:cs="Arial"/>
          <w:color w:val="000000" w:themeColor="text1"/>
          <w:szCs w:val="24"/>
        </w:rPr>
        <w:t xml:space="preserve">Key Housing Challenges </w:t>
      </w:r>
      <w:r w:rsidR="004D5420">
        <w:rPr>
          <w:rFonts w:cs="Arial"/>
          <w:color w:val="000000" w:themeColor="text1"/>
          <w:szCs w:val="24"/>
        </w:rPr>
        <w:t xml:space="preserve">-  </w:t>
      </w:r>
      <w:r w:rsidR="004D5420" w:rsidRPr="004D5420">
        <w:rPr>
          <w:rFonts w:cs="Arial"/>
          <w:color w:val="000000" w:themeColor="text1"/>
          <w:szCs w:val="24"/>
        </w:rPr>
        <w:t xml:space="preserve">599 placements in temporary accommodation in Ards &amp; North Down Borough Council area during 2023/24. </w:t>
      </w:r>
      <w:r w:rsidR="004D5420">
        <w:rPr>
          <w:rFonts w:cs="Arial"/>
          <w:color w:val="000000" w:themeColor="text1"/>
          <w:szCs w:val="24"/>
        </w:rPr>
        <w:t>Locally, the team had been focused in ensuring the temporary accommodation was good quality and reducing the need for placement in hotels and B&amp;B accommodation</w:t>
      </w:r>
      <w:r w:rsidR="00C73BC3">
        <w:rPr>
          <w:rFonts w:cs="Arial"/>
          <w:color w:val="000000" w:themeColor="text1"/>
          <w:szCs w:val="24"/>
        </w:rPr>
        <w:t xml:space="preserve">.  </w:t>
      </w:r>
    </w:p>
    <w:p w14:paraId="6461437C" w14:textId="79D4D230" w:rsidR="004910FE" w:rsidRPr="00C73BC3" w:rsidRDefault="00977EE5" w:rsidP="00C73BC3">
      <w:pPr>
        <w:pStyle w:val="ListParagraph"/>
        <w:numPr>
          <w:ilvl w:val="0"/>
          <w:numId w:val="25"/>
        </w:numPr>
        <w:rPr>
          <w:rFonts w:cs="Arial"/>
          <w:color w:val="000000" w:themeColor="text1"/>
          <w:szCs w:val="24"/>
        </w:rPr>
      </w:pPr>
      <w:r w:rsidRPr="00237690">
        <w:rPr>
          <w:rFonts w:cs="Arial"/>
          <w:color w:val="000000" w:themeColor="text1"/>
          <w:szCs w:val="24"/>
        </w:rPr>
        <w:t>Key Housing Opportunities</w:t>
      </w:r>
      <w:r w:rsidR="00C73BC3">
        <w:rPr>
          <w:rFonts w:cs="Arial"/>
          <w:color w:val="000000" w:themeColor="text1"/>
          <w:szCs w:val="24"/>
        </w:rPr>
        <w:t xml:space="preserve"> -  NIHE were very focused on low carbon, energy efficiency and net zero approaches to its stock. 1,400 ‘fabric first’ retrofits having been completed a</w:t>
      </w:r>
      <w:r w:rsidR="00C73BC3" w:rsidRPr="00C73BC3">
        <w:rPr>
          <w:rFonts w:cs="Arial"/>
          <w:color w:val="000000" w:themeColor="text1"/>
          <w:szCs w:val="24"/>
        </w:rPr>
        <w:t>cross Northern Ireland</w:t>
      </w:r>
      <w:r w:rsidR="00C73BC3">
        <w:rPr>
          <w:rFonts w:cs="Arial"/>
          <w:color w:val="000000" w:themeColor="text1"/>
          <w:szCs w:val="24"/>
        </w:rPr>
        <w:t xml:space="preserve">. Along with the </w:t>
      </w:r>
      <w:r w:rsidR="00C73BC3" w:rsidRPr="00C73BC3">
        <w:rPr>
          <w:rFonts w:cs="Arial"/>
          <w:color w:val="000000" w:themeColor="text1"/>
          <w:szCs w:val="24"/>
        </w:rPr>
        <w:t>commence</w:t>
      </w:r>
      <w:r w:rsidR="00C73BC3">
        <w:rPr>
          <w:rFonts w:cs="Arial"/>
          <w:color w:val="000000" w:themeColor="text1"/>
          <w:szCs w:val="24"/>
        </w:rPr>
        <w:t xml:space="preserve">ment of </w:t>
      </w:r>
      <w:r w:rsidR="00C73BC3" w:rsidRPr="00C73BC3">
        <w:rPr>
          <w:rFonts w:cs="Arial"/>
          <w:color w:val="000000" w:themeColor="text1"/>
          <w:szCs w:val="24"/>
        </w:rPr>
        <w:t>a programme of 300 - 400 low carbon heating installations</w:t>
      </w:r>
      <w:r w:rsidR="00C73BC3">
        <w:rPr>
          <w:rFonts w:cs="Arial"/>
          <w:color w:val="000000" w:themeColor="text1"/>
          <w:szCs w:val="24"/>
        </w:rPr>
        <w:t xml:space="preserve">.   </w:t>
      </w:r>
    </w:p>
    <w:p w14:paraId="3DF39E2F" w14:textId="77777777" w:rsidR="00237690" w:rsidRPr="00237690" w:rsidRDefault="00237690" w:rsidP="00237690">
      <w:pPr>
        <w:pStyle w:val="ListParagraph"/>
        <w:spacing w:after="0" w:line="240" w:lineRule="auto"/>
        <w:contextualSpacing w:val="0"/>
        <w:rPr>
          <w:rFonts w:cs="Arial"/>
          <w:color w:val="000000" w:themeColor="text1"/>
          <w:szCs w:val="24"/>
        </w:rPr>
      </w:pPr>
    </w:p>
    <w:p w14:paraId="7A530CC9" w14:textId="57D8E071" w:rsidR="004910FE" w:rsidRDefault="004910FE" w:rsidP="00237690">
      <w:pPr>
        <w:rPr>
          <w:rFonts w:cs="Arial"/>
          <w:color w:val="000000" w:themeColor="text1"/>
          <w:szCs w:val="24"/>
        </w:rPr>
      </w:pPr>
      <w:r>
        <w:rPr>
          <w:rFonts w:cs="Arial"/>
          <w:color w:val="000000" w:themeColor="text1"/>
          <w:szCs w:val="24"/>
        </w:rPr>
        <w:t xml:space="preserve">The Chair thanked Ms Long for the presentation and invited questions from Members. </w:t>
      </w:r>
    </w:p>
    <w:p w14:paraId="309D9DB1" w14:textId="77777777" w:rsidR="004910FE" w:rsidRDefault="004910FE" w:rsidP="000220C2">
      <w:pPr>
        <w:rPr>
          <w:rFonts w:cs="Arial"/>
          <w:color w:val="000000" w:themeColor="text1"/>
          <w:szCs w:val="24"/>
        </w:rPr>
      </w:pPr>
    </w:p>
    <w:p w14:paraId="65BF70E9" w14:textId="02E68FA5" w:rsidR="00B1486D" w:rsidRDefault="00B1486D" w:rsidP="000220C2">
      <w:pPr>
        <w:rPr>
          <w:rFonts w:cs="Arial"/>
          <w:color w:val="000000" w:themeColor="text1"/>
          <w:szCs w:val="24"/>
        </w:rPr>
      </w:pPr>
      <w:r>
        <w:rPr>
          <w:rFonts w:cs="Arial"/>
          <w:color w:val="000000" w:themeColor="text1"/>
          <w:szCs w:val="24"/>
        </w:rPr>
        <w:t xml:space="preserve">Alderman McIlveen referred to the specification </w:t>
      </w:r>
      <w:r w:rsidR="00783244">
        <w:rPr>
          <w:rFonts w:cs="Arial"/>
          <w:color w:val="000000" w:themeColor="text1"/>
          <w:szCs w:val="24"/>
        </w:rPr>
        <w:t>that</w:t>
      </w:r>
      <w:r>
        <w:rPr>
          <w:rFonts w:cs="Arial"/>
          <w:color w:val="000000" w:themeColor="text1"/>
          <w:szCs w:val="24"/>
        </w:rPr>
        <w:t xml:space="preserve"> new homes were now being built to, low carbon homes and ensuring houses were built to the highest standard.  He asked if any research had been undertaken in relation to passive housing as a possible future model for social housing.  There were some examples of such already in Northern Ireland therefore the expertise was </w:t>
      </w:r>
      <w:r w:rsidR="009C7283">
        <w:rPr>
          <w:rFonts w:cs="Arial"/>
          <w:color w:val="000000" w:themeColor="text1"/>
          <w:szCs w:val="24"/>
        </w:rPr>
        <w:t xml:space="preserve">already </w:t>
      </w:r>
      <w:r>
        <w:rPr>
          <w:rFonts w:cs="Arial"/>
          <w:color w:val="000000" w:themeColor="text1"/>
          <w:szCs w:val="24"/>
        </w:rPr>
        <w:t xml:space="preserve">being generated.   </w:t>
      </w:r>
    </w:p>
    <w:p w14:paraId="3C749F1E" w14:textId="77777777" w:rsidR="004910FE" w:rsidRDefault="004910FE" w:rsidP="000220C2">
      <w:pPr>
        <w:rPr>
          <w:rFonts w:cs="Arial"/>
          <w:color w:val="000000" w:themeColor="text1"/>
          <w:szCs w:val="24"/>
        </w:rPr>
      </w:pPr>
    </w:p>
    <w:p w14:paraId="375CF49C" w14:textId="294E4EA8" w:rsidR="004910FE" w:rsidRDefault="00B1486D" w:rsidP="000220C2">
      <w:pPr>
        <w:rPr>
          <w:rFonts w:cs="Arial"/>
          <w:color w:val="000000" w:themeColor="text1"/>
          <w:szCs w:val="24"/>
        </w:rPr>
      </w:pPr>
      <w:r>
        <w:rPr>
          <w:rFonts w:cs="Arial"/>
          <w:color w:val="000000" w:themeColor="text1"/>
          <w:szCs w:val="24"/>
        </w:rPr>
        <w:t xml:space="preserve">Ms Long stated that Housing Associations </w:t>
      </w:r>
      <w:r w:rsidR="009F3206">
        <w:rPr>
          <w:rFonts w:cs="Arial"/>
          <w:color w:val="000000" w:themeColor="text1"/>
          <w:szCs w:val="24"/>
        </w:rPr>
        <w:t xml:space="preserve">worked to building standards that were set </w:t>
      </w:r>
      <w:r w:rsidR="00D77159">
        <w:rPr>
          <w:rFonts w:cs="Arial"/>
          <w:color w:val="000000" w:themeColor="text1"/>
          <w:szCs w:val="24"/>
        </w:rPr>
        <w:t xml:space="preserve">by </w:t>
      </w:r>
      <w:r w:rsidR="009F3206">
        <w:rPr>
          <w:rFonts w:cs="Arial"/>
          <w:color w:val="000000" w:themeColor="text1"/>
          <w:szCs w:val="24"/>
        </w:rPr>
        <w:t>the Department of</w:t>
      </w:r>
      <w:r w:rsidR="00D77159">
        <w:rPr>
          <w:rFonts w:cs="Arial"/>
          <w:color w:val="000000" w:themeColor="text1"/>
          <w:szCs w:val="24"/>
        </w:rPr>
        <w:t xml:space="preserve"> </w:t>
      </w:r>
      <w:r w:rsidR="009F3206">
        <w:rPr>
          <w:rFonts w:cs="Arial"/>
          <w:color w:val="000000" w:themeColor="text1"/>
          <w:szCs w:val="24"/>
        </w:rPr>
        <w:t xml:space="preserve">Finance and they must build to the Housing Association Guide.  It was recognised that homes needed to be built as low carbon as possible. The Housing Executive had brought forward a proposal approximately two years ago  that the Housing Executive would build a small number of low carbon homes which the Department agreed to. They had been the first new homes that the Housing </w:t>
      </w:r>
      <w:r w:rsidR="009F3206">
        <w:rPr>
          <w:rFonts w:cs="Arial"/>
          <w:color w:val="000000" w:themeColor="text1"/>
          <w:szCs w:val="24"/>
        </w:rPr>
        <w:lastRenderedPageBreak/>
        <w:t>Executive had built in 26 years. Those homes were built to passive housing standard using modern methods of construction and were located in Sunningdale Gardens, Belfast.   The Housing Executive were working on the findings from that pilot and would be monitoring how the tenants found the homes</w:t>
      </w:r>
      <w:r w:rsidR="009C7283">
        <w:rPr>
          <w:rFonts w:cs="Arial"/>
          <w:color w:val="000000" w:themeColor="text1"/>
          <w:szCs w:val="24"/>
        </w:rPr>
        <w:t xml:space="preserve">. </w:t>
      </w:r>
      <w:r w:rsidR="009F3206">
        <w:rPr>
          <w:rFonts w:cs="Arial"/>
          <w:color w:val="000000" w:themeColor="text1"/>
          <w:szCs w:val="24"/>
        </w:rPr>
        <w:t xml:space="preserve">Ms Long hoped that would be the start of the new standard for social housing.  </w:t>
      </w:r>
    </w:p>
    <w:p w14:paraId="137CDC95" w14:textId="77777777" w:rsidR="00374F94" w:rsidRDefault="00374F94" w:rsidP="000220C2">
      <w:pPr>
        <w:rPr>
          <w:rFonts w:cs="Arial"/>
          <w:color w:val="000000" w:themeColor="text1"/>
          <w:szCs w:val="24"/>
        </w:rPr>
      </w:pPr>
    </w:p>
    <w:p w14:paraId="4C647010" w14:textId="7B1B227B" w:rsidR="00374F94" w:rsidRDefault="00374F94" w:rsidP="000220C2">
      <w:pPr>
        <w:rPr>
          <w:rFonts w:cs="Arial"/>
          <w:color w:val="000000" w:themeColor="text1"/>
          <w:szCs w:val="24"/>
        </w:rPr>
      </w:pPr>
      <w:r>
        <w:rPr>
          <w:rFonts w:cs="Arial"/>
          <w:color w:val="000000" w:themeColor="text1"/>
          <w:szCs w:val="24"/>
        </w:rPr>
        <w:t xml:space="preserve">Councillor W Irvine </w:t>
      </w:r>
      <w:r w:rsidR="0063204E">
        <w:rPr>
          <w:rFonts w:cs="Arial"/>
          <w:color w:val="000000" w:themeColor="text1"/>
          <w:szCs w:val="24"/>
        </w:rPr>
        <w:t>noted that the stock figure was very encouraging, and he looked forward to those homes coming on site. He referred to the gable walls at Clanmorris, Bangor</w:t>
      </w:r>
      <w:r w:rsidR="009C7283">
        <w:rPr>
          <w:rFonts w:cs="Arial"/>
          <w:color w:val="000000" w:themeColor="text1"/>
          <w:szCs w:val="24"/>
        </w:rPr>
        <w:t>,</w:t>
      </w:r>
      <w:r w:rsidR="0063204E">
        <w:rPr>
          <w:rFonts w:cs="Arial"/>
          <w:color w:val="000000" w:themeColor="text1"/>
          <w:szCs w:val="24"/>
        </w:rPr>
        <w:t xml:space="preserve"> </w:t>
      </w:r>
      <w:r w:rsidR="00BF6416">
        <w:rPr>
          <w:rFonts w:cs="Arial"/>
          <w:color w:val="000000" w:themeColor="text1"/>
          <w:szCs w:val="24"/>
        </w:rPr>
        <w:t xml:space="preserve">those gables walls faced out onto the carriageway </w:t>
      </w:r>
      <w:r w:rsidR="0063204E">
        <w:rPr>
          <w:rFonts w:cs="Arial"/>
          <w:color w:val="000000" w:themeColor="text1"/>
          <w:szCs w:val="24"/>
        </w:rPr>
        <w:t xml:space="preserve">opposite the industrial lands </w:t>
      </w:r>
      <w:r w:rsidR="009C7283">
        <w:rPr>
          <w:rFonts w:cs="Arial"/>
          <w:color w:val="000000" w:themeColor="text1"/>
          <w:szCs w:val="24"/>
        </w:rPr>
        <w:t>where</w:t>
      </w:r>
      <w:r w:rsidR="0063204E">
        <w:rPr>
          <w:rFonts w:cs="Arial"/>
          <w:color w:val="000000" w:themeColor="text1"/>
          <w:szCs w:val="24"/>
        </w:rPr>
        <w:t xml:space="preserve"> Sainsbury’s </w:t>
      </w:r>
      <w:r w:rsidR="009C7283">
        <w:rPr>
          <w:rFonts w:cs="Arial"/>
          <w:color w:val="000000" w:themeColor="text1"/>
          <w:szCs w:val="24"/>
        </w:rPr>
        <w:t>w</w:t>
      </w:r>
      <w:r w:rsidR="0063204E">
        <w:rPr>
          <w:rFonts w:cs="Arial"/>
          <w:color w:val="000000" w:themeColor="text1"/>
          <w:szCs w:val="24"/>
        </w:rPr>
        <w:t>as located</w:t>
      </w:r>
      <w:r w:rsidR="009C7283">
        <w:rPr>
          <w:rFonts w:cs="Arial"/>
          <w:color w:val="000000" w:themeColor="text1"/>
          <w:szCs w:val="24"/>
        </w:rPr>
        <w:t xml:space="preserve">. Those walls displayed </w:t>
      </w:r>
      <w:r w:rsidR="00BF6416">
        <w:rPr>
          <w:rFonts w:cs="Arial"/>
          <w:color w:val="000000" w:themeColor="text1"/>
          <w:szCs w:val="24"/>
        </w:rPr>
        <w:t xml:space="preserve">a lot of </w:t>
      </w:r>
      <w:r w:rsidR="0063204E">
        <w:rPr>
          <w:rFonts w:cs="Arial"/>
          <w:color w:val="000000" w:themeColor="text1"/>
          <w:szCs w:val="24"/>
        </w:rPr>
        <w:t>graffiti</w:t>
      </w:r>
      <w:r w:rsidR="00BF6416">
        <w:rPr>
          <w:rFonts w:cs="Arial"/>
          <w:color w:val="000000" w:themeColor="text1"/>
          <w:szCs w:val="24"/>
        </w:rPr>
        <w:t xml:space="preserve"> and residents had been voicing concern for some time</w:t>
      </w:r>
      <w:r w:rsidR="0063204E">
        <w:rPr>
          <w:rFonts w:cs="Arial"/>
          <w:color w:val="000000" w:themeColor="text1"/>
          <w:szCs w:val="24"/>
        </w:rPr>
        <w:t xml:space="preserve">.  The Council’s Good Relations </w:t>
      </w:r>
      <w:r w:rsidR="009C7283">
        <w:rPr>
          <w:rFonts w:cs="Arial"/>
          <w:color w:val="000000" w:themeColor="text1"/>
          <w:szCs w:val="24"/>
        </w:rPr>
        <w:t>t</w:t>
      </w:r>
      <w:r w:rsidR="0063204E">
        <w:rPr>
          <w:rFonts w:cs="Arial"/>
          <w:color w:val="000000" w:themeColor="text1"/>
          <w:szCs w:val="24"/>
        </w:rPr>
        <w:t>eam had been working on the matter</w:t>
      </w:r>
      <w:r w:rsidR="00BF6416">
        <w:rPr>
          <w:rFonts w:cs="Arial"/>
          <w:color w:val="000000" w:themeColor="text1"/>
          <w:szCs w:val="24"/>
        </w:rPr>
        <w:t xml:space="preserve">. </w:t>
      </w:r>
      <w:r w:rsidR="009C7283">
        <w:rPr>
          <w:rFonts w:cs="Arial"/>
          <w:color w:val="000000" w:themeColor="text1"/>
          <w:szCs w:val="24"/>
        </w:rPr>
        <w:t xml:space="preserve">Councillor W Irvine asked if the NIHE had any update in that regard </w:t>
      </w:r>
      <w:r w:rsidR="00BF6416">
        <w:rPr>
          <w:rFonts w:cs="Arial"/>
          <w:color w:val="000000" w:themeColor="text1"/>
          <w:szCs w:val="24"/>
        </w:rPr>
        <w:t xml:space="preserve">noting that some of the properties were owned by the Housing Executive and some were privately owned.  </w:t>
      </w:r>
    </w:p>
    <w:p w14:paraId="0BC316D6" w14:textId="77777777" w:rsidR="005B1428" w:rsidRDefault="005B1428" w:rsidP="000220C2">
      <w:pPr>
        <w:rPr>
          <w:rFonts w:cs="Arial"/>
          <w:color w:val="000000" w:themeColor="text1"/>
          <w:szCs w:val="24"/>
        </w:rPr>
      </w:pPr>
    </w:p>
    <w:p w14:paraId="45CAD111" w14:textId="0D4E3D82" w:rsidR="004910FE" w:rsidRDefault="00285330" w:rsidP="000220C2">
      <w:pPr>
        <w:rPr>
          <w:rFonts w:cs="Arial"/>
          <w:color w:val="000000" w:themeColor="text1"/>
          <w:szCs w:val="24"/>
        </w:rPr>
      </w:pPr>
      <w:r>
        <w:rPr>
          <w:rFonts w:cs="Arial"/>
          <w:color w:val="000000" w:themeColor="text1"/>
          <w:szCs w:val="24"/>
        </w:rPr>
        <w:t xml:space="preserve">Mrs Thompson advised that a public meeting had been organised </w:t>
      </w:r>
      <w:r w:rsidR="00CD7069">
        <w:rPr>
          <w:rFonts w:cs="Arial"/>
          <w:color w:val="000000" w:themeColor="text1"/>
          <w:szCs w:val="24"/>
        </w:rPr>
        <w:t>for after Christmas.</w:t>
      </w:r>
      <w:r>
        <w:rPr>
          <w:rFonts w:cs="Arial"/>
          <w:color w:val="000000" w:themeColor="text1"/>
          <w:szCs w:val="24"/>
        </w:rPr>
        <w:t xml:space="preserve">  </w:t>
      </w:r>
      <w:r w:rsidR="00CD7069">
        <w:rPr>
          <w:rFonts w:cs="Arial"/>
          <w:color w:val="000000" w:themeColor="text1"/>
          <w:szCs w:val="24"/>
        </w:rPr>
        <w:t xml:space="preserve">She recognised that the site was prominent, the </w:t>
      </w:r>
      <w:r>
        <w:rPr>
          <w:rFonts w:cs="Arial"/>
          <w:color w:val="000000" w:themeColor="text1"/>
          <w:szCs w:val="24"/>
        </w:rPr>
        <w:t>Housing Executive owned 4 of those gable walls and would be keen to support a reimaging project. However</w:t>
      </w:r>
      <w:r w:rsidR="00CD7069">
        <w:rPr>
          <w:rFonts w:cs="Arial"/>
          <w:color w:val="000000" w:themeColor="text1"/>
          <w:szCs w:val="24"/>
        </w:rPr>
        <w:t xml:space="preserve">, the Housing Executive </w:t>
      </w:r>
      <w:r>
        <w:rPr>
          <w:rFonts w:cs="Arial"/>
          <w:color w:val="000000" w:themeColor="text1"/>
          <w:szCs w:val="24"/>
        </w:rPr>
        <w:t xml:space="preserve">would </w:t>
      </w:r>
      <w:r w:rsidR="00CD7069">
        <w:rPr>
          <w:rFonts w:cs="Arial"/>
          <w:color w:val="000000" w:themeColor="text1"/>
          <w:szCs w:val="24"/>
        </w:rPr>
        <w:t xml:space="preserve">like that to be </w:t>
      </w:r>
      <w:r>
        <w:rPr>
          <w:rFonts w:cs="Arial"/>
          <w:color w:val="000000" w:themeColor="text1"/>
          <w:szCs w:val="24"/>
        </w:rPr>
        <w:t>a community led project</w:t>
      </w:r>
      <w:r w:rsidR="00CD7069">
        <w:rPr>
          <w:rFonts w:cs="Arial"/>
          <w:color w:val="000000" w:themeColor="text1"/>
          <w:szCs w:val="24"/>
        </w:rPr>
        <w:t xml:space="preserve"> and it was hoped that the public meeting would allow residents to express their views.  </w:t>
      </w:r>
    </w:p>
    <w:p w14:paraId="624AF19C" w14:textId="77777777" w:rsidR="00285330" w:rsidRDefault="00285330" w:rsidP="000220C2">
      <w:pPr>
        <w:rPr>
          <w:rFonts w:cs="Arial"/>
          <w:color w:val="000000" w:themeColor="text1"/>
          <w:szCs w:val="24"/>
        </w:rPr>
      </w:pPr>
    </w:p>
    <w:p w14:paraId="1F1F2D65" w14:textId="3B27B857" w:rsidR="003B4442" w:rsidRDefault="003B4442" w:rsidP="000220C2">
      <w:pPr>
        <w:rPr>
          <w:rFonts w:cs="Arial"/>
          <w:color w:val="000000" w:themeColor="text1"/>
          <w:szCs w:val="24"/>
        </w:rPr>
      </w:pPr>
      <w:r>
        <w:rPr>
          <w:rFonts w:cs="Arial"/>
          <w:color w:val="000000" w:themeColor="text1"/>
          <w:szCs w:val="24"/>
        </w:rPr>
        <w:t xml:space="preserve">Councillor Moore was encouraged to hear the work being undertaken around sustainability and carbon reduction. </w:t>
      </w:r>
      <w:r w:rsidR="006337B0">
        <w:rPr>
          <w:rFonts w:cs="Arial"/>
          <w:color w:val="000000" w:themeColor="text1"/>
          <w:szCs w:val="24"/>
        </w:rPr>
        <w:t xml:space="preserve">She referred to the changes in people’s accessibility needs, how those could change over time and how those were being incorporated into the housing stock.   Ms Long stated that all housing association properties were built to lifetime standard which had a positive impact as people grew older.  The Housing Executive also looked at </w:t>
      </w:r>
      <w:r w:rsidR="009C7283">
        <w:rPr>
          <w:rFonts w:cs="Arial"/>
          <w:color w:val="000000" w:themeColor="text1"/>
          <w:szCs w:val="24"/>
        </w:rPr>
        <w:t xml:space="preserve">its </w:t>
      </w:r>
      <w:r w:rsidR="006337B0">
        <w:rPr>
          <w:rFonts w:cs="Arial"/>
          <w:color w:val="000000" w:themeColor="text1"/>
          <w:szCs w:val="24"/>
        </w:rPr>
        <w:t>own stock as its decarbonised and inves</w:t>
      </w:r>
      <w:r w:rsidR="009C7283">
        <w:rPr>
          <w:rFonts w:cs="Arial"/>
          <w:color w:val="000000" w:themeColor="text1"/>
          <w:szCs w:val="24"/>
        </w:rPr>
        <w:t>ted</w:t>
      </w:r>
      <w:r w:rsidR="006337B0">
        <w:rPr>
          <w:rFonts w:cs="Arial"/>
          <w:color w:val="000000" w:themeColor="text1"/>
          <w:szCs w:val="24"/>
        </w:rPr>
        <w:t xml:space="preserve"> more in sustainability.  Good housing promoted good health</w:t>
      </w:r>
      <w:r w:rsidR="009C7283">
        <w:rPr>
          <w:rFonts w:cs="Arial"/>
          <w:color w:val="000000" w:themeColor="text1"/>
          <w:szCs w:val="24"/>
        </w:rPr>
        <w:t>,</w:t>
      </w:r>
      <w:r w:rsidR="006337B0">
        <w:rPr>
          <w:rFonts w:cs="Arial"/>
          <w:color w:val="000000" w:themeColor="text1"/>
          <w:szCs w:val="24"/>
        </w:rPr>
        <w:t xml:space="preserve"> and the Housing Executive had a Health for Housing team that were constantly challenging to capture and monitor the health impacts. Ms Long highlighted that an area for concern was the cost of the disabled ad</w:t>
      </w:r>
      <w:r w:rsidR="009C7283">
        <w:rPr>
          <w:rFonts w:cs="Arial"/>
          <w:color w:val="000000" w:themeColor="text1"/>
          <w:szCs w:val="24"/>
        </w:rPr>
        <w:t>aptations</w:t>
      </w:r>
      <w:r w:rsidR="006337B0">
        <w:rPr>
          <w:rFonts w:cs="Arial"/>
          <w:color w:val="000000" w:themeColor="text1"/>
          <w:szCs w:val="24"/>
        </w:rPr>
        <w:t xml:space="preserve"> and there were important strategic decisions to made in that regard to ensure value for money.  </w:t>
      </w:r>
    </w:p>
    <w:p w14:paraId="79B72269" w14:textId="77777777" w:rsidR="006337B0" w:rsidRDefault="006337B0" w:rsidP="000220C2">
      <w:pPr>
        <w:rPr>
          <w:rFonts w:cs="Arial"/>
          <w:color w:val="000000" w:themeColor="text1"/>
          <w:szCs w:val="24"/>
        </w:rPr>
      </w:pPr>
    </w:p>
    <w:p w14:paraId="5C1F5D06" w14:textId="400EA229" w:rsidR="006337B0" w:rsidRDefault="006337B0" w:rsidP="000220C2">
      <w:pPr>
        <w:rPr>
          <w:rFonts w:cs="Arial"/>
          <w:color w:val="000000" w:themeColor="text1"/>
          <w:szCs w:val="24"/>
        </w:rPr>
      </w:pPr>
      <w:r>
        <w:rPr>
          <w:rFonts w:cs="Arial"/>
          <w:color w:val="000000" w:themeColor="text1"/>
          <w:szCs w:val="24"/>
        </w:rPr>
        <w:t xml:space="preserve">Alderman McAlpine was surprised to read that the private rented </w:t>
      </w:r>
      <w:r w:rsidR="009C7283">
        <w:rPr>
          <w:rFonts w:cs="Arial"/>
          <w:color w:val="000000" w:themeColor="text1"/>
          <w:szCs w:val="24"/>
        </w:rPr>
        <w:t xml:space="preserve">sector </w:t>
      </w:r>
      <w:r>
        <w:rPr>
          <w:rFonts w:cs="Arial"/>
          <w:color w:val="000000" w:themeColor="text1"/>
          <w:szCs w:val="24"/>
        </w:rPr>
        <w:t xml:space="preserve">was 2.5% higher that the social rentals in the Borough. </w:t>
      </w:r>
      <w:r w:rsidR="00552704">
        <w:rPr>
          <w:rFonts w:cs="Arial"/>
          <w:color w:val="000000" w:themeColor="text1"/>
          <w:szCs w:val="24"/>
        </w:rPr>
        <w:t xml:space="preserve">She referred to the housing executive properties that had been sold and asked if those were tracked afterwards to see if those properties were privately rented.  </w:t>
      </w:r>
      <w:r w:rsidR="005A2443">
        <w:rPr>
          <w:rFonts w:cs="Arial"/>
          <w:color w:val="000000" w:themeColor="text1"/>
          <w:szCs w:val="24"/>
        </w:rPr>
        <w:t xml:space="preserve">Alderman McAlpine felt it was disappointing that stock was being lost and not replaced.  </w:t>
      </w:r>
    </w:p>
    <w:p w14:paraId="23C211C1" w14:textId="77777777" w:rsidR="005A2443" w:rsidRDefault="005A2443" w:rsidP="000220C2">
      <w:pPr>
        <w:rPr>
          <w:rFonts w:cs="Arial"/>
          <w:color w:val="000000" w:themeColor="text1"/>
          <w:szCs w:val="24"/>
        </w:rPr>
      </w:pPr>
    </w:p>
    <w:p w14:paraId="3083661F" w14:textId="775BBB88" w:rsidR="005A2443" w:rsidRDefault="005A2443" w:rsidP="000220C2">
      <w:pPr>
        <w:rPr>
          <w:rFonts w:cs="Arial"/>
          <w:color w:val="000000" w:themeColor="text1"/>
          <w:szCs w:val="24"/>
        </w:rPr>
      </w:pPr>
      <w:r>
        <w:rPr>
          <w:rFonts w:cs="Arial"/>
          <w:color w:val="000000" w:themeColor="text1"/>
          <w:szCs w:val="24"/>
        </w:rPr>
        <w:t>Ms Long explained highlighted that the Housing Executive had been selling its own properties since 1980.  The rules around house sales had changed over time with the discount having increased.  Research was undertaken to see what happened to those homes sold over time. It was the view of the Board of the Housing Executive</w:t>
      </w:r>
      <w:r w:rsidR="00716AEB">
        <w:rPr>
          <w:rFonts w:cs="Arial"/>
          <w:color w:val="000000" w:themeColor="text1"/>
          <w:szCs w:val="24"/>
        </w:rPr>
        <w:t xml:space="preserve"> </w:t>
      </w:r>
      <w:r>
        <w:rPr>
          <w:rFonts w:cs="Arial"/>
          <w:color w:val="000000" w:themeColor="text1"/>
          <w:szCs w:val="24"/>
        </w:rPr>
        <w:t xml:space="preserve">that there was a need to suspend or pause housing sales. With the rules changing, the discount had become so large that the capital receipt received for a property did not cover close to the cost of a new build.  For the first time, this year the Housing Executive were unable to retain the capital receipt </w:t>
      </w:r>
      <w:r w:rsidR="00716AEB">
        <w:rPr>
          <w:rFonts w:cs="Arial"/>
          <w:color w:val="000000" w:themeColor="text1"/>
          <w:szCs w:val="24"/>
        </w:rPr>
        <w:t xml:space="preserve">from the house sale </w:t>
      </w:r>
      <w:r>
        <w:rPr>
          <w:rFonts w:cs="Arial"/>
          <w:color w:val="000000" w:themeColor="text1"/>
          <w:szCs w:val="24"/>
        </w:rPr>
        <w:t xml:space="preserve">and </w:t>
      </w:r>
      <w:r w:rsidR="00716AEB">
        <w:rPr>
          <w:rFonts w:cs="Arial"/>
          <w:color w:val="000000" w:themeColor="text1"/>
          <w:szCs w:val="24"/>
        </w:rPr>
        <w:t xml:space="preserve">that had been </w:t>
      </w:r>
      <w:r>
        <w:rPr>
          <w:rFonts w:cs="Arial"/>
          <w:color w:val="000000" w:themeColor="text1"/>
          <w:szCs w:val="24"/>
        </w:rPr>
        <w:t xml:space="preserve">sent back to the Department to fund other programmes.  </w:t>
      </w:r>
    </w:p>
    <w:p w14:paraId="2B1956B1" w14:textId="77777777" w:rsidR="00285330" w:rsidRDefault="00285330" w:rsidP="000220C2">
      <w:pPr>
        <w:rPr>
          <w:rFonts w:cs="Arial"/>
          <w:color w:val="000000" w:themeColor="text1"/>
          <w:szCs w:val="24"/>
        </w:rPr>
      </w:pPr>
    </w:p>
    <w:p w14:paraId="116F1F80" w14:textId="3A1ADD93" w:rsidR="005A2443" w:rsidRDefault="005A2443" w:rsidP="000220C2">
      <w:pPr>
        <w:rPr>
          <w:rFonts w:cs="Arial"/>
          <w:color w:val="000000" w:themeColor="text1"/>
          <w:szCs w:val="24"/>
        </w:rPr>
      </w:pPr>
      <w:r>
        <w:rPr>
          <w:rFonts w:cs="Arial"/>
          <w:color w:val="000000" w:themeColor="text1"/>
          <w:szCs w:val="24"/>
        </w:rPr>
        <w:lastRenderedPageBreak/>
        <w:t>Councillor Chambers referred to the long waiting list and the difficulties finding accommodation to reflect the needs of each applicant.  He asked if there was a target waiting time, and if so, was that currently being met and was it benchmarked.</w:t>
      </w:r>
    </w:p>
    <w:p w14:paraId="58C52F16" w14:textId="77777777" w:rsidR="005A2443" w:rsidRDefault="005A2443" w:rsidP="000220C2">
      <w:pPr>
        <w:rPr>
          <w:rFonts w:cs="Arial"/>
          <w:color w:val="000000" w:themeColor="text1"/>
          <w:szCs w:val="24"/>
        </w:rPr>
      </w:pPr>
    </w:p>
    <w:p w14:paraId="2EB3A20B" w14:textId="374CB24D" w:rsidR="005A2443" w:rsidRDefault="005A2443" w:rsidP="000220C2">
      <w:pPr>
        <w:rPr>
          <w:rFonts w:cs="Arial"/>
          <w:color w:val="000000" w:themeColor="text1"/>
          <w:szCs w:val="24"/>
        </w:rPr>
      </w:pPr>
      <w:r>
        <w:rPr>
          <w:rFonts w:cs="Arial"/>
          <w:color w:val="000000" w:themeColor="text1"/>
          <w:szCs w:val="24"/>
        </w:rPr>
        <w:t xml:space="preserve">Ms Thompson </w:t>
      </w:r>
      <w:r w:rsidR="00B80300">
        <w:rPr>
          <w:rFonts w:cs="Arial"/>
          <w:color w:val="000000" w:themeColor="text1"/>
          <w:szCs w:val="24"/>
        </w:rPr>
        <w:t>stated that how long an applicant remained on the waiting list was dependent on a number of factors including their specific needs</w:t>
      </w:r>
      <w:r w:rsidR="001068D4">
        <w:rPr>
          <w:rFonts w:cs="Arial"/>
          <w:color w:val="000000" w:themeColor="text1"/>
          <w:szCs w:val="24"/>
        </w:rPr>
        <w:t xml:space="preserve">, </w:t>
      </w:r>
      <w:r w:rsidR="00B80300">
        <w:rPr>
          <w:rFonts w:cs="Arial"/>
          <w:color w:val="000000" w:themeColor="text1"/>
          <w:szCs w:val="24"/>
        </w:rPr>
        <w:t xml:space="preserve">size of the accommodation </w:t>
      </w:r>
      <w:r w:rsidR="001068D4">
        <w:rPr>
          <w:rFonts w:cs="Arial"/>
          <w:color w:val="000000" w:themeColor="text1"/>
          <w:szCs w:val="24"/>
        </w:rPr>
        <w:t xml:space="preserve">required </w:t>
      </w:r>
      <w:r w:rsidR="00B80300">
        <w:rPr>
          <w:rFonts w:cs="Arial"/>
          <w:color w:val="000000" w:themeColor="text1"/>
          <w:szCs w:val="24"/>
        </w:rPr>
        <w:t xml:space="preserve">and its location.  Average figures on the length of time </w:t>
      </w:r>
      <w:r w:rsidR="001068D4">
        <w:rPr>
          <w:rFonts w:cs="Arial"/>
          <w:color w:val="000000" w:themeColor="text1"/>
          <w:szCs w:val="24"/>
        </w:rPr>
        <w:t xml:space="preserve">an </w:t>
      </w:r>
      <w:r w:rsidR="00B80300">
        <w:rPr>
          <w:rFonts w:cs="Arial"/>
          <w:color w:val="000000" w:themeColor="text1"/>
          <w:szCs w:val="24"/>
        </w:rPr>
        <w:t xml:space="preserve">applicant spent on the waiting list broken down by such factors as household type could be shared with Members. There was no target figure, and the Housing Executive worked to house people as soon as it was possible. </w:t>
      </w:r>
    </w:p>
    <w:p w14:paraId="1020B086" w14:textId="77777777" w:rsidR="005A2443" w:rsidRDefault="005A2443" w:rsidP="000220C2">
      <w:pPr>
        <w:rPr>
          <w:rFonts w:cs="Arial"/>
          <w:color w:val="000000" w:themeColor="text1"/>
          <w:szCs w:val="24"/>
        </w:rPr>
      </w:pPr>
    </w:p>
    <w:p w14:paraId="16805AE2" w14:textId="2CDE41A4" w:rsidR="009A7261" w:rsidRDefault="009A7261" w:rsidP="000220C2">
      <w:pPr>
        <w:rPr>
          <w:rFonts w:cs="Arial"/>
          <w:color w:val="000000" w:themeColor="text1"/>
          <w:szCs w:val="24"/>
        </w:rPr>
      </w:pPr>
      <w:r>
        <w:rPr>
          <w:rFonts w:cs="Arial"/>
          <w:color w:val="000000" w:themeColor="text1"/>
          <w:szCs w:val="24"/>
        </w:rPr>
        <w:t xml:space="preserve">Councillor Chambers felt it would be useful to see those figures.  </w:t>
      </w:r>
    </w:p>
    <w:p w14:paraId="78593019" w14:textId="77777777" w:rsidR="009A7261" w:rsidRDefault="009A7261" w:rsidP="000220C2">
      <w:pPr>
        <w:rPr>
          <w:rFonts w:cs="Arial"/>
          <w:color w:val="000000" w:themeColor="text1"/>
          <w:szCs w:val="24"/>
        </w:rPr>
      </w:pPr>
    </w:p>
    <w:p w14:paraId="5593860B" w14:textId="6E8542CB" w:rsidR="004910FE" w:rsidRDefault="004910FE" w:rsidP="000220C2">
      <w:pPr>
        <w:rPr>
          <w:rFonts w:cs="Arial"/>
          <w:color w:val="000000" w:themeColor="text1"/>
          <w:szCs w:val="24"/>
        </w:rPr>
      </w:pPr>
      <w:r>
        <w:rPr>
          <w:rFonts w:cs="Arial"/>
          <w:color w:val="000000" w:themeColor="text1"/>
          <w:szCs w:val="24"/>
        </w:rPr>
        <w:t>The Chair thanked the representatives for their attendance</w:t>
      </w:r>
      <w:r w:rsidR="001673FC">
        <w:rPr>
          <w:rFonts w:cs="Arial"/>
          <w:color w:val="000000" w:themeColor="text1"/>
          <w:szCs w:val="24"/>
        </w:rPr>
        <w:t>,</w:t>
      </w:r>
      <w:r>
        <w:rPr>
          <w:rFonts w:cs="Arial"/>
          <w:color w:val="000000" w:themeColor="text1"/>
          <w:szCs w:val="24"/>
        </w:rPr>
        <w:t xml:space="preserve"> and they withdrew from the meeting. </w:t>
      </w:r>
    </w:p>
    <w:p w14:paraId="58B792EF" w14:textId="77777777" w:rsidR="004910FE" w:rsidRDefault="004910FE" w:rsidP="000220C2">
      <w:pPr>
        <w:rPr>
          <w:rFonts w:cs="Arial"/>
          <w:color w:val="000000" w:themeColor="text1"/>
          <w:szCs w:val="24"/>
        </w:rPr>
      </w:pPr>
    </w:p>
    <w:p w14:paraId="742E282D" w14:textId="5E3AECFC" w:rsidR="00497F02" w:rsidRDefault="00497F02" w:rsidP="000220C2">
      <w:pPr>
        <w:rPr>
          <w:rFonts w:cs="Arial"/>
          <w:b/>
          <w:bCs/>
          <w:color w:val="000000" w:themeColor="text1"/>
          <w:szCs w:val="24"/>
        </w:rPr>
      </w:pPr>
      <w:r w:rsidRPr="00497F02">
        <w:rPr>
          <w:rFonts w:cs="Arial"/>
          <w:b/>
          <w:bCs/>
          <w:color w:val="000000" w:themeColor="text1"/>
          <w:szCs w:val="24"/>
        </w:rPr>
        <w:t xml:space="preserve">NOTED. </w:t>
      </w:r>
    </w:p>
    <w:p w14:paraId="6DC96E56" w14:textId="77777777" w:rsidR="00A60830" w:rsidRPr="00497F02" w:rsidRDefault="00A60830" w:rsidP="000220C2">
      <w:pPr>
        <w:rPr>
          <w:rFonts w:cs="Arial"/>
          <w:b/>
          <w:bCs/>
          <w:color w:val="000000" w:themeColor="text1"/>
          <w:szCs w:val="24"/>
        </w:rPr>
      </w:pPr>
    </w:p>
    <w:p w14:paraId="3B51D000" w14:textId="6317B54B" w:rsidR="001475B8" w:rsidRPr="001475B8" w:rsidRDefault="00093F67" w:rsidP="001475B8">
      <w:pPr>
        <w:pStyle w:val="Heading1"/>
        <w:ind w:left="720" w:hanging="720"/>
        <w:rPr>
          <w:u w:val="single"/>
        </w:rPr>
      </w:pPr>
      <w:r>
        <w:t>4.</w:t>
      </w:r>
      <w:r>
        <w:tab/>
      </w:r>
      <w:r w:rsidR="004E5534" w:rsidRPr="00093F67">
        <w:rPr>
          <w:u w:val="single"/>
        </w:rPr>
        <w:t xml:space="preserve">Deputation - NILGA </w:t>
      </w:r>
      <w:r w:rsidR="001475B8" w:rsidRPr="001475B8">
        <w:rPr>
          <w:bCs/>
          <w:u w:val="single"/>
        </w:rPr>
        <w:t>Leadership Development Programme for Elected Members</w:t>
      </w:r>
    </w:p>
    <w:p w14:paraId="044693A5" w14:textId="044D4D0B" w:rsidR="000220C2" w:rsidRPr="00497F02" w:rsidRDefault="00497F02" w:rsidP="000220C2">
      <w:pPr>
        <w:rPr>
          <w:rFonts w:cs="Arial"/>
          <w:szCs w:val="24"/>
        </w:rPr>
      </w:pPr>
      <w:r>
        <w:tab/>
      </w:r>
      <w:r w:rsidRPr="00497F02">
        <w:rPr>
          <w:rFonts w:cs="Arial"/>
          <w:szCs w:val="24"/>
        </w:rPr>
        <w:t xml:space="preserve">(Appendix </w:t>
      </w:r>
      <w:r w:rsidR="001673FC">
        <w:rPr>
          <w:rFonts w:cs="Arial"/>
          <w:szCs w:val="24"/>
        </w:rPr>
        <w:t>III</w:t>
      </w:r>
      <w:r w:rsidRPr="00497F02">
        <w:rPr>
          <w:rFonts w:cs="Arial"/>
          <w:szCs w:val="24"/>
        </w:rPr>
        <w:t>)</w:t>
      </w:r>
    </w:p>
    <w:p w14:paraId="76913DBB" w14:textId="77777777" w:rsidR="00497F02" w:rsidRPr="00497F02" w:rsidRDefault="00497F02" w:rsidP="000220C2">
      <w:pPr>
        <w:rPr>
          <w:rFonts w:cs="Arial"/>
          <w:szCs w:val="24"/>
        </w:rPr>
      </w:pPr>
    </w:p>
    <w:p w14:paraId="6361083E" w14:textId="4F3DE527" w:rsidR="00497F02" w:rsidRDefault="001673FC" w:rsidP="000220C2">
      <w:pPr>
        <w:rPr>
          <w:rFonts w:cs="Arial"/>
          <w:szCs w:val="24"/>
        </w:rPr>
      </w:pPr>
      <w:r w:rsidRPr="001673FC">
        <w:rPr>
          <w:rFonts w:cs="Arial"/>
          <w:caps/>
          <w:szCs w:val="24"/>
        </w:rPr>
        <w:t>Previously circulated:-</w:t>
      </w:r>
      <w:r>
        <w:rPr>
          <w:rFonts w:cs="Arial"/>
          <w:szCs w:val="24"/>
        </w:rPr>
        <w:t xml:space="preserve"> Copy </w:t>
      </w:r>
      <w:r w:rsidR="00497F02" w:rsidRPr="00497F02">
        <w:rPr>
          <w:rFonts w:cs="Arial"/>
          <w:szCs w:val="24"/>
        </w:rPr>
        <w:t xml:space="preserve">presentation </w:t>
      </w:r>
    </w:p>
    <w:p w14:paraId="14B5A9D1" w14:textId="77777777" w:rsidR="00497F02" w:rsidRPr="00497F02" w:rsidRDefault="00497F02" w:rsidP="000220C2">
      <w:pPr>
        <w:rPr>
          <w:rFonts w:cs="Arial"/>
          <w:szCs w:val="24"/>
        </w:rPr>
      </w:pPr>
    </w:p>
    <w:p w14:paraId="48F04F87" w14:textId="7DD448CC" w:rsidR="001475B8" w:rsidRDefault="001475B8" w:rsidP="001475B8">
      <w:pPr>
        <w:rPr>
          <w:rFonts w:cs="Arial"/>
          <w:color w:val="000000" w:themeColor="text1"/>
          <w:szCs w:val="24"/>
        </w:rPr>
      </w:pPr>
      <w:r w:rsidRPr="00A169C9">
        <w:rPr>
          <w:rFonts w:cs="Arial"/>
          <w:color w:val="000000" w:themeColor="text1"/>
          <w:szCs w:val="24"/>
        </w:rPr>
        <w:t>Fiona Douglas</w:t>
      </w:r>
      <w:r>
        <w:rPr>
          <w:rFonts w:cs="Arial"/>
          <w:color w:val="000000" w:themeColor="text1"/>
          <w:szCs w:val="24"/>
        </w:rPr>
        <w:t xml:space="preserve"> – NILGA </w:t>
      </w:r>
      <w:r w:rsidRPr="00A169C9">
        <w:rPr>
          <w:rFonts w:cs="Arial"/>
          <w:color w:val="000000" w:themeColor="text1"/>
          <w:szCs w:val="24"/>
        </w:rPr>
        <w:t>Regional Development Manager</w:t>
      </w:r>
      <w:r>
        <w:rPr>
          <w:rFonts w:cs="Arial"/>
          <w:color w:val="000000" w:themeColor="text1"/>
          <w:szCs w:val="24"/>
        </w:rPr>
        <w:t xml:space="preserve"> and </w:t>
      </w:r>
      <w:r w:rsidRPr="00A169C9">
        <w:rPr>
          <w:rFonts w:cs="Arial"/>
          <w:color w:val="000000" w:themeColor="text1"/>
          <w:szCs w:val="24"/>
        </w:rPr>
        <w:t>Tony Bovaird</w:t>
      </w:r>
      <w:r>
        <w:rPr>
          <w:rFonts w:cs="Arial"/>
          <w:color w:val="000000" w:themeColor="text1"/>
          <w:szCs w:val="24"/>
        </w:rPr>
        <w:t xml:space="preserve"> –</w:t>
      </w:r>
      <w:r w:rsidRPr="00A169C9">
        <w:rPr>
          <w:rFonts w:cs="Arial"/>
          <w:color w:val="000000" w:themeColor="text1"/>
          <w:szCs w:val="24"/>
        </w:rPr>
        <w:t xml:space="preserve"> </w:t>
      </w:r>
      <w:r>
        <w:rPr>
          <w:rFonts w:cs="Arial"/>
          <w:color w:val="000000" w:themeColor="text1"/>
          <w:szCs w:val="24"/>
        </w:rPr>
        <w:t xml:space="preserve">Director, Governance International were admitted to the meeting from the virtual public gallery.  </w:t>
      </w:r>
    </w:p>
    <w:p w14:paraId="2B14C75A" w14:textId="77777777" w:rsidR="001475B8" w:rsidRDefault="001475B8" w:rsidP="001475B8">
      <w:pPr>
        <w:rPr>
          <w:rFonts w:cs="Arial"/>
          <w:color w:val="000000" w:themeColor="text1"/>
          <w:szCs w:val="24"/>
        </w:rPr>
      </w:pPr>
    </w:p>
    <w:p w14:paraId="7AFD6CA0" w14:textId="127DBD30" w:rsidR="001475B8" w:rsidRDefault="001475B8" w:rsidP="001475B8">
      <w:pPr>
        <w:rPr>
          <w:rFonts w:cs="Arial"/>
          <w:color w:val="000000" w:themeColor="text1"/>
          <w:szCs w:val="24"/>
        </w:rPr>
      </w:pPr>
      <w:r>
        <w:rPr>
          <w:rFonts w:cs="Arial"/>
          <w:color w:val="000000" w:themeColor="text1"/>
          <w:szCs w:val="24"/>
        </w:rPr>
        <w:t>The Chair welcome</w:t>
      </w:r>
      <w:r w:rsidR="001C69E9">
        <w:rPr>
          <w:rFonts w:cs="Arial"/>
          <w:color w:val="000000" w:themeColor="text1"/>
          <w:szCs w:val="24"/>
        </w:rPr>
        <w:t>d</w:t>
      </w:r>
      <w:r>
        <w:rPr>
          <w:rFonts w:cs="Arial"/>
          <w:color w:val="000000" w:themeColor="text1"/>
          <w:szCs w:val="24"/>
        </w:rPr>
        <w:t xml:space="preserve"> Ms Douglas and Mr Bovaird and invited them to commence their presentation.  </w:t>
      </w:r>
    </w:p>
    <w:p w14:paraId="1FB6B8CD" w14:textId="77777777" w:rsidR="00497F02" w:rsidRDefault="00497F02" w:rsidP="00497F02">
      <w:pPr>
        <w:rPr>
          <w:rFonts w:cs="Arial"/>
          <w:color w:val="000000" w:themeColor="text1"/>
          <w:szCs w:val="24"/>
        </w:rPr>
      </w:pPr>
    </w:p>
    <w:p w14:paraId="00AEACE0" w14:textId="02A75FC8" w:rsidR="00497F02" w:rsidRDefault="001475B8" w:rsidP="00497F02">
      <w:pPr>
        <w:rPr>
          <w:rFonts w:cs="Arial"/>
          <w:color w:val="000000" w:themeColor="text1"/>
          <w:szCs w:val="24"/>
        </w:rPr>
      </w:pPr>
      <w:r>
        <w:rPr>
          <w:rFonts w:cs="Arial"/>
          <w:color w:val="000000" w:themeColor="text1"/>
          <w:szCs w:val="24"/>
        </w:rPr>
        <w:t xml:space="preserve">Ms Douglas </w:t>
      </w:r>
      <w:r w:rsidR="001C69E9">
        <w:rPr>
          <w:rFonts w:cs="Arial"/>
          <w:color w:val="000000" w:themeColor="text1"/>
          <w:szCs w:val="24"/>
        </w:rPr>
        <w:t>outlined the detail of NILGA as a representative body for Local Government. To provide context she</w:t>
      </w:r>
      <w:r w:rsidR="00A302BE">
        <w:rPr>
          <w:rFonts w:cs="Arial"/>
          <w:color w:val="000000" w:themeColor="text1"/>
          <w:szCs w:val="24"/>
        </w:rPr>
        <w:t xml:space="preserve"> explained that when she took up her role in 2016 it was apparent that Councillor development was happening on a reactive basis with no real understanding of the knowledge and skills that were needed for Councillors be effective in a what was a very unique role.  Elected representatives were in a strong position to really make a difference to their local areas by improving social, economic, environmental and democratic wellbeing of their communities. It was a demanding role in an ever</w:t>
      </w:r>
      <w:r w:rsidR="00BF1539">
        <w:rPr>
          <w:rFonts w:cs="Arial"/>
          <w:color w:val="000000" w:themeColor="text1"/>
          <w:szCs w:val="24"/>
        </w:rPr>
        <w:t xml:space="preserve"> </w:t>
      </w:r>
      <w:r w:rsidR="00A302BE">
        <w:rPr>
          <w:rFonts w:cs="Arial"/>
          <w:color w:val="000000" w:themeColor="text1"/>
          <w:szCs w:val="24"/>
        </w:rPr>
        <w:t>cha</w:t>
      </w:r>
      <w:r w:rsidR="00BF1539">
        <w:rPr>
          <w:rFonts w:cs="Arial"/>
          <w:color w:val="000000" w:themeColor="text1"/>
          <w:szCs w:val="24"/>
        </w:rPr>
        <w:t>llenging</w:t>
      </w:r>
      <w:r w:rsidR="00A302BE">
        <w:rPr>
          <w:rFonts w:cs="Arial"/>
          <w:color w:val="000000" w:themeColor="text1"/>
          <w:szCs w:val="24"/>
        </w:rPr>
        <w:t xml:space="preserve"> and complex </w:t>
      </w:r>
      <w:r w:rsidR="00BF1539">
        <w:rPr>
          <w:rFonts w:cs="Arial"/>
          <w:color w:val="000000" w:themeColor="text1"/>
          <w:szCs w:val="24"/>
        </w:rPr>
        <w:t>context</w:t>
      </w:r>
      <w:r w:rsidR="00463E75">
        <w:rPr>
          <w:rFonts w:cs="Arial"/>
          <w:color w:val="000000" w:themeColor="text1"/>
          <w:szCs w:val="24"/>
        </w:rPr>
        <w:t>,</w:t>
      </w:r>
      <w:r w:rsidR="00BF1539">
        <w:rPr>
          <w:rFonts w:cs="Arial"/>
          <w:color w:val="000000" w:themeColor="text1"/>
          <w:szCs w:val="24"/>
        </w:rPr>
        <w:t xml:space="preserve"> and it was clear to NILGA that there was support needed </w:t>
      </w:r>
      <w:r w:rsidR="00094918">
        <w:rPr>
          <w:rFonts w:cs="Arial"/>
          <w:color w:val="000000" w:themeColor="text1"/>
          <w:szCs w:val="24"/>
        </w:rPr>
        <w:t xml:space="preserve">to </w:t>
      </w:r>
      <w:r w:rsidR="00BF1539">
        <w:rPr>
          <w:rFonts w:cs="Arial"/>
          <w:color w:val="000000" w:themeColor="text1"/>
          <w:szCs w:val="24"/>
        </w:rPr>
        <w:t xml:space="preserve">upskill and equip elected members. A tailored programme was needed to support members and Ms Douglas </w:t>
      </w:r>
      <w:r w:rsidR="001C69E9">
        <w:rPr>
          <w:rFonts w:cs="Arial"/>
          <w:color w:val="000000" w:themeColor="text1"/>
          <w:szCs w:val="24"/>
        </w:rPr>
        <w:t xml:space="preserve">outlined the objectives of the leadership programme.  </w:t>
      </w:r>
    </w:p>
    <w:p w14:paraId="392947B7" w14:textId="77777777" w:rsidR="001475B8" w:rsidRDefault="001475B8" w:rsidP="00497F02">
      <w:pPr>
        <w:rPr>
          <w:rFonts w:cs="Arial"/>
          <w:color w:val="000000" w:themeColor="text1"/>
          <w:szCs w:val="24"/>
        </w:rPr>
      </w:pPr>
    </w:p>
    <w:p w14:paraId="603EECBD" w14:textId="08646338" w:rsidR="001475B8" w:rsidRDefault="00BF1539" w:rsidP="00497F02">
      <w:pPr>
        <w:rPr>
          <w:rFonts w:cs="Arial"/>
          <w:color w:val="000000" w:themeColor="text1"/>
          <w:szCs w:val="24"/>
        </w:rPr>
      </w:pPr>
      <w:r>
        <w:rPr>
          <w:rFonts w:cs="Arial"/>
          <w:color w:val="000000" w:themeColor="text1"/>
          <w:szCs w:val="24"/>
        </w:rPr>
        <w:t>Mr Bovaird provided an overview of the structure and content of the programme including the modules that would be covered</w:t>
      </w:r>
      <w:r w:rsidR="00EB0972">
        <w:rPr>
          <w:rFonts w:cs="Arial"/>
          <w:color w:val="000000" w:themeColor="text1"/>
          <w:szCs w:val="24"/>
        </w:rPr>
        <w:t xml:space="preserve"> relating to the political skills framework and time required to complete the programme.</w:t>
      </w:r>
      <w:r>
        <w:rPr>
          <w:rFonts w:cs="Arial"/>
          <w:color w:val="000000" w:themeColor="text1"/>
          <w:szCs w:val="24"/>
        </w:rPr>
        <w:t xml:space="preserve"> </w:t>
      </w:r>
      <w:r w:rsidR="00EB0972">
        <w:rPr>
          <w:rFonts w:cs="Arial"/>
          <w:color w:val="000000" w:themeColor="text1"/>
          <w:szCs w:val="24"/>
        </w:rPr>
        <w:t xml:space="preserve">He further outlined the key roles of a Councillor and the challenges that presented.  Completing the programme would result in a CPD accreditation.  </w:t>
      </w:r>
    </w:p>
    <w:p w14:paraId="32904206" w14:textId="77777777" w:rsidR="001475B8" w:rsidRDefault="001475B8" w:rsidP="00497F02">
      <w:pPr>
        <w:rPr>
          <w:rFonts w:cs="Arial"/>
          <w:color w:val="000000" w:themeColor="text1"/>
          <w:szCs w:val="24"/>
        </w:rPr>
      </w:pPr>
    </w:p>
    <w:p w14:paraId="026B149E" w14:textId="039234B9" w:rsidR="008A68F9" w:rsidRDefault="008A68F9" w:rsidP="00497F02">
      <w:pPr>
        <w:rPr>
          <w:rFonts w:cs="Arial"/>
          <w:color w:val="000000" w:themeColor="text1"/>
          <w:szCs w:val="24"/>
        </w:rPr>
      </w:pPr>
      <w:r>
        <w:rPr>
          <w:rFonts w:cs="Arial"/>
          <w:color w:val="000000" w:themeColor="text1"/>
          <w:szCs w:val="24"/>
        </w:rPr>
        <w:lastRenderedPageBreak/>
        <w:t xml:space="preserve">The Chair thanked Ms Douglas and Mr Bovaird for their presentation and invited questions from Members. </w:t>
      </w:r>
    </w:p>
    <w:p w14:paraId="3D4279A3" w14:textId="77777777" w:rsidR="008A68F9" w:rsidRDefault="008A68F9" w:rsidP="00497F02">
      <w:pPr>
        <w:rPr>
          <w:rFonts w:cs="Arial"/>
          <w:color w:val="000000" w:themeColor="text1"/>
          <w:szCs w:val="24"/>
        </w:rPr>
      </w:pPr>
    </w:p>
    <w:p w14:paraId="7225A837" w14:textId="27AEA102" w:rsidR="008A68F9" w:rsidRDefault="00EB0972" w:rsidP="00497F02">
      <w:pPr>
        <w:rPr>
          <w:rFonts w:cs="Arial"/>
          <w:color w:val="000000" w:themeColor="text1"/>
          <w:szCs w:val="24"/>
        </w:rPr>
      </w:pPr>
      <w:r>
        <w:rPr>
          <w:rFonts w:cs="Arial"/>
          <w:color w:val="000000" w:themeColor="text1"/>
          <w:szCs w:val="24"/>
        </w:rPr>
        <w:t xml:space="preserve">Alderman McRandal asked if the programme would commence in January 2025 and </w:t>
      </w:r>
      <w:r w:rsidR="00094918">
        <w:rPr>
          <w:rFonts w:cs="Arial"/>
          <w:color w:val="000000" w:themeColor="text1"/>
          <w:szCs w:val="24"/>
        </w:rPr>
        <w:t xml:space="preserve">the </w:t>
      </w:r>
      <w:r>
        <w:rPr>
          <w:rFonts w:cs="Arial"/>
          <w:color w:val="000000" w:themeColor="text1"/>
          <w:szCs w:val="24"/>
        </w:rPr>
        <w:t xml:space="preserve">number of participants required for the programme.  Ms Douglas confirmed that the programme would commence in January 2025, expressions of interest </w:t>
      </w:r>
      <w:r w:rsidR="00E35603">
        <w:rPr>
          <w:rFonts w:cs="Arial"/>
          <w:color w:val="000000" w:themeColor="text1"/>
          <w:szCs w:val="24"/>
        </w:rPr>
        <w:t xml:space="preserve">would be invited from each of the Councils and the maximum number of participants would be 30.  </w:t>
      </w:r>
    </w:p>
    <w:p w14:paraId="57B72BA1" w14:textId="77777777" w:rsidR="00EB0972" w:rsidRDefault="00EB0972" w:rsidP="00497F02">
      <w:pPr>
        <w:rPr>
          <w:rFonts w:cs="Arial"/>
          <w:color w:val="000000" w:themeColor="text1"/>
          <w:szCs w:val="24"/>
        </w:rPr>
      </w:pPr>
    </w:p>
    <w:p w14:paraId="7A48F4FA" w14:textId="6C29A39F" w:rsidR="004417F8" w:rsidRPr="004417F8" w:rsidRDefault="00EB0972" w:rsidP="00497F02">
      <w:r>
        <w:rPr>
          <w:rFonts w:cs="Arial"/>
          <w:color w:val="000000" w:themeColor="text1"/>
          <w:szCs w:val="24"/>
        </w:rPr>
        <w:t>As there were no further questions, t</w:t>
      </w:r>
      <w:r w:rsidR="004417F8">
        <w:rPr>
          <w:rFonts w:cs="Arial"/>
          <w:color w:val="000000" w:themeColor="text1"/>
          <w:szCs w:val="24"/>
        </w:rPr>
        <w:t xml:space="preserve">he Chair thanked Ms Douglas and Mr Bovaird for their </w:t>
      </w:r>
      <w:r w:rsidR="008A68F9">
        <w:rPr>
          <w:rFonts w:cs="Arial"/>
          <w:color w:val="000000" w:themeColor="text1"/>
          <w:szCs w:val="24"/>
        </w:rPr>
        <w:t>attendance</w:t>
      </w:r>
      <w:r w:rsidR="005653E8">
        <w:rPr>
          <w:rFonts w:cs="Arial"/>
          <w:color w:val="000000" w:themeColor="text1"/>
          <w:szCs w:val="24"/>
        </w:rPr>
        <w:t>,</w:t>
      </w:r>
      <w:r w:rsidR="008A68F9">
        <w:rPr>
          <w:rFonts w:cs="Arial"/>
          <w:color w:val="000000" w:themeColor="text1"/>
          <w:szCs w:val="24"/>
        </w:rPr>
        <w:t xml:space="preserve"> </w:t>
      </w:r>
      <w:r w:rsidR="004417F8">
        <w:rPr>
          <w:rFonts w:cs="Arial"/>
          <w:color w:val="000000" w:themeColor="text1"/>
          <w:szCs w:val="24"/>
        </w:rPr>
        <w:t xml:space="preserve">and they withdrew from the meeting. </w:t>
      </w:r>
    </w:p>
    <w:p w14:paraId="63537F8D" w14:textId="77777777" w:rsidR="004417F8" w:rsidRDefault="004417F8" w:rsidP="00497F02">
      <w:pPr>
        <w:rPr>
          <w:rFonts w:cs="Arial"/>
          <w:color w:val="000000" w:themeColor="text1"/>
          <w:szCs w:val="24"/>
        </w:rPr>
      </w:pPr>
    </w:p>
    <w:p w14:paraId="2ADC20E1" w14:textId="69A58F13" w:rsidR="00497F02" w:rsidRDefault="00497F02" w:rsidP="00497F02">
      <w:pPr>
        <w:rPr>
          <w:rFonts w:cs="Arial"/>
          <w:b/>
          <w:bCs/>
          <w:color w:val="000000" w:themeColor="text1"/>
          <w:szCs w:val="24"/>
        </w:rPr>
      </w:pPr>
      <w:r w:rsidRPr="00497F02">
        <w:rPr>
          <w:rFonts w:cs="Arial"/>
          <w:b/>
          <w:bCs/>
          <w:color w:val="000000" w:themeColor="text1"/>
          <w:szCs w:val="24"/>
        </w:rPr>
        <w:t xml:space="preserve">NOTED. </w:t>
      </w:r>
    </w:p>
    <w:p w14:paraId="63027469" w14:textId="77777777" w:rsidR="00BC503E" w:rsidRPr="00497F02" w:rsidRDefault="00BC503E" w:rsidP="00497F02">
      <w:pPr>
        <w:rPr>
          <w:rFonts w:cs="Arial"/>
          <w:b/>
          <w:bCs/>
          <w:color w:val="000000" w:themeColor="text1"/>
          <w:szCs w:val="24"/>
        </w:rPr>
      </w:pPr>
    </w:p>
    <w:p w14:paraId="4F855060" w14:textId="25E60201" w:rsidR="00093F67" w:rsidRPr="00093F67" w:rsidRDefault="00093F67" w:rsidP="00B708E5">
      <w:pPr>
        <w:pStyle w:val="Heading1"/>
        <w:ind w:left="720" w:hanging="720"/>
        <w:rPr>
          <w:rFonts w:eastAsia="Calibri"/>
          <w:u w:val="single"/>
        </w:rPr>
      </w:pPr>
      <w:r w:rsidRPr="00093F67">
        <w:rPr>
          <w:rFonts w:eastAsia="Calibri"/>
        </w:rPr>
        <w:t>5.</w:t>
      </w:r>
      <w:r w:rsidRPr="00093F67">
        <w:rPr>
          <w:rFonts w:eastAsia="Calibri"/>
        </w:rPr>
        <w:tab/>
      </w:r>
      <w:r w:rsidR="004E5534" w:rsidRPr="00B708E5">
        <w:rPr>
          <w:rFonts w:eastAsia="Calibri"/>
          <w:u w:val="single"/>
        </w:rPr>
        <w:t xml:space="preserve">Advertising and Sponsorship Policy </w:t>
      </w:r>
      <w:r w:rsidR="00B708E5" w:rsidRPr="00B708E5">
        <w:rPr>
          <w:rFonts w:eastAsia="Calibri"/>
          <w:u w:val="single"/>
        </w:rPr>
        <w:t xml:space="preserve">(FILE </w:t>
      </w:r>
      <w:r w:rsidR="00B708E5" w:rsidRPr="00B708E5">
        <w:rPr>
          <w:noProof/>
          <w:u w:val="single"/>
        </w:rPr>
        <w:t>C&amp;M/24/SAP24)</w:t>
      </w:r>
    </w:p>
    <w:p w14:paraId="0C0F8A61" w14:textId="14CE1363" w:rsidR="00093F67" w:rsidRDefault="002F1D8D" w:rsidP="00497F02">
      <w:pPr>
        <w:rPr>
          <w:rFonts w:cs="Arial"/>
          <w:szCs w:val="24"/>
        </w:rPr>
      </w:pPr>
      <w:r>
        <w:rPr>
          <w:rFonts w:cs="Arial"/>
          <w:szCs w:val="24"/>
        </w:rPr>
        <w:tab/>
        <w:t>(Appendices IV, V)</w:t>
      </w:r>
    </w:p>
    <w:p w14:paraId="068AD922" w14:textId="77777777" w:rsidR="002F1D8D" w:rsidRPr="002A4067" w:rsidRDefault="002F1D8D" w:rsidP="00497F02">
      <w:pPr>
        <w:rPr>
          <w:rFonts w:cs="Arial"/>
          <w:b/>
          <w:bCs/>
          <w:szCs w:val="24"/>
        </w:rPr>
      </w:pPr>
    </w:p>
    <w:p w14:paraId="1948A39C" w14:textId="50C1E952" w:rsidR="002A4067" w:rsidRPr="002A4067" w:rsidRDefault="002A4067" w:rsidP="00497F02">
      <w:pPr>
        <w:rPr>
          <w:rFonts w:ascii="Arial Bold" w:hAnsi="Arial Bold" w:cs="Arial"/>
          <w:b/>
          <w:bCs/>
          <w:caps/>
          <w:szCs w:val="24"/>
        </w:rPr>
      </w:pPr>
      <w:r w:rsidRPr="002A4067">
        <w:rPr>
          <w:rFonts w:ascii="Arial Bold" w:hAnsi="Arial Bold" w:cs="Arial"/>
          <w:b/>
          <w:bCs/>
          <w:caps/>
          <w:szCs w:val="24"/>
        </w:rPr>
        <w:t xml:space="preserve">Please see report </w:t>
      </w:r>
      <w:r>
        <w:rPr>
          <w:rFonts w:ascii="Arial Bold" w:hAnsi="Arial Bold" w:cs="Arial"/>
          <w:b/>
          <w:bCs/>
          <w:caps/>
          <w:szCs w:val="24"/>
        </w:rPr>
        <w:t>presented at Council meeting</w:t>
      </w:r>
    </w:p>
    <w:p w14:paraId="525E61E0" w14:textId="77777777" w:rsidR="002A4067" w:rsidRPr="00497F02" w:rsidRDefault="002A4067" w:rsidP="00497F02">
      <w:pPr>
        <w:rPr>
          <w:rFonts w:cs="Arial"/>
          <w:szCs w:val="24"/>
        </w:rPr>
      </w:pPr>
    </w:p>
    <w:p w14:paraId="119F7A5F" w14:textId="54ADE70C" w:rsidR="000220C2" w:rsidRPr="00497F02" w:rsidRDefault="00093F67" w:rsidP="00497F02">
      <w:pPr>
        <w:rPr>
          <w:rFonts w:cs="Arial"/>
          <w:szCs w:val="24"/>
          <w:lang w:eastAsia="en-GB"/>
        </w:rPr>
      </w:pPr>
      <w:r w:rsidRPr="00497F02">
        <w:rPr>
          <w:rFonts w:cs="Arial"/>
          <w:caps/>
          <w:szCs w:val="24"/>
        </w:rPr>
        <w:t>Previously circulated:-</w:t>
      </w:r>
      <w:r w:rsidRPr="00497F02">
        <w:rPr>
          <w:rFonts w:cs="Arial"/>
          <w:szCs w:val="24"/>
        </w:rPr>
        <w:t xml:space="preserve"> Report from the Director of Corporate Services </w:t>
      </w:r>
      <w:r w:rsidR="000220C2" w:rsidRPr="00497F02">
        <w:rPr>
          <w:rFonts w:cs="Arial"/>
          <w:szCs w:val="24"/>
        </w:rPr>
        <w:t xml:space="preserve">attaching </w:t>
      </w:r>
      <w:r w:rsidR="000220C2" w:rsidRPr="00497F02">
        <w:rPr>
          <w:rFonts w:cs="Arial"/>
          <w:noProof/>
          <w:szCs w:val="24"/>
        </w:rPr>
        <w:t xml:space="preserve">Advertising and Sponsorship Policy and Pilot scheme table. The report detailed </w:t>
      </w:r>
      <w:r w:rsidR="000220C2" w:rsidRPr="00497F02">
        <w:rPr>
          <w:rFonts w:cs="Arial"/>
          <w:szCs w:val="24"/>
          <w:lang w:eastAsia="en-GB"/>
        </w:rPr>
        <w:t xml:space="preserve">as part of budgeting processes, advertising and sponsorship was highlighted as an opportunity Council should explore as a means of income generation.  </w:t>
      </w:r>
    </w:p>
    <w:p w14:paraId="513ADA55" w14:textId="77777777" w:rsidR="000220C2" w:rsidRPr="00497F02" w:rsidRDefault="000220C2" w:rsidP="00497F02">
      <w:pPr>
        <w:rPr>
          <w:rFonts w:cs="Arial"/>
          <w:color w:val="212529"/>
          <w:szCs w:val="24"/>
          <w:lang w:eastAsia="en-GB"/>
        </w:rPr>
      </w:pPr>
    </w:p>
    <w:p w14:paraId="2E265C4A" w14:textId="4C16071C" w:rsidR="000220C2" w:rsidRPr="00497F02" w:rsidRDefault="000220C2" w:rsidP="00497F02">
      <w:pPr>
        <w:rPr>
          <w:rFonts w:cs="Arial"/>
          <w:color w:val="212529"/>
          <w:szCs w:val="24"/>
          <w:lang w:eastAsia="en-GB"/>
        </w:rPr>
      </w:pPr>
      <w:r w:rsidRPr="00497F02">
        <w:rPr>
          <w:rFonts w:cs="Arial"/>
          <w:color w:val="212529"/>
          <w:szCs w:val="24"/>
          <w:lang w:eastAsia="en-GB"/>
        </w:rPr>
        <w:t xml:space="preserve">While some sponsorship agreements already existed across the Council, there was little consistency as to how they were secured or managed.  A number were based on long-standing relationships and were not necessarily delivering the value that they could, and some were one-off agreements that had the potential to be widened and extended. </w:t>
      </w:r>
    </w:p>
    <w:p w14:paraId="1E27404E" w14:textId="77777777" w:rsidR="000220C2" w:rsidRPr="00497F02" w:rsidRDefault="000220C2" w:rsidP="00497F02">
      <w:pPr>
        <w:rPr>
          <w:rFonts w:cs="Arial"/>
          <w:color w:val="212529"/>
          <w:szCs w:val="24"/>
          <w:lang w:eastAsia="en-GB"/>
        </w:rPr>
      </w:pPr>
    </w:p>
    <w:p w14:paraId="10AF4B31" w14:textId="4CABE66A" w:rsidR="000220C2" w:rsidRPr="00497F02" w:rsidRDefault="000220C2" w:rsidP="00497F02">
      <w:pPr>
        <w:rPr>
          <w:rFonts w:cs="Arial"/>
          <w:color w:val="212529"/>
          <w:szCs w:val="24"/>
          <w:lang w:eastAsia="en-GB"/>
        </w:rPr>
      </w:pPr>
      <w:r w:rsidRPr="00497F02">
        <w:rPr>
          <w:rFonts w:cs="Arial"/>
          <w:color w:val="212529"/>
          <w:szCs w:val="24"/>
          <w:lang w:eastAsia="en-GB"/>
        </w:rPr>
        <w:t xml:space="preserve">To facilitate a more proactive and structured approach to advertising and sponsorship across the Council, </w:t>
      </w:r>
      <w:r w:rsidR="00B708E5" w:rsidRPr="00497F02">
        <w:rPr>
          <w:rFonts w:cs="Arial"/>
          <w:color w:val="212529"/>
          <w:szCs w:val="24"/>
          <w:lang w:eastAsia="en-GB"/>
        </w:rPr>
        <w:t>an</w:t>
      </w:r>
      <w:r w:rsidRPr="00497F02">
        <w:rPr>
          <w:rFonts w:cs="Arial"/>
          <w:color w:val="212529"/>
          <w:szCs w:val="24"/>
          <w:lang w:eastAsia="en-GB"/>
        </w:rPr>
        <w:t xml:space="preserve"> Advertising and Sponsorship Policy ha</w:t>
      </w:r>
      <w:r w:rsidR="00B708E5" w:rsidRPr="00497F02">
        <w:rPr>
          <w:rFonts w:cs="Arial"/>
          <w:color w:val="212529"/>
          <w:szCs w:val="24"/>
          <w:lang w:eastAsia="en-GB"/>
        </w:rPr>
        <w:t>d</w:t>
      </w:r>
      <w:r w:rsidRPr="00497F02">
        <w:rPr>
          <w:rFonts w:cs="Arial"/>
          <w:color w:val="212529"/>
          <w:szCs w:val="24"/>
          <w:lang w:eastAsia="en-GB"/>
        </w:rPr>
        <w:t xml:space="preserve"> now been developed.  Extensive consultation with a wide range of service units who </w:t>
      </w:r>
      <w:r w:rsidR="00B708E5" w:rsidRPr="00497F02">
        <w:rPr>
          <w:rFonts w:cs="Arial"/>
          <w:color w:val="212529"/>
          <w:szCs w:val="24"/>
          <w:lang w:eastAsia="en-GB"/>
        </w:rPr>
        <w:t>were</w:t>
      </w:r>
      <w:r w:rsidRPr="00497F02">
        <w:rPr>
          <w:rFonts w:cs="Arial"/>
          <w:color w:val="212529"/>
          <w:szCs w:val="24"/>
          <w:lang w:eastAsia="en-GB"/>
        </w:rPr>
        <w:t xml:space="preserve"> currently involved in sponsorship activity, ha</w:t>
      </w:r>
      <w:r w:rsidR="00B708E5" w:rsidRPr="00497F02">
        <w:rPr>
          <w:rFonts w:cs="Arial"/>
          <w:color w:val="212529"/>
          <w:szCs w:val="24"/>
          <w:lang w:eastAsia="en-GB"/>
        </w:rPr>
        <w:t>d</w:t>
      </w:r>
      <w:r w:rsidRPr="00497F02">
        <w:rPr>
          <w:rFonts w:cs="Arial"/>
          <w:color w:val="212529"/>
          <w:szCs w:val="24"/>
          <w:lang w:eastAsia="en-GB"/>
        </w:rPr>
        <w:t xml:space="preserve"> aspirations to engage in advertising or sponsorship activity or need to support/regulate such activity was undertaken.  Advice was also taken from other local authorities who ha</w:t>
      </w:r>
      <w:r w:rsidR="00B708E5" w:rsidRPr="00497F02">
        <w:rPr>
          <w:rFonts w:cs="Arial"/>
          <w:color w:val="212529"/>
          <w:szCs w:val="24"/>
          <w:lang w:eastAsia="en-GB"/>
        </w:rPr>
        <w:t>d</w:t>
      </w:r>
      <w:r w:rsidRPr="00497F02">
        <w:rPr>
          <w:rFonts w:cs="Arial"/>
          <w:color w:val="212529"/>
          <w:szCs w:val="24"/>
          <w:lang w:eastAsia="en-GB"/>
        </w:rPr>
        <w:t xml:space="preserve"> a strong track record of securing advertising and sponsorship revenue.  </w:t>
      </w:r>
    </w:p>
    <w:p w14:paraId="325A75CE" w14:textId="77777777" w:rsidR="000220C2" w:rsidRPr="00497F02" w:rsidRDefault="000220C2" w:rsidP="00497F02">
      <w:pPr>
        <w:rPr>
          <w:rFonts w:cs="Arial"/>
          <w:color w:val="212529"/>
          <w:szCs w:val="24"/>
          <w:lang w:eastAsia="en-GB"/>
        </w:rPr>
      </w:pPr>
    </w:p>
    <w:p w14:paraId="2FE45524" w14:textId="4E3D80FD" w:rsidR="000220C2" w:rsidRPr="00497F02" w:rsidRDefault="000220C2" w:rsidP="00497F02">
      <w:pPr>
        <w:rPr>
          <w:rFonts w:cs="Arial"/>
          <w:color w:val="212529"/>
          <w:szCs w:val="24"/>
          <w:lang w:eastAsia="en-GB"/>
        </w:rPr>
      </w:pPr>
      <w:r w:rsidRPr="00497F02">
        <w:rPr>
          <w:rFonts w:cs="Arial"/>
          <w:color w:val="212529"/>
          <w:szCs w:val="24"/>
          <w:lang w:eastAsia="en-GB"/>
        </w:rPr>
        <w:t>The Policy set</w:t>
      </w:r>
      <w:r w:rsidR="00B708E5" w:rsidRPr="00497F02">
        <w:rPr>
          <w:rFonts w:cs="Arial"/>
          <w:color w:val="212529"/>
          <w:szCs w:val="24"/>
          <w:lang w:eastAsia="en-GB"/>
        </w:rPr>
        <w:t xml:space="preserve"> </w:t>
      </w:r>
      <w:r w:rsidRPr="00497F02">
        <w:rPr>
          <w:rFonts w:cs="Arial"/>
          <w:color w:val="212529"/>
          <w:szCs w:val="24"/>
          <w:lang w:eastAsia="en-GB"/>
        </w:rPr>
        <w:t>out the terms upon which advertising and sponsorship may be sought and accepted by</w:t>
      </w:r>
      <w:r w:rsidRPr="00497F02">
        <w:rPr>
          <w:rFonts w:cs="Arial"/>
          <w:szCs w:val="24"/>
          <w:lang w:eastAsia="en-GB"/>
        </w:rPr>
        <w:t xml:space="preserve"> the Council.  It outline</w:t>
      </w:r>
      <w:r w:rsidR="00B708E5" w:rsidRPr="00497F02">
        <w:rPr>
          <w:rFonts w:cs="Arial"/>
          <w:szCs w:val="24"/>
          <w:lang w:eastAsia="en-GB"/>
        </w:rPr>
        <w:t>d</w:t>
      </w:r>
      <w:r w:rsidRPr="00497F02">
        <w:rPr>
          <w:rFonts w:cs="Arial"/>
          <w:szCs w:val="24"/>
          <w:lang w:eastAsia="en-GB"/>
        </w:rPr>
        <w:t xml:space="preserve"> </w:t>
      </w:r>
      <w:r w:rsidR="00B708E5" w:rsidRPr="00497F02">
        <w:rPr>
          <w:rFonts w:cs="Arial"/>
          <w:szCs w:val="24"/>
          <w:lang w:eastAsia="en-GB"/>
        </w:rPr>
        <w:t>the Council’s</w:t>
      </w:r>
      <w:r w:rsidRPr="00497F02">
        <w:rPr>
          <w:rFonts w:cs="Arial"/>
          <w:szCs w:val="24"/>
          <w:lang w:eastAsia="en-GB"/>
        </w:rPr>
        <w:t xml:space="preserve"> commitment to </w:t>
      </w:r>
      <w:r w:rsidRPr="00497F02">
        <w:rPr>
          <w:rFonts w:cs="Arial"/>
          <w:color w:val="212529"/>
          <w:szCs w:val="24"/>
          <w:lang w:eastAsia="en-GB"/>
        </w:rPr>
        <w:t xml:space="preserve">developing advertising and sponsorship opportunities that </w:t>
      </w:r>
      <w:r w:rsidR="00B708E5" w:rsidRPr="00497F02">
        <w:rPr>
          <w:rFonts w:cs="Arial"/>
          <w:color w:val="212529"/>
          <w:szCs w:val="24"/>
          <w:lang w:eastAsia="en-GB"/>
        </w:rPr>
        <w:t>would</w:t>
      </w:r>
      <w:r w:rsidRPr="00497F02">
        <w:rPr>
          <w:rFonts w:cs="Arial"/>
          <w:color w:val="212529"/>
          <w:szCs w:val="24"/>
          <w:lang w:eastAsia="en-GB"/>
        </w:rPr>
        <w:t xml:space="preserve"> support activities either directly or indirectly and compliment the delivery of</w:t>
      </w:r>
      <w:r w:rsidR="00B708E5" w:rsidRPr="00497F02">
        <w:rPr>
          <w:rFonts w:cs="Arial"/>
          <w:color w:val="212529"/>
          <w:szCs w:val="24"/>
          <w:lang w:eastAsia="en-GB"/>
        </w:rPr>
        <w:t xml:space="preserve"> </w:t>
      </w:r>
      <w:r w:rsidRPr="00497F02">
        <w:rPr>
          <w:rFonts w:cs="Arial"/>
          <w:color w:val="212529"/>
          <w:szCs w:val="24"/>
          <w:lang w:eastAsia="en-GB"/>
        </w:rPr>
        <w:t>strategic priorities as laid out in the Corporate Plan.</w:t>
      </w:r>
    </w:p>
    <w:p w14:paraId="0DFB381B" w14:textId="77777777" w:rsidR="00B708E5" w:rsidRPr="00497F02" w:rsidRDefault="00B708E5" w:rsidP="00497F02">
      <w:pPr>
        <w:rPr>
          <w:rFonts w:cs="Arial"/>
          <w:szCs w:val="24"/>
          <w:lang w:eastAsia="en-GB"/>
        </w:rPr>
      </w:pPr>
    </w:p>
    <w:p w14:paraId="65A324B6" w14:textId="31082106" w:rsidR="000220C2" w:rsidRPr="00497F02" w:rsidRDefault="000220C2" w:rsidP="00497F02">
      <w:pPr>
        <w:rPr>
          <w:rFonts w:cs="Arial"/>
          <w:color w:val="212529"/>
          <w:szCs w:val="24"/>
          <w:lang w:eastAsia="en-GB"/>
        </w:rPr>
      </w:pPr>
      <w:r w:rsidRPr="00497F02">
        <w:rPr>
          <w:rFonts w:cs="Arial"/>
          <w:color w:val="212529"/>
          <w:szCs w:val="24"/>
          <w:lang w:eastAsia="en-GB"/>
        </w:rPr>
        <w:t>It provide</w:t>
      </w:r>
      <w:r w:rsidR="00B708E5" w:rsidRPr="00497F02">
        <w:rPr>
          <w:rFonts w:cs="Arial"/>
          <w:color w:val="212529"/>
          <w:szCs w:val="24"/>
          <w:lang w:eastAsia="en-GB"/>
        </w:rPr>
        <w:t>d</w:t>
      </w:r>
      <w:r w:rsidRPr="00497F02">
        <w:rPr>
          <w:rFonts w:cs="Arial"/>
          <w:color w:val="212529"/>
          <w:szCs w:val="24"/>
          <w:lang w:eastAsia="en-GB"/>
        </w:rPr>
        <w:t xml:space="preserve"> clear guidance for advertisers and sponsors who may want to engage with the Council.  It also provide</w:t>
      </w:r>
      <w:r w:rsidR="00B708E5" w:rsidRPr="00497F02">
        <w:rPr>
          <w:rFonts w:cs="Arial"/>
          <w:color w:val="212529"/>
          <w:szCs w:val="24"/>
          <w:lang w:eastAsia="en-GB"/>
        </w:rPr>
        <w:t>d</w:t>
      </w:r>
      <w:r w:rsidRPr="00497F02">
        <w:rPr>
          <w:rFonts w:cs="Arial"/>
          <w:color w:val="212529"/>
          <w:szCs w:val="24"/>
          <w:lang w:eastAsia="en-GB"/>
        </w:rPr>
        <w:t xml:space="preserve"> guidance for Council services to work to, and within, to help ensure a successful partnership for both the Council and the sponsor/advertiser.</w:t>
      </w:r>
    </w:p>
    <w:p w14:paraId="26FE7E9E" w14:textId="77777777" w:rsidR="00B708E5" w:rsidRPr="00497F02" w:rsidRDefault="00B708E5" w:rsidP="00497F02">
      <w:pPr>
        <w:rPr>
          <w:rFonts w:cs="Arial"/>
          <w:color w:val="212529"/>
          <w:szCs w:val="24"/>
          <w:lang w:eastAsia="en-GB"/>
        </w:rPr>
      </w:pPr>
    </w:p>
    <w:p w14:paraId="3EC443C4" w14:textId="14DCCF40" w:rsidR="000220C2" w:rsidRPr="00497F02" w:rsidRDefault="000220C2" w:rsidP="00497F02">
      <w:pPr>
        <w:rPr>
          <w:rFonts w:cs="Arial"/>
          <w:color w:val="212529"/>
          <w:szCs w:val="24"/>
          <w:lang w:eastAsia="en-GB"/>
        </w:rPr>
      </w:pPr>
      <w:r w:rsidRPr="00497F02">
        <w:rPr>
          <w:rFonts w:cs="Arial"/>
          <w:color w:val="212529"/>
          <w:szCs w:val="24"/>
          <w:lang w:eastAsia="en-GB"/>
        </w:rPr>
        <w:t>The policy relate</w:t>
      </w:r>
      <w:r w:rsidR="00B708E5" w:rsidRPr="00497F02">
        <w:rPr>
          <w:rFonts w:cs="Arial"/>
          <w:color w:val="212529"/>
          <w:szCs w:val="24"/>
          <w:lang w:eastAsia="en-GB"/>
        </w:rPr>
        <w:t>d</w:t>
      </w:r>
      <w:r w:rsidRPr="00497F02">
        <w:rPr>
          <w:rFonts w:cs="Arial"/>
          <w:color w:val="212529"/>
          <w:szCs w:val="24"/>
          <w:lang w:eastAsia="en-GB"/>
        </w:rPr>
        <w:t xml:space="preserve"> to advertising and sponsorship opportunities connected to all of the Council’s physical sites, </w:t>
      </w:r>
      <w:r w:rsidRPr="00497F02">
        <w:rPr>
          <w:rFonts w:cs="Arial"/>
          <w:szCs w:val="24"/>
          <w:lang w:eastAsia="en-GB"/>
        </w:rPr>
        <w:t>including leased and rented spaces, (e.g. buildings, roundabouts, parks, benches, leisure facilities, pitches), publications, websites</w:t>
      </w:r>
      <w:r w:rsidRPr="00497F02">
        <w:rPr>
          <w:rFonts w:cs="Arial"/>
          <w:color w:val="212529"/>
          <w:szCs w:val="24"/>
          <w:lang w:eastAsia="en-GB"/>
        </w:rPr>
        <w:t xml:space="preserve">, digital platforms, vehicles, services and appropriate events, campaigns or initiatives for which it </w:t>
      </w:r>
      <w:r w:rsidR="00B708E5" w:rsidRPr="00497F02">
        <w:rPr>
          <w:rFonts w:cs="Arial"/>
          <w:color w:val="212529"/>
          <w:szCs w:val="24"/>
          <w:lang w:eastAsia="en-GB"/>
        </w:rPr>
        <w:t xml:space="preserve">was </w:t>
      </w:r>
      <w:r w:rsidRPr="00497F02">
        <w:rPr>
          <w:rFonts w:cs="Arial"/>
          <w:color w:val="212529"/>
          <w:szCs w:val="24"/>
          <w:lang w:eastAsia="en-GB"/>
        </w:rPr>
        <w:t>responsible.</w:t>
      </w:r>
    </w:p>
    <w:p w14:paraId="17EC5EC2" w14:textId="77777777" w:rsidR="00B708E5" w:rsidRPr="00497F02" w:rsidRDefault="00B708E5" w:rsidP="00497F02">
      <w:pPr>
        <w:rPr>
          <w:rFonts w:cs="Arial"/>
          <w:color w:val="212529"/>
          <w:szCs w:val="24"/>
          <w:lang w:eastAsia="en-GB"/>
        </w:rPr>
      </w:pPr>
    </w:p>
    <w:p w14:paraId="0A689464" w14:textId="195D1B90" w:rsidR="000220C2" w:rsidRPr="00497F02" w:rsidRDefault="000220C2" w:rsidP="00497F02">
      <w:pPr>
        <w:rPr>
          <w:rFonts w:cs="Arial"/>
          <w:color w:val="212529"/>
          <w:szCs w:val="24"/>
          <w:lang w:eastAsia="en-GB"/>
        </w:rPr>
      </w:pPr>
      <w:r w:rsidRPr="00497F02">
        <w:rPr>
          <w:rFonts w:cs="Arial"/>
          <w:color w:val="212529"/>
          <w:szCs w:val="24"/>
          <w:lang w:eastAsia="en-GB"/>
        </w:rPr>
        <w:t>Supplementary guidance documents e.g. a template contract, ha</w:t>
      </w:r>
      <w:r w:rsidR="00B708E5" w:rsidRPr="00497F02">
        <w:rPr>
          <w:rFonts w:cs="Arial"/>
          <w:color w:val="212529"/>
          <w:szCs w:val="24"/>
          <w:lang w:eastAsia="en-GB"/>
        </w:rPr>
        <w:t>d</w:t>
      </w:r>
      <w:r w:rsidRPr="00497F02">
        <w:rPr>
          <w:rFonts w:cs="Arial"/>
          <w:color w:val="212529"/>
          <w:szCs w:val="24"/>
          <w:lang w:eastAsia="en-GB"/>
        </w:rPr>
        <w:t xml:space="preserve"> also been drafted to assist service areas to deliver against the policy in a consistent way.     </w:t>
      </w:r>
    </w:p>
    <w:p w14:paraId="63968BC3" w14:textId="7383C24D" w:rsidR="000220C2" w:rsidRPr="00497F02" w:rsidRDefault="000220C2" w:rsidP="00497F02">
      <w:pPr>
        <w:rPr>
          <w:rFonts w:cs="Arial"/>
          <w:szCs w:val="24"/>
          <w:lang w:eastAsia="en-GB"/>
        </w:rPr>
      </w:pPr>
      <w:r w:rsidRPr="00497F02">
        <w:rPr>
          <w:rFonts w:cs="Arial"/>
          <w:color w:val="212529"/>
          <w:szCs w:val="24"/>
          <w:lang w:eastAsia="en-GB"/>
        </w:rPr>
        <w:t>An initial financial target ha</w:t>
      </w:r>
      <w:r w:rsidR="00B708E5" w:rsidRPr="00497F02">
        <w:rPr>
          <w:rFonts w:cs="Arial"/>
          <w:color w:val="212529"/>
          <w:szCs w:val="24"/>
          <w:lang w:eastAsia="en-GB"/>
        </w:rPr>
        <w:t>d</w:t>
      </w:r>
      <w:r w:rsidRPr="00497F02">
        <w:rPr>
          <w:rFonts w:cs="Arial"/>
          <w:color w:val="212529"/>
          <w:szCs w:val="24"/>
          <w:lang w:eastAsia="en-GB"/>
        </w:rPr>
        <w:t xml:space="preserve"> been set and following approval of the policy it </w:t>
      </w:r>
      <w:r w:rsidR="00B708E5" w:rsidRPr="00497F02">
        <w:rPr>
          <w:rFonts w:cs="Arial"/>
          <w:color w:val="212529"/>
          <w:szCs w:val="24"/>
          <w:lang w:eastAsia="en-GB"/>
        </w:rPr>
        <w:t>was</w:t>
      </w:r>
      <w:r w:rsidRPr="00497F02">
        <w:rPr>
          <w:rFonts w:cs="Arial"/>
          <w:color w:val="212529"/>
          <w:szCs w:val="24"/>
          <w:lang w:eastAsia="en-GB"/>
        </w:rPr>
        <w:t xml:space="preserve"> intended to run a pilot for a period of 6-9 months promoting six key advertising and sponsorship opportunities.  These w</w:t>
      </w:r>
      <w:r w:rsidR="00B708E5" w:rsidRPr="00497F02">
        <w:rPr>
          <w:rFonts w:cs="Arial"/>
          <w:color w:val="212529"/>
          <w:szCs w:val="24"/>
          <w:lang w:eastAsia="en-GB"/>
        </w:rPr>
        <w:t>ould</w:t>
      </w:r>
      <w:r w:rsidRPr="00497F02">
        <w:rPr>
          <w:rFonts w:cs="Arial"/>
          <w:color w:val="212529"/>
          <w:szCs w:val="24"/>
          <w:lang w:eastAsia="en-GB"/>
        </w:rPr>
        <w:t xml:space="preserve"> come from a range of different service areas including tourism events, parks and leisure.  Th</w:t>
      </w:r>
      <w:r w:rsidR="00B708E5" w:rsidRPr="00497F02">
        <w:rPr>
          <w:rFonts w:cs="Arial"/>
          <w:color w:val="212529"/>
          <w:szCs w:val="24"/>
          <w:lang w:eastAsia="en-GB"/>
        </w:rPr>
        <w:t>at</w:t>
      </w:r>
      <w:r w:rsidRPr="00497F02">
        <w:rPr>
          <w:rFonts w:cs="Arial"/>
          <w:color w:val="212529"/>
          <w:szCs w:val="24"/>
          <w:lang w:eastAsia="en-GB"/>
        </w:rPr>
        <w:t xml:space="preserve"> approach </w:t>
      </w:r>
      <w:r w:rsidR="00B708E5" w:rsidRPr="00497F02">
        <w:rPr>
          <w:rFonts w:cs="Arial"/>
          <w:color w:val="212529"/>
          <w:szCs w:val="24"/>
          <w:lang w:eastAsia="en-GB"/>
        </w:rPr>
        <w:t>would</w:t>
      </w:r>
      <w:r w:rsidRPr="00497F02">
        <w:rPr>
          <w:rFonts w:cs="Arial"/>
          <w:color w:val="212529"/>
          <w:szCs w:val="24"/>
          <w:lang w:eastAsia="en-GB"/>
        </w:rPr>
        <w:t xml:space="preserve"> allow officers the opportunity to test the market, the process and to gauge interest before widening the pool of opportunities further.  </w:t>
      </w:r>
      <w:r w:rsidRPr="00497F02">
        <w:rPr>
          <w:rFonts w:cs="Arial"/>
          <w:szCs w:val="24"/>
          <w:lang w:eastAsia="en-GB"/>
        </w:rPr>
        <w:t xml:space="preserve">A Media Pack </w:t>
      </w:r>
      <w:r w:rsidR="00B708E5" w:rsidRPr="00497F02">
        <w:rPr>
          <w:rFonts w:cs="Arial"/>
          <w:szCs w:val="24"/>
          <w:lang w:eastAsia="en-GB"/>
        </w:rPr>
        <w:t>was</w:t>
      </w:r>
      <w:r w:rsidRPr="00497F02">
        <w:rPr>
          <w:rFonts w:cs="Arial"/>
          <w:szCs w:val="24"/>
          <w:lang w:eastAsia="en-GB"/>
        </w:rPr>
        <w:t xml:space="preserve"> being developed to support th</w:t>
      </w:r>
      <w:r w:rsidR="00B708E5" w:rsidRPr="00497F02">
        <w:rPr>
          <w:rFonts w:cs="Arial"/>
          <w:szCs w:val="24"/>
          <w:lang w:eastAsia="en-GB"/>
        </w:rPr>
        <w:t>at</w:t>
      </w:r>
      <w:r w:rsidRPr="00497F02">
        <w:rPr>
          <w:rFonts w:cs="Arial"/>
          <w:szCs w:val="24"/>
          <w:lang w:eastAsia="en-GB"/>
        </w:rPr>
        <w:t xml:space="preserve"> and </w:t>
      </w:r>
      <w:r w:rsidR="00B708E5" w:rsidRPr="00497F02">
        <w:rPr>
          <w:rFonts w:cs="Arial"/>
          <w:szCs w:val="24"/>
          <w:lang w:eastAsia="en-GB"/>
        </w:rPr>
        <w:t>would</w:t>
      </w:r>
      <w:r w:rsidRPr="00497F02">
        <w:rPr>
          <w:rFonts w:cs="Arial"/>
          <w:szCs w:val="24"/>
          <w:lang w:eastAsia="en-GB"/>
        </w:rPr>
        <w:t xml:space="preserve"> be used to engage with potential sponsors/ advertisers as part of the initial pilot</w:t>
      </w:r>
      <w:r w:rsidR="00B708E5" w:rsidRPr="00497F02">
        <w:rPr>
          <w:rFonts w:cs="Arial"/>
          <w:szCs w:val="24"/>
          <w:lang w:eastAsia="en-GB"/>
        </w:rPr>
        <w:t xml:space="preserve">.  </w:t>
      </w:r>
    </w:p>
    <w:p w14:paraId="1B043C80" w14:textId="77777777" w:rsidR="00B708E5" w:rsidRPr="00497F02" w:rsidRDefault="00B708E5" w:rsidP="00497F02">
      <w:pPr>
        <w:rPr>
          <w:rFonts w:cs="Arial"/>
          <w:color w:val="212529"/>
          <w:szCs w:val="24"/>
          <w:lang w:eastAsia="en-GB"/>
        </w:rPr>
      </w:pPr>
    </w:p>
    <w:p w14:paraId="217C9248" w14:textId="54844B8D" w:rsidR="000220C2" w:rsidRPr="00497F02" w:rsidRDefault="00B708E5" w:rsidP="00497F02">
      <w:pPr>
        <w:rPr>
          <w:rFonts w:cs="Arial"/>
          <w:szCs w:val="24"/>
        </w:rPr>
      </w:pPr>
      <w:r w:rsidRPr="00497F02">
        <w:rPr>
          <w:rFonts w:cs="Arial"/>
          <w:caps/>
          <w:color w:val="212529"/>
          <w:szCs w:val="24"/>
          <w:lang w:eastAsia="en-GB"/>
        </w:rPr>
        <w:t xml:space="preserve">Recommended </w:t>
      </w:r>
      <w:r w:rsidR="000220C2" w:rsidRPr="00497F02">
        <w:rPr>
          <w:rFonts w:cs="Arial"/>
          <w:color w:val="212529"/>
          <w:szCs w:val="24"/>
          <w:lang w:eastAsia="en-GB"/>
        </w:rPr>
        <w:t>that Members adopt the Advertising and Sponsorship Policy and note the planned pilot of 6 key opportunities in the initial period.</w:t>
      </w:r>
    </w:p>
    <w:p w14:paraId="430490D9" w14:textId="77777777" w:rsidR="000220C2" w:rsidRPr="00497F02" w:rsidRDefault="000220C2" w:rsidP="00497F02">
      <w:pPr>
        <w:rPr>
          <w:rFonts w:cs="Arial"/>
          <w:szCs w:val="24"/>
        </w:rPr>
      </w:pPr>
    </w:p>
    <w:p w14:paraId="17240A8E" w14:textId="689B5789" w:rsidR="00093F67" w:rsidRPr="00497F02" w:rsidRDefault="005653E8" w:rsidP="00497F02">
      <w:pPr>
        <w:rPr>
          <w:rFonts w:cs="Arial"/>
          <w:noProof/>
          <w:szCs w:val="24"/>
        </w:rPr>
      </w:pPr>
      <w:r>
        <w:rPr>
          <w:rFonts w:cs="Arial"/>
          <w:noProof/>
          <w:szCs w:val="24"/>
        </w:rPr>
        <w:t xml:space="preserve">Proposed by Councillor W Irvine, seconded by Councillor Thompson, that the recommendation be adopted.  </w:t>
      </w:r>
    </w:p>
    <w:p w14:paraId="426E4961" w14:textId="77777777" w:rsidR="00093F67" w:rsidRDefault="00093F67" w:rsidP="00093F67">
      <w:pPr>
        <w:rPr>
          <w:rFonts w:eastAsia="Calibri" w:cs="Arial"/>
          <w:color w:val="000000" w:themeColor="text1"/>
          <w:szCs w:val="24"/>
        </w:rPr>
      </w:pPr>
    </w:p>
    <w:p w14:paraId="219E9220" w14:textId="2D8684F8" w:rsidR="007C6444" w:rsidRDefault="007C6444" w:rsidP="00093F67">
      <w:pPr>
        <w:rPr>
          <w:rFonts w:eastAsia="Calibri" w:cs="Arial"/>
          <w:color w:val="000000" w:themeColor="text1"/>
          <w:szCs w:val="24"/>
        </w:rPr>
      </w:pPr>
      <w:r>
        <w:rPr>
          <w:rFonts w:eastAsia="Calibri" w:cs="Arial"/>
          <w:color w:val="000000" w:themeColor="text1"/>
          <w:szCs w:val="24"/>
        </w:rPr>
        <w:t>Councillor W Irvine referred the popularity of advertis</w:t>
      </w:r>
      <w:r w:rsidR="00094918">
        <w:rPr>
          <w:rFonts w:eastAsia="Calibri" w:cs="Arial"/>
          <w:color w:val="000000" w:themeColor="text1"/>
          <w:szCs w:val="24"/>
        </w:rPr>
        <w:t xml:space="preserve">ing </w:t>
      </w:r>
      <w:r>
        <w:rPr>
          <w:rFonts w:eastAsia="Calibri" w:cs="Arial"/>
          <w:color w:val="000000" w:themeColor="text1"/>
          <w:szCs w:val="24"/>
        </w:rPr>
        <w:t>on roundabouts</w:t>
      </w:r>
      <w:r w:rsidR="00094918">
        <w:rPr>
          <w:rFonts w:eastAsia="Calibri" w:cs="Arial"/>
          <w:color w:val="000000" w:themeColor="text1"/>
          <w:szCs w:val="24"/>
        </w:rPr>
        <w:t>,</w:t>
      </w:r>
      <w:r>
        <w:rPr>
          <w:rFonts w:eastAsia="Calibri" w:cs="Arial"/>
          <w:color w:val="000000" w:themeColor="text1"/>
          <w:szCs w:val="24"/>
        </w:rPr>
        <w:t xml:space="preserve"> and he asked if there had been</w:t>
      </w:r>
      <w:r w:rsidR="00094918">
        <w:rPr>
          <w:rFonts w:eastAsia="Calibri" w:cs="Arial"/>
          <w:color w:val="000000" w:themeColor="text1"/>
          <w:szCs w:val="24"/>
        </w:rPr>
        <w:t xml:space="preserve"> any</w:t>
      </w:r>
      <w:r>
        <w:rPr>
          <w:rFonts w:eastAsia="Calibri" w:cs="Arial"/>
          <w:color w:val="000000" w:themeColor="text1"/>
          <w:szCs w:val="24"/>
        </w:rPr>
        <w:t xml:space="preserve"> initial interest from businesses. </w:t>
      </w:r>
    </w:p>
    <w:p w14:paraId="33DA0EAF" w14:textId="77777777" w:rsidR="007C6444" w:rsidRDefault="007C6444" w:rsidP="00093F67">
      <w:pPr>
        <w:rPr>
          <w:rFonts w:eastAsia="Calibri" w:cs="Arial"/>
          <w:color w:val="000000" w:themeColor="text1"/>
          <w:szCs w:val="24"/>
        </w:rPr>
      </w:pPr>
    </w:p>
    <w:p w14:paraId="5327C884" w14:textId="37E14CF9" w:rsidR="004E5534" w:rsidRDefault="007C6444" w:rsidP="00093F67">
      <w:pPr>
        <w:rPr>
          <w:rFonts w:eastAsia="Calibri" w:cs="Arial"/>
          <w:color w:val="000000" w:themeColor="text1"/>
          <w:szCs w:val="24"/>
        </w:rPr>
      </w:pPr>
      <w:r>
        <w:rPr>
          <w:rFonts w:eastAsia="Calibri" w:cs="Arial"/>
          <w:color w:val="000000" w:themeColor="text1"/>
          <w:szCs w:val="24"/>
        </w:rPr>
        <w:t xml:space="preserve">The Head of Communications and Marketing advised that some people had </w:t>
      </w:r>
      <w:r w:rsidR="00094918">
        <w:rPr>
          <w:rFonts w:eastAsia="Calibri" w:cs="Arial"/>
          <w:color w:val="000000" w:themeColor="text1"/>
          <w:szCs w:val="24"/>
        </w:rPr>
        <w:t xml:space="preserve">already </w:t>
      </w:r>
      <w:r>
        <w:rPr>
          <w:rFonts w:eastAsia="Calibri" w:cs="Arial"/>
          <w:color w:val="000000" w:themeColor="text1"/>
          <w:szCs w:val="24"/>
        </w:rPr>
        <w:t xml:space="preserve">expressed an interest. Once the policy was approved that interest could be worked through the process. It was hoped that there would be some local businesses that would be interested in partnering with the Council.  </w:t>
      </w:r>
      <w:r w:rsidR="004E5534" w:rsidRPr="00093F67">
        <w:rPr>
          <w:rFonts w:eastAsia="Calibri" w:cs="Arial"/>
          <w:color w:val="000000" w:themeColor="text1"/>
          <w:szCs w:val="24"/>
        </w:rPr>
        <w:t xml:space="preserve"> </w:t>
      </w:r>
    </w:p>
    <w:p w14:paraId="6E366CB4" w14:textId="77777777" w:rsidR="00093F67" w:rsidRDefault="00093F67" w:rsidP="00093F67">
      <w:pPr>
        <w:rPr>
          <w:rFonts w:eastAsia="Calibri" w:cs="Arial"/>
          <w:color w:val="000000" w:themeColor="text1"/>
          <w:szCs w:val="24"/>
        </w:rPr>
      </w:pPr>
    </w:p>
    <w:p w14:paraId="51400874" w14:textId="7D1DDA07" w:rsidR="00AD0BE3" w:rsidRDefault="00AD0BE3" w:rsidP="00093F67">
      <w:pPr>
        <w:rPr>
          <w:rFonts w:eastAsia="Calibri" w:cs="Arial"/>
          <w:color w:val="000000" w:themeColor="text1"/>
          <w:szCs w:val="24"/>
        </w:rPr>
      </w:pPr>
      <w:r>
        <w:rPr>
          <w:rFonts w:eastAsia="Calibri" w:cs="Arial"/>
          <w:color w:val="000000" w:themeColor="text1"/>
          <w:szCs w:val="24"/>
        </w:rPr>
        <w:t>Councillor Thompson welcomed the report highlighting the need to work hard to maximise the revenue. He was pleased to see the sites suggested within the report noting that the 6-9 months pilot would take place and assumed that a report would be brought back to Committee</w:t>
      </w:r>
      <w:r w:rsidR="00094918">
        <w:rPr>
          <w:rFonts w:eastAsia="Calibri" w:cs="Arial"/>
          <w:color w:val="000000" w:themeColor="text1"/>
          <w:szCs w:val="24"/>
        </w:rPr>
        <w:t xml:space="preserve"> following that.  </w:t>
      </w:r>
    </w:p>
    <w:p w14:paraId="3A377989" w14:textId="77777777" w:rsidR="00093F67" w:rsidRDefault="00093F67" w:rsidP="00093F67">
      <w:pPr>
        <w:rPr>
          <w:rFonts w:cs="Arial"/>
          <w:color w:val="000000" w:themeColor="text1"/>
          <w:szCs w:val="24"/>
        </w:rPr>
      </w:pPr>
    </w:p>
    <w:p w14:paraId="31C17266" w14:textId="1CE6DED9" w:rsidR="00AD0BE3" w:rsidRDefault="002A17EC" w:rsidP="00093F67">
      <w:pPr>
        <w:rPr>
          <w:rFonts w:cs="Arial"/>
          <w:color w:val="000000" w:themeColor="text1"/>
          <w:szCs w:val="24"/>
        </w:rPr>
      </w:pPr>
      <w:r>
        <w:rPr>
          <w:rFonts w:cs="Arial"/>
          <w:color w:val="000000" w:themeColor="text1"/>
          <w:szCs w:val="24"/>
        </w:rPr>
        <w:t xml:space="preserve">The Head of Communications and Marketing confirmed that would be the intention.  </w:t>
      </w:r>
    </w:p>
    <w:p w14:paraId="0F46D879" w14:textId="77777777" w:rsidR="00AD0BE3" w:rsidRDefault="00AD0BE3" w:rsidP="00093F67">
      <w:pPr>
        <w:rPr>
          <w:rFonts w:cs="Arial"/>
          <w:color w:val="000000" w:themeColor="text1"/>
          <w:szCs w:val="24"/>
        </w:rPr>
      </w:pPr>
    </w:p>
    <w:p w14:paraId="0B4245BA" w14:textId="5A797F5A" w:rsidR="007C6444" w:rsidRDefault="007C6444" w:rsidP="00093F67">
      <w:pPr>
        <w:rPr>
          <w:rFonts w:cs="Arial"/>
          <w:color w:val="000000" w:themeColor="text1"/>
          <w:szCs w:val="24"/>
        </w:rPr>
      </w:pPr>
      <w:r>
        <w:rPr>
          <w:rFonts w:cs="Arial"/>
          <w:color w:val="000000" w:themeColor="text1"/>
          <w:szCs w:val="24"/>
        </w:rPr>
        <w:t xml:space="preserve">Councillor Gilmour welcomed the formation of the policy and felt it was important that the review was built </w:t>
      </w:r>
      <w:r w:rsidR="0011488E">
        <w:rPr>
          <w:rFonts w:cs="Arial"/>
          <w:color w:val="000000" w:themeColor="text1"/>
          <w:szCs w:val="24"/>
        </w:rPr>
        <w:t xml:space="preserve">in to look at the </w:t>
      </w:r>
      <w:r>
        <w:rPr>
          <w:rFonts w:cs="Arial"/>
          <w:color w:val="000000" w:themeColor="text1"/>
          <w:szCs w:val="24"/>
        </w:rPr>
        <w:t xml:space="preserve">outworkings.   </w:t>
      </w:r>
      <w:r w:rsidR="0011488E">
        <w:rPr>
          <w:rFonts w:cs="Arial"/>
          <w:color w:val="000000" w:themeColor="text1"/>
          <w:szCs w:val="24"/>
        </w:rPr>
        <w:t xml:space="preserve">She </w:t>
      </w:r>
      <w:r>
        <w:rPr>
          <w:rFonts w:cs="Arial"/>
          <w:color w:val="000000" w:themeColor="text1"/>
          <w:szCs w:val="24"/>
        </w:rPr>
        <w:t xml:space="preserve">noted </w:t>
      </w:r>
      <w:r w:rsidR="0011488E">
        <w:rPr>
          <w:rFonts w:cs="Arial"/>
          <w:color w:val="000000" w:themeColor="text1"/>
          <w:szCs w:val="24"/>
        </w:rPr>
        <w:t xml:space="preserve">within the draft policy </w:t>
      </w:r>
      <w:r>
        <w:rPr>
          <w:rFonts w:cs="Arial"/>
          <w:color w:val="000000" w:themeColor="text1"/>
          <w:szCs w:val="24"/>
        </w:rPr>
        <w:t xml:space="preserve">it </w:t>
      </w:r>
      <w:r w:rsidR="0011488E">
        <w:rPr>
          <w:rFonts w:cs="Arial"/>
          <w:color w:val="000000" w:themeColor="text1"/>
          <w:szCs w:val="24"/>
        </w:rPr>
        <w:t xml:space="preserve">detailed </w:t>
      </w:r>
      <w:r>
        <w:rPr>
          <w:rFonts w:cs="Arial"/>
          <w:color w:val="000000" w:themeColor="text1"/>
          <w:szCs w:val="24"/>
        </w:rPr>
        <w:t>approvals for charity and community groups at designated locations and she asked if there were now a list of specific locations for advertising for charity and community groups. The Head of Communications and Marketing explained that there was a list of advertising</w:t>
      </w:r>
      <w:r w:rsidR="00157F76">
        <w:rPr>
          <w:rFonts w:cs="Arial"/>
          <w:color w:val="000000" w:themeColor="text1"/>
          <w:szCs w:val="24"/>
        </w:rPr>
        <w:t xml:space="preserve"> locations some of which were well used locations.  The Council were continuously carrying out advertising </w:t>
      </w:r>
      <w:r w:rsidR="0011488E">
        <w:rPr>
          <w:rFonts w:cs="Arial"/>
          <w:color w:val="000000" w:themeColor="text1"/>
          <w:szCs w:val="24"/>
        </w:rPr>
        <w:t xml:space="preserve">with a number of </w:t>
      </w:r>
      <w:r w:rsidR="00157F76">
        <w:rPr>
          <w:rFonts w:cs="Arial"/>
          <w:color w:val="000000" w:themeColor="text1"/>
          <w:szCs w:val="24"/>
        </w:rPr>
        <w:t xml:space="preserve">events and initiatives. </w:t>
      </w:r>
      <w:r w:rsidR="001B1423">
        <w:rPr>
          <w:rFonts w:cs="Arial"/>
          <w:color w:val="000000" w:themeColor="text1"/>
          <w:szCs w:val="24"/>
        </w:rPr>
        <w:t xml:space="preserve">If the pilot worked well, consideration </w:t>
      </w:r>
      <w:r w:rsidR="0011488E">
        <w:rPr>
          <w:rFonts w:cs="Arial"/>
          <w:color w:val="000000" w:themeColor="text1"/>
          <w:szCs w:val="24"/>
        </w:rPr>
        <w:t>c</w:t>
      </w:r>
      <w:r w:rsidR="001B1423">
        <w:rPr>
          <w:rFonts w:cs="Arial"/>
          <w:color w:val="000000" w:themeColor="text1"/>
          <w:szCs w:val="24"/>
        </w:rPr>
        <w:t>ould be given to identifying new opportunities on Council owned buildings and land to expand on the advertising</w:t>
      </w:r>
      <w:r w:rsidR="00250064">
        <w:rPr>
          <w:rFonts w:cs="Arial"/>
          <w:color w:val="000000" w:themeColor="text1"/>
          <w:szCs w:val="24"/>
        </w:rPr>
        <w:t xml:space="preserve"> providing more opportunities in the future fo</w:t>
      </w:r>
      <w:r w:rsidR="0011488E">
        <w:rPr>
          <w:rFonts w:cs="Arial"/>
          <w:color w:val="000000" w:themeColor="text1"/>
          <w:szCs w:val="24"/>
        </w:rPr>
        <w:t xml:space="preserve">r </w:t>
      </w:r>
      <w:r w:rsidR="00250064">
        <w:rPr>
          <w:rFonts w:cs="Arial"/>
          <w:color w:val="000000" w:themeColor="text1"/>
          <w:szCs w:val="24"/>
        </w:rPr>
        <w:t xml:space="preserve">charity and community organisations. </w:t>
      </w:r>
    </w:p>
    <w:p w14:paraId="5BFA178E" w14:textId="77777777" w:rsidR="00250064" w:rsidRDefault="00250064" w:rsidP="00093F67">
      <w:pPr>
        <w:rPr>
          <w:rFonts w:cs="Arial"/>
          <w:color w:val="000000" w:themeColor="text1"/>
          <w:szCs w:val="24"/>
        </w:rPr>
      </w:pPr>
    </w:p>
    <w:p w14:paraId="0CC59BFF" w14:textId="2B6E975F" w:rsidR="00250064" w:rsidRDefault="00250064" w:rsidP="00093F67">
      <w:pPr>
        <w:rPr>
          <w:rFonts w:cs="Arial"/>
          <w:color w:val="000000" w:themeColor="text1"/>
          <w:szCs w:val="24"/>
        </w:rPr>
      </w:pPr>
      <w:r>
        <w:rPr>
          <w:rFonts w:cs="Arial"/>
          <w:color w:val="000000" w:themeColor="text1"/>
          <w:szCs w:val="24"/>
        </w:rPr>
        <w:lastRenderedPageBreak/>
        <w:t>Referring to the Big Plan, Alderman McAlpine noted the aims and messages within to address</w:t>
      </w:r>
      <w:r w:rsidR="00BF0C85">
        <w:rPr>
          <w:rFonts w:cs="Arial"/>
          <w:color w:val="000000" w:themeColor="text1"/>
          <w:szCs w:val="24"/>
        </w:rPr>
        <w:t xml:space="preserve"> developing </w:t>
      </w:r>
      <w:r>
        <w:rPr>
          <w:rFonts w:cs="Arial"/>
          <w:color w:val="000000" w:themeColor="text1"/>
          <w:szCs w:val="24"/>
        </w:rPr>
        <w:t>health such as tacking obesity. She was concerned that the businesses advertising would be consistent with the Council’s messages and that there was no contradiction</w:t>
      </w:r>
      <w:r w:rsidR="00BF0C85">
        <w:rPr>
          <w:rFonts w:cs="Arial"/>
          <w:color w:val="000000" w:themeColor="text1"/>
          <w:szCs w:val="24"/>
        </w:rPr>
        <w:t xml:space="preserve">.  </w:t>
      </w:r>
    </w:p>
    <w:p w14:paraId="3BCC9794" w14:textId="77777777" w:rsidR="00250064" w:rsidRDefault="00250064" w:rsidP="00093F67">
      <w:pPr>
        <w:rPr>
          <w:rFonts w:cs="Arial"/>
          <w:color w:val="000000" w:themeColor="text1"/>
          <w:szCs w:val="24"/>
        </w:rPr>
      </w:pPr>
    </w:p>
    <w:p w14:paraId="5297BF62" w14:textId="269D768A" w:rsidR="00250064" w:rsidRDefault="00250064" w:rsidP="00093F67">
      <w:pPr>
        <w:rPr>
          <w:rFonts w:cs="Arial"/>
          <w:color w:val="000000" w:themeColor="text1"/>
          <w:szCs w:val="24"/>
        </w:rPr>
      </w:pPr>
      <w:r>
        <w:rPr>
          <w:rFonts w:cs="Arial"/>
          <w:color w:val="000000" w:themeColor="text1"/>
          <w:szCs w:val="24"/>
        </w:rPr>
        <w:t xml:space="preserve">The Head of Communications and Marketing advised that the policy was considered extensively </w:t>
      </w:r>
      <w:r w:rsidR="00BF0C85">
        <w:rPr>
          <w:rFonts w:cs="Arial"/>
          <w:color w:val="000000" w:themeColor="text1"/>
          <w:szCs w:val="24"/>
        </w:rPr>
        <w:t xml:space="preserve">noting there were a lot of views around the appetite that the Council had to advertise and sponsor. It was decided that the policy would not be overly prescriptive, being attractive and possible to </w:t>
      </w:r>
      <w:r w:rsidR="0011488E">
        <w:rPr>
          <w:rFonts w:cs="Arial"/>
          <w:color w:val="000000" w:themeColor="text1"/>
          <w:szCs w:val="24"/>
        </w:rPr>
        <w:t xml:space="preserve">attract </w:t>
      </w:r>
      <w:r w:rsidR="00BF0C85">
        <w:rPr>
          <w:rFonts w:cs="Arial"/>
          <w:color w:val="000000" w:themeColor="text1"/>
          <w:szCs w:val="24"/>
        </w:rPr>
        <w:t xml:space="preserve">companies to approach. It was recognised and highlighted the need to engage with organisations that were in-line with Council’s values.   The process would evaluate each opportunity as it arose. </w:t>
      </w:r>
    </w:p>
    <w:p w14:paraId="5F649A15" w14:textId="77777777" w:rsidR="00250064" w:rsidRDefault="00250064" w:rsidP="00093F67">
      <w:pPr>
        <w:rPr>
          <w:rFonts w:cs="Arial"/>
          <w:color w:val="000000" w:themeColor="text1"/>
          <w:szCs w:val="24"/>
        </w:rPr>
      </w:pPr>
    </w:p>
    <w:p w14:paraId="0580AFC7" w14:textId="4DB6130F" w:rsidR="00250064" w:rsidRDefault="00250064" w:rsidP="00093F67">
      <w:pPr>
        <w:rPr>
          <w:rFonts w:cs="Arial"/>
          <w:color w:val="000000" w:themeColor="text1"/>
          <w:szCs w:val="24"/>
        </w:rPr>
      </w:pPr>
      <w:r>
        <w:rPr>
          <w:rFonts w:cs="Arial"/>
          <w:color w:val="000000" w:themeColor="text1"/>
          <w:szCs w:val="24"/>
        </w:rPr>
        <w:t>Alderman McAlpine expressed concern that such approach could leave the Council open to challenge.</w:t>
      </w:r>
    </w:p>
    <w:p w14:paraId="48AADB0C" w14:textId="77777777" w:rsidR="00070181" w:rsidRDefault="00070181" w:rsidP="00093F67">
      <w:pPr>
        <w:rPr>
          <w:rFonts w:cs="Arial"/>
          <w:color w:val="000000" w:themeColor="text1"/>
          <w:szCs w:val="24"/>
        </w:rPr>
      </w:pPr>
    </w:p>
    <w:p w14:paraId="0D32A454" w14:textId="691F38ED" w:rsidR="000A2D35" w:rsidRDefault="000A2D35" w:rsidP="00093F67">
      <w:pPr>
        <w:rPr>
          <w:rFonts w:cs="Arial"/>
          <w:color w:val="000000" w:themeColor="text1"/>
          <w:szCs w:val="24"/>
        </w:rPr>
      </w:pPr>
      <w:r>
        <w:rPr>
          <w:rFonts w:cs="Arial"/>
          <w:color w:val="000000" w:themeColor="text1"/>
          <w:szCs w:val="24"/>
        </w:rPr>
        <w:t xml:space="preserve">Referring to </w:t>
      </w:r>
      <w:r w:rsidR="0011488E">
        <w:rPr>
          <w:rFonts w:cs="Arial"/>
          <w:color w:val="000000" w:themeColor="text1"/>
          <w:szCs w:val="24"/>
        </w:rPr>
        <w:t xml:space="preserve">page 6 of the draft policy, </w:t>
      </w:r>
      <w:r>
        <w:rPr>
          <w:rFonts w:cs="Arial"/>
          <w:color w:val="000000" w:themeColor="text1"/>
          <w:szCs w:val="24"/>
        </w:rPr>
        <w:t>Alderman McIlveen noted the reference to the Equality Act 2010 highlighting that Act did not apply to Northern Ireland.  Given that he suggested that the report be deferred to</w:t>
      </w:r>
      <w:r w:rsidR="0011488E">
        <w:rPr>
          <w:rFonts w:cs="Arial"/>
          <w:color w:val="000000" w:themeColor="text1"/>
          <w:szCs w:val="24"/>
        </w:rPr>
        <w:t xml:space="preserve"> allow for the correct </w:t>
      </w:r>
      <w:r>
        <w:rPr>
          <w:rFonts w:cs="Arial"/>
          <w:color w:val="000000" w:themeColor="text1"/>
          <w:szCs w:val="24"/>
        </w:rPr>
        <w:t xml:space="preserve">legislation </w:t>
      </w:r>
      <w:r w:rsidR="0011488E">
        <w:rPr>
          <w:rFonts w:cs="Arial"/>
          <w:color w:val="000000" w:themeColor="text1"/>
          <w:szCs w:val="24"/>
        </w:rPr>
        <w:t xml:space="preserve">to be reflected in the policy. </w:t>
      </w:r>
      <w:r>
        <w:rPr>
          <w:rFonts w:cs="Arial"/>
          <w:color w:val="000000" w:themeColor="text1"/>
          <w:szCs w:val="24"/>
        </w:rPr>
        <w:t xml:space="preserve"> </w:t>
      </w:r>
    </w:p>
    <w:p w14:paraId="2AAF5440" w14:textId="77777777" w:rsidR="000A2D35" w:rsidRDefault="000A2D35" w:rsidP="00093F67">
      <w:pPr>
        <w:rPr>
          <w:rFonts w:cs="Arial"/>
          <w:color w:val="000000" w:themeColor="text1"/>
          <w:szCs w:val="24"/>
        </w:rPr>
      </w:pPr>
    </w:p>
    <w:p w14:paraId="6391143B" w14:textId="3B40ED28" w:rsidR="000A2D35" w:rsidRDefault="000A2D35" w:rsidP="00093F67">
      <w:pPr>
        <w:rPr>
          <w:rFonts w:cs="Arial"/>
          <w:color w:val="000000" w:themeColor="text1"/>
          <w:szCs w:val="24"/>
        </w:rPr>
      </w:pPr>
      <w:r>
        <w:rPr>
          <w:rFonts w:cs="Arial"/>
          <w:color w:val="000000" w:themeColor="text1"/>
          <w:szCs w:val="24"/>
        </w:rPr>
        <w:t xml:space="preserve">The Head of Communications and Marketing undertook to talk to the Equality Officer to amend the policy. </w:t>
      </w:r>
    </w:p>
    <w:p w14:paraId="010EEAD8" w14:textId="77777777" w:rsidR="000A2D35" w:rsidRDefault="000A2D35" w:rsidP="00093F67">
      <w:pPr>
        <w:rPr>
          <w:rFonts w:cs="Arial"/>
          <w:color w:val="000000" w:themeColor="text1"/>
          <w:szCs w:val="24"/>
        </w:rPr>
      </w:pPr>
    </w:p>
    <w:p w14:paraId="18433FF4" w14:textId="09E3ED69" w:rsidR="000A2D35" w:rsidRDefault="000A2D35" w:rsidP="00093F67">
      <w:pPr>
        <w:rPr>
          <w:rFonts w:cs="Arial"/>
          <w:color w:val="000000" w:themeColor="text1"/>
          <w:szCs w:val="24"/>
        </w:rPr>
      </w:pPr>
      <w:r>
        <w:rPr>
          <w:rFonts w:cs="Arial"/>
          <w:color w:val="000000" w:themeColor="text1"/>
          <w:szCs w:val="24"/>
        </w:rPr>
        <w:t xml:space="preserve">Councillor Chambers felt the policy was a great opportunity for the Council highlighting the long-term opportunities.  He wondered if there should be inclusion that the Council </w:t>
      </w:r>
      <w:r w:rsidR="0011488E">
        <w:rPr>
          <w:rFonts w:cs="Arial"/>
          <w:color w:val="000000" w:themeColor="text1"/>
          <w:szCs w:val="24"/>
        </w:rPr>
        <w:t>c</w:t>
      </w:r>
      <w:r>
        <w:rPr>
          <w:rFonts w:cs="Arial"/>
          <w:color w:val="000000" w:themeColor="text1"/>
          <w:szCs w:val="24"/>
        </w:rPr>
        <w:t xml:space="preserve">ould reserve the right to terminate an agreement if for example a business were to come into disrepute.  </w:t>
      </w:r>
    </w:p>
    <w:p w14:paraId="5356852E" w14:textId="77777777" w:rsidR="000A2D35" w:rsidRDefault="000A2D35" w:rsidP="00093F67">
      <w:pPr>
        <w:rPr>
          <w:rFonts w:cs="Arial"/>
          <w:color w:val="000000" w:themeColor="text1"/>
          <w:szCs w:val="24"/>
        </w:rPr>
      </w:pPr>
    </w:p>
    <w:p w14:paraId="5D0D8368" w14:textId="1DC42019" w:rsidR="000A2D35" w:rsidRDefault="000A2D35" w:rsidP="00093F67">
      <w:pPr>
        <w:rPr>
          <w:rFonts w:cs="Arial"/>
          <w:color w:val="000000" w:themeColor="text1"/>
          <w:szCs w:val="24"/>
        </w:rPr>
      </w:pPr>
      <w:r>
        <w:rPr>
          <w:rFonts w:cs="Arial"/>
          <w:color w:val="000000" w:themeColor="text1"/>
          <w:szCs w:val="24"/>
        </w:rPr>
        <w:t xml:space="preserve">The Head of Communications and Marketing noted that there was reference to removing </w:t>
      </w:r>
      <w:r w:rsidR="00070181">
        <w:rPr>
          <w:rFonts w:cs="Arial"/>
          <w:color w:val="000000" w:themeColor="text1"/>
          <w:szCs w:val="24"/>
        </w:rPr>
        <w:t xml:space="preserve">advertising </w:t>
      </w:r>
      <w:r>
        <w:rPr>
          <w:rFonts w:cs="Arial"/>
          <w:color w:val="000000" w:themeColor="text1"/>
          <w:szCs w:val="24"/>
        </w:rPr>
        <w:t xml:space="preserve">and </w:t>
      </w:r>
      <w:r w:rsidR="00070181">
        <w:rPr>
          <w:rFonts w:cs="Arial"/>
          <w:color w:val="000000" w:themeColor="text1"/>
          <w:szCs w:val="24"/>
        </w:rPr>
        <w:t>dissolving the relationship</w:t>
      </w:r>
      <w:r>
        <w:rPr>
          <w:rFonts w:cs="Arial"/>
          <w:color w:val="000000" w:themeColor="text1"/>
          <w:szCs w:val="24"/>
        </w:rPr>
        <w:t xml:space="preserve"> however Officers could look to strengthen that before bringing back the policy to Council at the end of the month. </w:t>
      </w:r>
    </w:p>
    <w:p w14:paraId="7D05B38B" w14:textId="77777777" w:rsidR="000A2D35" w:rsidRDefault="000A2D35" w:rsidP="00093F67">
      <w:pPr>
        <w:rPr>
          <w:rFonts w:cs="Arial"/>
          <w:color w:val="000000" w:themeColor="text1"/>
          <w:szCs w:val="24"/>
        </w:rPr>
      </w:pPr>
    </w:p>
    <w:p w14:paraId="674DD690" w14:textId="291220A2" w:rsidR="000A2D35" w:rsidRDefault="000A2D35" w:rsidP="00093F67">
      <w:pPr>
        <w:rPr>
          <w:rFonts w:cs="Arial"/>
          <w:color w:val="000000" w:themeColor="text1"/>
          <w:szCs w:val="24"/>
        </w:rPr>
      </w:pPr>
      <w:r>
        <w:rPr>
          <w:rFonts w:cs="Arial"/>
          <w:color w:val="000000" w:themeColor="text1"/>
          <w:szCs w:val="24"/>
        </w:rPr>
        <w:t xml:space="preserve">The proposer and seconder were content for the report to be deferred. </w:t>
      </w:r>
    </w:p>
    <w:p w14:paraId="7E81DBEC" w14:textId="77777777" w:rsidR="00AD0BE3" w:rsidRPr="00093F67" w:rsidRDefault="00AD0BE3" w:rsidP="00093F67">
      <w:pPr>
        <w:rPr>
          <w:rFonts w:cs="Arial"/>
          <w:color w:val="000000" w:themeColor="text1"/>
          <w:szCs w:val="24"/>
        </w:rPr>
      </w:pPr>
    </w:p>
    <w:p w14:paraId="38445B8D" w14:textId="047D3F6E" w:rsidR="004E5534" w:rsidRDefault="000A2D35" w:rsidP="00497F02">
      <w:pPr>
        <w:rPr>
          <w:rFonts w:cs="Arial"/>
          <w:b/>
          <w:bCs/>
          <w:szCs w:val="24"/>
        </w:rPr>
      </w:pPr>
      <w:r>
        <w:rPr>
          <w:rFonts w:cs="Arial"/>
          <w:b/>
          <w:bCs/>
          <w:szCs w:val="24"/>
        </w:rPr>
        <w:t xml:space="preserve">AGREED TO RECOMMEND, that the item be deferred to the Council </w:t>
      </w:r>
      <w:r w:rsidR="004038F8">
        <w:rPr>
          <w:rFonts w:cs="Arial"/>
          <w:b/>
          <w:bCs/>
          <w:szCs w:val="24"/>
        </w:rPr>
        <w:t xml:space="preserve">meeting. </w:t>
      </w:r>
      <w:r w:rsidR="00497F02" w:rsidRPr="00497F02">
        <w:rPr>
          <w:rFonts w:cs="Arial"/>
          <w:b/>
          <w:bCs/>
          <w:szCs w:val="24"/>
        </w:rPr>
        <w:t xml:space="preserve"> </w:t>
      </w:r>
    </w:p>
    <w:p w14:paraId="6CD392B5" w14:textId="77777777" w:rsidR="00497F02" w:rsidRPr="00497F02" w:rsidRDefault="00497F02" w:rsidP="00497F02">
      <w:pPr>
        <w:rPr>
          <w:rFonts w:cs="Arial"/>
          <w:b/>
          <w:bCs/>
          <w:szCs w:val="24"/>
        </w:rPr>
      </w:pPr>
    </w:p>
    <w:p w14:paraId="34D6126F" w14:textId="581936F9" w:rsidR="009B5D9E" w:rsidRPr="00ED7B06" w:rsidRDefault="009B5D9E" w:rsidP="00ED7B06">
      <w:pPr>
        <w:pStyle w:val="Heading1"/>
        <w:rPr>
          <w:u w:val="single"/>
        </w:rPr>
      </w:pPr>
      <w:r>
        <w:t>6.</w:t>
      </w:r>
      <w:r>
        <w:tab/>
      </w:r>
      <w:r w:rsidR="004E5534" w:rsidRPr="00ED7B06">
        <w:rPr>
          <w:u w:val="single"/>
        </w:rPr>
        <w:t xml:space="preserve">Fertility and Neonatal Policies </w:t>
      </w:r>
      <w:r w:rsidR="003908F2">
        <w:rPr>
          <w:u w:val="single"/>
        </w:rPr>
        <w:t>(FILE HR60)</w:t>
      </w:r>
    </w:p>
    <w:p w14:paraId="4B6F80D8" w14:textId="428F30B9" w:rsidR="009B5D9E" w:rsidRDefault="00523472" w:rsidP="009B5D9E">
      <w:pPr>
        <w:rPr>
          <w:rFonts w:cs="Arial"/>
          <w:color w:val="000000" w:themeColor="text1"/>
          <w:szCs w:val="24"/>
        </w:rPr>
      </w:pPr>
      <w:r>
        <w:rPr>
          <w:rFonts w:cs="Arial"/>
          <w:color w:val="000000" w:themeColor="text1"/>
          <w:szCs w:val="24"/>
        </w:rPr>
        <w:tab/>
        <w:t xml:space="preserve">(Appendices </w:t>
      </w:r>
      <w:r w:rsidR="002F1D8D">
        <w:rPr>
          <w:rFonts w:cs="Arial"/>
          <w:color w:val="000000" w:themeColor="text1"/>
          <w:szCs w:val="24"/>
        </w:rPr>
        <w:t>VI, VII</w:t>
      </w:r>
      <w:r>
        <w:rPr>
          <w:rFonts w:cs="Arial"/>
          <w:color w:val="000000" w:themeColor="text1"/>
          <w:szCs w:val="24"/>
        </w:rPr>
        <w:t>)</w:t>
      </w:r>
    </w:p>
    <w:p w14:paraId="1834D320" w14:textId="77777777" w:rsidR="00523472" w:rsidRPr="00523472" w:rsidRDefault="00523472" w:rsidP="00523472">
      <w:pPr>
        <w:rPr>
          <w:rFonts w:cs="Arial"/>
          <w:color w:val="000000" w:themeColor="text1"/>
          <w:szCs w:val="24"/>
        </w:rPr>
      </w:pPr>
    </w:p>
    <w:p w14:paraId="412EF788" w14:textId="43A18B94" w:rsidR="00523472" w:rsidRPr="00523472" w:rsidRDefault="008B4892" w:rsidP="00523472">
      <w:pPr>
        <w:tabs>
          <w:tab w:val="left" w:pos="1680"/>
        </w:tabs>
        <w:rPr>
          <w:rFonts w:cs="Arial"/>
          <w:color w:val="000000"/>
          <w:szCs w:val="24"/>
          <w:lang w:eastAsia="en-GB"/>
        </w:rPr>
      </w:pPr>
      <w:r w:rsidRPr="00523472">
        <w:rPr>
          <w:rFonts w:eastAsia="Calibri" w:cs="Arial"/>
          <w:caps/>
          <w:color w:val="000000" w:themeColor="text1"/>
          <w:szCs w:val="24"/>
        </w:rPr>
        <w:t>Previously circulated:-</w:t>
      </w:r>
      <w:r w:rsidRPr="00523472">
        <w:rPr>
          <w:rFonts w:eastAsia="Calibri" w:cs="Arial"/>
          <w:color w:val="000000" w:themeColor="text1"/>
          <w:szCs w:val="24"/>
        </w:rPr>
        <w:t xml:space="preserve"> Report from the Director of Corporate Services</w:t>
      </w:r>
      <w:r w:rsidR="00523472" w:rsidRPr="00523472">
        <w:rPr>
          <w:rFonts w:eastAsia="Calibri" w:cs="Arial"/>
          <w:color w:val="000000" w:themeColor="text1"/>
          <w:szCs w:val="24"/>
        </w:rPr>
        <w:t xml:space="preserve"> attaching </w:t>
      </w:r>
      <w:r w:rsidR="00523472" w:rsidRPr="00523472">
        <w:rPr>
          <w:rFonts w:eastAsia="Calibri" w:cs="Arial"/>
          <w:noProof/>
          <w:szCs w:val="24"/>
        </w:rPr>
        <w:t xml:space="preserve">Draft Fertility Treatment Policy and Draft Neonatal Care (Leave and Pay) Policy. The report detailed </w:t>
      </w:r>
      <w:r w:rsidR="00523472">
        <w:rPr>
          <w:rFonts w:cs="Arial"/>
          <w:szCs w:val="24"/>
        </w:rPr>
        <w:t xml:space="preserve">that a </w:t>
      </w:r>
      <w:r w:rsidR="00523472" w:rsidRPr="00523472">
        <w:rPr>
          <w:rFonts w:cs="Arial"/>
          <w:szCs w:val="24"/>
        </w:rPr>
        <w:t xml:space="preserve">notice of motion was raised in 2022, that a </w:t>
      </w:r>
      <w:r w:rsidR="00523472" w:rsidRPr="00523472">
        <w:rPr>
          <w:rFonts w:cs="Arial"/>
          <w:color w:val="000000"/>
          <w:szCs w:val="24"/>
          <w:lang w:eastAsia="en-GB"/>
        </w:rPr>
        <w:t>report be brought to Council, exploring the possibility of introducing a policy that show</w:t>
      </w:r>
      <w:r w:rsidR="00523472">
        <w:rPr>
          <w:rFonts w:cs="Arial"/>
          <w:color w:val="000000"/>
          <w:szCs w:val="24"/>
          <w:lang w:eastAsia="en-GB"/>
        </w:rPr>
        <w:t>ed</w:t>
      </w:r>
      <w:r w:rsidR="00523472" w:rsidRPr="00523472">
        <w:rPr>
          <w:rFonts w:cs="Arial"/>
          <w:color w:val="000000"/>
          <w:szCs w:val="24"/>
          <w:lang w:eastAsia="en-GB"/>
        </w:rPr>
        <w:t xml:space="preserve"> commitment to supporting the wellbeing of our workforce by ensuring appropriate support </w:t>
      </w:r>
      <w:r w:rsidR="00523472">
        <w:rPr>
          <w:rFonts w:cs="Arial"/>
          <w:color w:val="000000"/>
          <w:szCs w:val="24"/>
          <w:lang w:eastAsia="en-GB"/>
        </w:rPr>
        <w:t>was</w:t>
      </w:r>
      <w:r w:rsidR="00523472" w:rsidRPr="00523472">
        <w:rPr>
          <w:rFonts w:cs="Arial"/>
          <w:color w:val="000000"/>
          <w:szCs w:val="24"/>
          <w:lang w:eastAsia="en-GB"/>
        </w:rPr>
        <w:t xml:space="preserve"> available to anyone undergoing IVF treatment. </w:t>
      </w:r>
    </w:p>
    <w:p w14:paraId="41DAF62C" w14:textId="77777777" w:rsidR="00523472" w:rsidRPr="00523472" w:rsidRDefault="00523472" w:rsidP="00523472">
      <w:pPr>
        <w:tabs>
          <w:tab w:val="left" w:pos="1680"/>
        </w:tabs>
        <w:rPr>
          <w:rFonts w:cs="Arial"/>
          <w:color w:val="000000"/>
          <w:szCs w:val="24"/>
          <w:lang w:eastAsia="en-GB"/>
        </w:rPr>
      </w:pPr>
    </w:p>
    <w:p w14:paraId="0822C0B1" w14:textId="7132DB0B" w:rsidR="00523472" w:rsidRPr="00523472" w:rsidRDefault="00523472" w:rsidP="00523472">
      <w:pPr>
        <w:tabs>
          <w:tab w:val="left" w:pos="1680"/>
        </w:tabs>
        <w:rPr>
          <w:rFonts w:cs="Arial"/>
          <w:color w:val="000000"/>
          <w:szCs w:val="24"/>
          <w:lang w:eastAsia="en-GB"/>
        </w:rPr>
      </w:pPr>
      <w:r w:rsidRPr="00523472">
        <w:rPr>
          <w:rFonts w:cs="Arial"/>
          <w:color w:val="000000"/>
          <w:szCs w:val="24"/>
          <w:lang w:eastAsia="en-GB"/>
        </w:rPr>
        <w:t xml:space="preserve">The Director of Corporate Services and Head of Human Resources and Organisational Development met with Tiny Life, the premature baby charity for Northern Ireland, in 2023 regarding the possibility of introducing a Neonatal Leave Policy in Ards and North Down Borough Council in advance of new legislation, which </w:t>
      </w:r>
      <w:r>
        <w:rPr>
          <w:rFonts w:cs="Arial"/>
          <w:color w:val="000000"/>
          <w:szCs w:val="24"/>
          <w:lang w:eastAsia="en-GB"/>
        </w:rPr>
        <w:lastRenderedPageBreak/>
        <w:t xml:space="preserve">was </w:t>
      </w:r>
      <w:r w:rsidRPr="00523472">
        <w:rPr>
          <w:rFonts w:cs="Arial"/>
          <w:color w:val="000000"/>
          <w:szCs w:val="24"/>
          <w:lang w:eastAsia="en-GB"/>
        </w:rPr>
        <w:t>expected to come into force, and ha</w:t>
      </w:r>
      <w:r>
        <w:rPr>
          <w:rFonts w:cs="Arial"/>
          <w:color w:val="000000"/>
          <w:szCs w:val="24"/>
          <w:lang w:eastAsia="en-GB"/>
        </w:rPr>
        <w:t>d</w:t>
      </w:r>
      <w:r w:rsidRPr="00523472">
        <w:rPr>
          <w:rFonts w:cs="Arial"/>
          <w:color w:val="000000"/>
          <w:szCs w:val="24"/>
          <w:lang w:eastAsia="en-GB"/>
        </w:rPr>
        <w:t xml:space="preserve"> already been adopted by Belfast City Council.</w:t>
      </w:r>
    </w:p>
    <w:p w14:paraId="3846FD73" w14:textId="77777777" w:rsidR="00523472" w:rsidRPr="00523472" w:rsidRDefault="00523472" w:rsidP="00523472">
      <w:pPr>
        <w:tabs>
          <w:tab w:val="left" w:pos="1680"/>
        </w:tabs>
        <w:rPr>
          <w:rFonts w:cs="Arial"/>
          <w:color w:val="000000"/>
          <w:szCs w:val="24"/>
          <w:lang w:eastAsia="en-GB"/>
        </w:rPr>
      </w:pPr>
    </w:p>
    <w:p w14:paraId="1675F2A1" w14:textId="5853888E" w:rsidR="00523472" w:rsidRPr="00523472" w:rsidRDefault="00523472" w:rsidP="00523472">
      <w:pPr>
        <w:tabs>
          <w:tab w:val="left" w:pos="1680"/>
        </w:tabs>
        <w:rPr>
          <w:rFonts w:cs="Arial"/>
          <w:color w:val="000000"/>
          <w:szCs w:val="24"/>
          <w:lang w:eastAsia="en-GB"/>
        </w:rPr>
      </w:pPr>
      <w:r w:rsidRPr="00523472">
        <w:rPr>
          <w:rFonts w:cs="Arial"/>
          <w:color w:val="000000"/>
          <w:szCs w:val="24"/>
          <w:lang w:eastAsia="en-GB"/>
        </w:rPr>
        <w:t>Family related leave and pay entitlements provided support to working parents during different life events.  Providing more support to working parents would help with recruitment, retention and the wellbeing of staff.  It was therefore proposed that Council developed new HR policies and procedures for both Fertility Treatment and Neonatal Care.</w:t>
      </w:r>
    </w:p>
    <w:p w14:paraId="3F3DCDFB" w14:textId="77777777" w:rsidR="00523472" w:rsidRDefault="00523472" w:rsidP="00523472">
      <w:pPr>
        <w:tabs>
          <w:tab w:val="left" w:pos="1680"/>
        </w:tabs>
        <w:rPr>
          <w:rFonts w:cs="Arial"/>
          <w:b/>
          <w:bCs/>
          <w:color w:val="000000"/>
          <w:szCs w:val="24"/>
          <w:lang w:eastAsia="en-GB"/>
        </w:rPr>
      </w:pPr>
    </w:p>
    <w:p w14:paraId="3753EE6C" w14:textId="3FD3E67B" w:rsidR="00523472" w:rsidRPr="00523472" w:rsidRDefault="00523472" w:rsidP="00523472">
      <w:pPr>
        <w:tabs>
          <w:tab w:val="left" w:pos="1680"/>
        </w:tabs>
        <w:rPr>
          <w:rFonts w:cs="Arial"/>
          <w:b/>
          <w:bCs/>
          <w:szCs w:val="24"/>
        </w:rPr>
      </w:pPr>
      <w:r w:rsidRPr="00523472">
        <w:rPr>
          <w:rFonts w:cs="Arial"/>
          <w:b/>
          <w:bCs/>
          <w:color w:val="000000"/>
          <w:szCs w:val="24"/>
          <w:lang w:eastAsia="en-GB"/>
        </w:rPr>
        <w:t>Fertility Treatment Background</w:t>
      </w:r>
    </w:p>
    <w:p w14:paraId="29EE843F" w14:textId="77777777" w:rsidR="00523472" w:rsidRPr="00523472" w:rsidRDefault="00523472" w:rsidP="00523472">
      <w:pPr>
        <w:tabs>
          <w:tab w:val="left" w:pos="1680"/>
        </w:tabs>
        <w:rPr>
          <w:rFonts w:cs="Arial"/>
          <w:szCs w:val="24"/>
        </w:rPr>
      </w:pPr>
    </w:p>
    <w:p w14:paraId="3E5424A7" w14:textId="5C695098" w:rsidR="00523472" w:rsidRPr="00523472" w:rsidRDefault="00523472" w:rsidP="00523472">
      <w:pPr>
        <w:pStyle w:val="NoSpacing"/>
        <w:rPr>
          <w:rFonts w:ascii="Arial" w:hAnsi="Arial" w:cs="Arial"/>
          <w:sz w:val="24"/>
          <w:szCs w:val="24"/>
          <w:lang w:val="en-US"/>
        </w:rPr>
      </w:pPr>
      <w:r w:rsidRPr="00523472">
        <w:rPr>
          <w:rFonts w:ascii="Arial" w:hAnsi="Arial" w:cs="Arial"/>
          <w:sz w:val="24"/>
          <w:szCs w:val="24"/>
          <w:lang w:val="en-US"/>
        </w:rPr>
        <w:t>The NHS suggest</w:t>
      </w:r>
      <w:r w:rsidR="0011488E">
        <w:rPr>
          <w:rFonts w:ascii="Arial" w:hAnsi="Arial" w:cs="Arial"/>
          <w:sz w:val="24"/>
          <w:szCs w:val="24"/>
          <w:lang w:val="en-US"/>
        </w:rPr>
        <w:t>ed</w:t>
      </w:r>
      <w:r w:rsidRPr="00523472">
        <w:rPr>
          <w:rFonts w:ascii="Arial" w:hAnsi="Arial" w:cs="Arial"/>
          <w:sz w:val="24"/>
          <w:szCs w:val="24"/>
          <w:lang w:val="en-US"/>
        </w:rPr>
        <w:t xml:space="preserve"> that infertility affects one in seven couples. </w:t>
      </w:r>
    </w:p>
    <w:p w14:paraId="3D0EE440" w14:textId="77777777" w:rsidR="00523472" w:rsidRPr="00523472" w:rsidRDefault="00523472" w:rsidP="00523472">
      <w:pPr>
        <w:pStyle w:val="NoSpacing"/>
        <w:rPr>
          <w:rFonts w:ascii="Arial" w:hAnsi="Arial" w:cs="Arial"/>
          <w:sz w:val="24"/>
          <w:szCs w:val="24"/>
          <w:lang w:val="en-US"/>
        </w:rPr>
      </w:pPr>
    </w:p>
    <w:p w14:paraId="7F572CF5" w14:textId="012E47DA" w:rsidR="00523472" w:rsidRPr="00523472" w:rsidRDefault="00523472" w:rsidP="00523472">
      <w:pPr>
        <w:pStyle w:val="NoSpacing"/>
        <w:rPr>
          <w:rFonts w:ascii="Arial" w:hAnsi="Arial" w:cs="Arial"/>
          <w:sz w:val="24"/>
          <w:szCs w:val="24"/>
          <w:lang w:val="en-US"/>
        </w:rPr>
      </w:pPr>
      <w:r w:rsidRPr="00523472">
        <w:rPr>
          <w:rFonts w:ascii="Arial" w:hAnsi="Arial" w:cs="Arial"/>
          <w:sz w:val="24"/>
          <w:szCs w:val="24"/>
          <w:lang w:val="en-US"/>
        </w:rPr>
        <w:t xml:space="preserve">In vitro fertilization (IVF) </w:t>
      </w:r>
      <w:r>
        <w:rPr>
          <w:rFonts w:ascii="Arial" w:hAnsi="Arial" w:cs="Arial"/>
          <w:sz w:val="24"/>
          <w:szCs w:val="24"/>
          <w:lang w:val="en-US"/>
        </w:rPr>
        <w:t>was</w:t>
      </w:r>
      <w:r w:rsidRPr="00523472">
        <w:rPr>
          <w:rFonts w:ascii="Arial" w:hAnsi="Arial" w:cs="Arial"/>
          <w:sz w:val="24"/>
          <w:szCs w:val="24"/>
          <w:lang w:val="en-US"/>
        </w:rPr>
        <w:t xml:space="preserve"> demanding and involve</w:t>
      </w:r>
      <w:r>
        <w:rPr>
          <w:rFonts w:ascii="Arial" w:hAnsi="Arial" w:cs="Arial"/>
          <w:sz w:val="24"/>
          <w:szCs w:val="24"/>
          <w:lang w:val="en-US"/>
        </w:rPr>
        <w:t>d</w:t>
      </w:r>
      <w:r w:rsidRPr="00523472">
        <w:rPr>
          <w:rFonts w:ascii="Arial" w:hAnsi="Arial" w:cs="Arial"/>
          <w:sz w:val="24"/>
          <w:szCs w:val="24"/>
          <w:lang w:val="en-US"/>
        </w:rPr>
        <w:t xml:space="preserve"> daily medication and frequent appointments. It </w:t>
      </w:r>
      <w:r>
        <w:rPr>
          <w:rFonts w:ascii="Arial" w:hAnsi="Arial" w:cs="Arial"/>
          <w:sz w:val="24"/>
          <w:szCs w:val="24"/>
          <w:lang w:val="en-US"/>
        </w:rPr>
        <w:t>could</w:t>
      </w:r>
      <w:r w:rsidRPr="00523472">
        <w:rPr>
          <w:rFonts w:ascii="Arial" w:hAnsi="Arial" w:cs="Arial"/>
          <w:sz w:val="24"/>
          <w:szCs w:val="24"/>
          <w:lang w:val="en-US"/>
        </w:rPr>
        <w:t xml:space="preserve"> be a stressful, costly, and risky process and be emotionally draining for those undergoing treatment.</w:t>
      </w:r>
    </w:p>
    <w:p w14:paraId="4E64BEAB" w14:textId="77777777" w:rsidR="00523472" w:rsidRDefault="00523472" w:rsidP="00523472">
      <w:pPr>
        <w:pStyle w:val="NoSpacing"/>
        <w:rPr>
          <w:rFonts w:ascii="Arial" w:hAnsi="Arial" w:cs="Arial"/>
          <w:sz w:val="24"/>
          <w:szCs w:val="24"/>
          <w:lang w:val="en-US"/>
        </w:rPr>
      </w:pPr>
    </w:p>
    <w:p w14:paraId="09F39624" w14:textId="36C0B1D6" w:rsidR="00523472" w:rsidRDefault="00523472" w:rsidP="00523472">
      <w:pPr>
        <w:pStyle w:val="NoSpacing"/>
        <w:rPr>
          <w:rFonts w:ascii="Arial" w:hAnsi="Arial" w:cs="Arial"/>
          <w:sz w:val="24"/>
          <w:szCs w:val="24"/>
          <w:lang w:val="en-US"/>
        </w:rPr>
      </w:pPr>
      <w:r>
        <w:rPr>
          <w:rFonts w:ascii="Arial" w:hAnsi="Arial" w:cs="Arial"/>
          <w:sz w:val="24"/>
          <w:szCs w:val="24"/>
          <w:lang w:val="en-US"/>
        </w:rPr>
        <w:t>Currently there was no legal right for time off work for fertility treatment. Employers often treated fertility appointments the same as any other medical or dental appointment. However, any sickness should be treated like any other sickness if unable to work.</w:t>
      </w:r>
    </w:p>
    <w:p w14:paraId="60D3ABC2" w14:textId="77777777" w:rsidR="00523472" w:rsidRDefault="00523472" w:rsidP="00523472">
      <w:pPr>
        <w:pStyle w:val="NoSpacing"/>
        <w:rPr>
          <w:rFonts w:ascii="Arial" w:hAnsi="Arial" w:cs="Arial"/>
          <w:sz w:val="24"/>
          <w:szCs w:val="24"/>
          <w:lang w:val="en-US"/>
        </w:rPr>
      </w:pPr>
    </w:p>
    <w:p w14:paraId="337112A9" w14:textId="77777777" w:rsidR="00523472" w:rsidRDefault="00523472" w:rsidP="00523472">
      <w:pPr>
        <w:pStyle w:val="NoSpacing"/>
        <w:rPr>
          <w:rFonts w:ascii="Arial" w:hAnsi="Arial" w:cs="Arial"/>
          <w:b/>
          <w:bCs/>
          <w:sz w:val="24"/>
          <w:szCs w:val="24"/>
          <w:lang w:val="en-US"/>
        </w:rPr>
      </w:pPr>
      <w:r>
        <w:rPr>
          <w:rFonts w:ascii="Arial" w:hAnsi="Arial" w:cs="Arial"/>
          <w:b/>
          <w:bCs/>
          <w:sz w:val="24"/>
          <w:szCs w:val="24"/>
          <w:lang w:val="en-US"/>
        </w:rPr>
        <w:t>Fertility Treatment (Employment Rights) Bill</w:t>
      </w:r>
    </w:p>
    <w:p w14:paraId="13E5A76D" w14:textId="77777777" w:rsidR="00523472" w:rsidRDefault="00523472" w:rsidP="00523472">
      <w:pPr>
        <w:pStyle w:val="NoSpacing"/>
        <w:rPr>
          <w:rFonts w:ascii="Arial" w:hAnsi="Arial" w:cs="Arial"/>
          <w:sz w:val="24"/>
          <w:szCs w:val="24"/>
          <w:lang w:val="en-US"/>
        </w:rPr>
      </w:pPr>
    </w:p>
    <w:p w14:paraId="6C54C5C1" w14:textId="77777777" w:rsidR="00523472" w:rsidRDefault="00523472" w:rsidP="00523472">
      <w:pPr>
        <w:pStyle w:val="NoSpacing"/>
        <w:rPr>
          <w:rFonts w:ascii="Arial" w:hAnsi="Arial" w:cs="Arial"/>
          <w:sz w:val="24"/>
          <w:szCs w:val="24"/>
          <w:lang w:val="en-US"/>
        </w:rPr>
      </w:pPr>
      <w:r>
        <w:rPr>
          <w:rFonts w:ascii="Arial" w:hAnsi="Arial" w:cs="Arial"/>
          <w:sz w:val="24"/>
          <w:szCs w:val="24"/>
          <w:lang w:val="en-US"/>
        </w:rPr>
        <w:t>A Private Members’ Bill was brought to Parliament in to improve workplace protection for employees undergoing IVF, the Fertility Treatment (Employment Rights) Bill.  A Westminster Hall debate was due to take place in November 2023 but was cancelled.</w:t>
      </w:r>
    </w:p>
    <w:p w14:paraId="0B33700F" w14:textId="77777777" w:rsidR="00523472" w:rsidRDefault="00523472" w:rsidP="00523472">
      <w:pPr>
        <w:pStyle w:val="NoSpacing"/>
        <w:rPr>
          <w:rFonts w:ascii="Arial" w:hAnsi="Arial" w:cs="Arial"/>
          <w:sz w:val="24"/>
          <w:szCs w:val="24"/>
          <w:lang w:val="en-US"/>
        </w:rPr>
      </w:pPr>
    </w:p>
    <w:p w14:paraId="4F5E9523" w14:textId="00750779" w:rsidR="00523472" w:rsidRPr="00523472" w:rsidRDefault="00523472" w:rsidP="00523472">
      <w:pPr>
        <w:pStyle w:val="NoSpacing"/>
        <w:rPr>
          <w:rFonts w:ascii="Arial" w:hAnsi="Arial" w:cs="Arial"/>
          <w:sz w:val="24"/>
          <w:szCs w:val="24"/>
          <w:lang w:val="en-US"/>
        </w:rPr>
      </w:pPr>
      <w:r>
        <w:rPr>
          <w:rFonts w:ascii="Arial" w:hAnsi="Arial" w:cs="Arial"/>
          <w:sz w:val="24"/>
          <w:szCs w:val="24"/>
          <w:lang w:val="en-US"/>
        </w:rPr>
        <w:t xml:space="preserve">The Bill proposed employers allowed an employee to take paid time off work to attend fertility treatment appointments.  In addition, an employee who had a ‘qualifying relationship’ with a person receiving fertility treatment would be entitled to </w:t>
      </w:r>
      <w:r w:rsidRPr="00523472">
        <w:rPr>
          <w:rFonts w:ascii="Arial" w:hAnsi="Arial" w:cs="Arial"/>
          <w:sz w:val="24"/>
          <w:szCs w:val="24"/>
          <w:lang w:val="en-US"/>
        </w:rPr>
        <w:t>take unpaid time off work to accompany the person to the appointments.</w:t>
      </w:r>
    </w:p>
    <w:p w14:paraId="7A8C4790" w14:textId="77777777" w:rsidR="00523472" w:rsidRPr="00523472" w:rsidRDefault="00523472" w:rsidP="00523472">
      <w:pPr>
        <w:pStyle w:val="NoSpacing"/>
        <w:rPr>
          <w:rFonts w:ascii="Arial" w:hAnsi="Arial" w:cs="Arial"/>
          <w:sz w:val="24"/>
          <w:szCs w:val="24"/>
          <w:lang w:val="en-US"/>
        </w:rPr>
      </w:pPr>
    </w:p>
    <w:p w14:paraId="72A25612" w14:textId="6C4C7E4D" w:rsidR="00523472" w:rsidRPr="00523472" w:rsidRDefault="00523472" w:rsidP="00523472">
      <w:pPr>
        <w:tabs>
          <w:tab w:val="left" w:pos="1680"/>
        </w:tabs>
        <w:rPr>
          <w:rFonts w:cs="Arial"/>
          <w:szCs w:val="24"/>
          <w:lang w:val="en-US"/>
        </w:rPr>
      </w:pPr>
      <w:r w:rsidRPr="00523472">
        <w:rPr>
          <w:rFonts w:cs="Arial"/>
          <w:szCs w:val="24"/>
          <w:lang w:val="en-US"/>
        </w:rPr>
        <w:t xml:space="preserve">Given the impacts on an employee’s health and wellbeing, it was considered good practice to treat requests for time off for fertility treatment sympathetically and consider adopting a procedure for dealing with such requests to give the highest chance of success as possible.  </w:t>
      </w:r>
    </w:p>
    <w:p w14:paraId="58CCECFE" w14:textId="77777777" w:rsidR="00523472" w:rsidRDefault="00523472" w:rsidP="00523472">
      <w:pPr>
        <w:pStyle w:val="NoSpacing"/>
        <w:rPr>
          <w:rFonts w:ascii="Arial" w:hAnsi="Arial" w:cs="Arial"/>
          <w:sz w:val="24"/>
          <w:szCs w:val="24"/>
          <w:lang w:val="en-US"/>
        </w:rPr>
      </w:pPr>
    </w:p>
    <w:p w14:paraId="48ACC13C" w14:textId="77777777" w:rsidR="00523472" w:rsidRDefault="00523472" w:rsidP="00523472">
      <w:pPr>
        <w:pStyle w:val="NoSpacing"/>
        <w:rPr>
          <w:rFonts w:ascii="Arial" w:hAnsi="Arial" w:cs="Arial"/>
          <w:b/>
          <w:bCs/>
          <w:sz w:val="24"/>
          <w:szCs w:val="24"/>
          <w:lang w:val="en-US"/>
        </w:rPr>
      </w:pPr>
      <w:r>
        <w:rPr>
          <w:rFonts w:ascii="Arial" w:hAnsi="Arial" w:cs="Arial"/>
          <w:b/>
          <w:bCs/>
          <w:sz w:val="24"/>
          <w:szCs w:val="24"/>
          <w:lang w:val="en-US"/>
        </w:rPr>
        <w:t xml:space="preserve">Benchmarking </w:t>
      </w:r>
    </w:p>
    <w:p w14:paraId="267E0965" w14:textId="77777777" w:rsidR="00523472" w:rsidRDefault="00523472" w:rsidP="00523472">
      <w:pPr>
        <w:pStyle w:val="NoSpacing"/>
        <w:rPr>
          <w:rFonts w:ascii="Arial" w:hAnsi="Arial" w:cs="Arial"/>
          <w:b/>
          <w:bCs/>
          <w:sz w:val="24"/>
          <w:szCs w:val="24"/>
          <w:lang w:val="en-US"/>
        </w:rPr>
      </w:pPr>
    </w:p>
    <w:p w14:paraId="4C3B1F10" w14:textId="77777777" w:rsidR="00523472" w:rsidRDefault="00523472" w:rsidP="00523472">
      <w:pPr>
        <w:pStyle w:val="NoSpacing"/>
        <w:tabs>
          <w:tab w:val="left" w:pos="3720"/>
        </w:tabs>
        <w:rPr>
          <w:rFonts w:ascii="Arial" w:hAnsi="Arial" w:cs="Arial"/>
          <w:sz w:val="24"/>
          <w:szCs w:val="24"/>
          <w:lang w:val="en-US"/>
        </w:rPr>
      </w:pPr>
      <w:r>
        <w:rPr>
          <w:rFonts w:ascii="Arial" w:hAnsi="Arial" w:cs="Arial"/>
          <w:sz w:val="24"/>
          <w:szCs w:val="24"/>
          <w:lang w:val="en-US"/>
        </w:rPr>
        <w:t>A benchmarking exercise was carried out in 2023 to determine which other Councils in Northern Ireland have a Fertility Treatment policy.</w:t>
      </w:r>
    </w:p>
    <w:p w14:paraId="13238B92" w14:textId="77777777" w:rsidR="00523472" w:rsidRDefault="00523472" w:rsidP="00523472">
      <w:pPr>
        <w:pStyle w:val="NoSpacing"/>
        <w:tabs>
          <w:tab w:val="left" w:pos="3720"/>
        </w:tabs>
        <w:rPr>
          <w:rFonts w:ascii="Arial" w:hAnsi="Arial" w:cs="Arial"/>
          <w:sz w:val="24"/>
          <w:szCs w:val="24"/>
          <w:lang w:val="en-US"/>
        </w:rPr>
      </w:pPr>
    </w:p>
    <w:p w14:paraId="55AE22F3" w14:textId="77777777" w:rsidR="00523472" w:rsidRDefault="00523472" w:rsidP="00523472">
      <w:pPr>
        <w:pStyle w:val="NoSpacing"/>
        <w:tabs>
          <w:tab w:val="left" w:pos="3720"/>
        </w:tabs>
        <w:rPr>
          <w:rFonts w:ascii="Arial" w:hAnsi="Arial" w:cs="Arial"/>
          <w:sz w:val="24"/>
          <w:szCs w:val="24"/>
          <w:lang w:val="en-US"/>
        </w:rPr>
      </w:pPr>
      <w:r>
        <w:rPr>
          <w:rFonts w:ascii="Arial" w:hAnsi="Arial" w:cs="Arial"/>
          <w:sz w:val="24"/>
          <w:szCs w:val="24"/>
          <w:lang w:val="en-US"/>
        </w:rPr>
        <w:t>Of the ten Councils contacted, seven responded, five of which said they do not have a policy in place at present.  One Council advised they are currently working on a policy. Belfast City Council was the only Council to have a policy already in place.</w:t>
      </w:r>
    </w:p>
    <w:p w14:paraId="147FA5FD" w14:textId="77777777" w:rsidR="00523472" w:rsidRDefault="00523472" w:rsidP="00523472">
      <w:pPr>
        <w:pStyle w:val="NoSpacing"/>
        <w:tabs>
          <w:tab w:val="left" w:pos="3720"/>
        </w:tabs>
        <w:rPr>
          <w:rFonts w:ascii="Arial" w:hAnsi="Arial" w:cs="Arial"/>
          <w:sz w:val="24"/>
          <w:szCs w:val="24"/>
          <w:lang w:val="en-US"/>
        </w:rPr>
      </w:pPr>
    </w:p>
    <w:p w14:paraId="0539A77B" w14:textId="6CCCAFAD" w:rsidR="00523472" w:rsidRDefault="00523472" w:rsidP="00523472">
      <w:pPr>
        <w:pStyle w:val="NoSpacing"/>
        <w:tabs>
          <w:tab w:val="left" w:pos="3720"/>
        </w:tabs>
        <w:rPr>
          <w:rFonts w:ascii="Arial" w:hAnsi="Arial" w:cs="Arial"/>
          <w:sz w:val="24"/>
          <w:szCs w:val="24"/>
          <w:lang w:val="en-US"/>
        </w:rPr>
      </w:pPr>
      <w:r>
        <w:rPr>
          <w:rFonts w:ascii="Arial" w:hAnsi="Arial" w:cs="Arial"/>
          <w:sz w:val="24"/>
          <w:szCs w:val="24"/>
          <w:lang w:val="en-US"/>
        </w:rPr>
        <w:t>Given so few Councils had a policy in place, further benchmarking was carried out on other organisations. Information gathered was summarised in Table 1:</w:t>
      </w:r>
    </w:p>
    <w:p w14:paraId="0FDADAA6" w14:textId="77777777" w:rsidR="00523472" w:rsidRDefault="00523472" w:rsidP="00523472">
      <w:pPr>
        <w:pStyle w:val="NoSpacing"/>
        <w:rPr>
          <w:rFonts w:ascii="Arial" w:hAnsi="Arial" w:cs="Arial"/>
          <w:b/>
          <w:bCs/>
          <w:sz w:val="24"/>
          <w:szCs w:val="24"/>
          <w:lang w:val="en-US"/>
        </w:rPr>
      </w:pPr>
    </w:p>
    <w:p w14:paraId="5A02D849" w14:textId="77777777" w:rsidR="00523472" w:rsidRDefault="00523472" w:rsidP="00523472">
      <w:pPr>
        <w:pStyle w:val="NoSpacing"/>
        <w:rPr>
          <w:rFonts w:ascii="Arial" w:hAnsi="Arial" w:cs="Arial"/>
          <w:b/>
          <w:bCs/>
          <w:sz w:val="24"/>
          <w:szCs w:val="24"/>
          <w:lang w:val="en-US"/>
        </w:rPr>
      </w:pPr>
      <w:r>
        <w:rPr>
          <w:rFonts w:ascii="Arial" w:hAnsi="Arial" w:cs="Arial"/>
          <w:b/>
          <w:bCs/>
          <w:sz w:val="24"/>
          <w:szCs w:val="24"/>
          <w:lang w:val="en-US"/>
        </w:rPr>
        <w:t>Table 1: Organisations with a Fertility Treatment Policy</w:t>
      </w:r>
    </w:p>
    <w:p w14:paraId="3A305B63" w14:textId="77777777" w:rsidR="00523472" w:rsidRDefault="00523472" w:rsidP="00523472">
      <w:pPr>
        <w:pStyle w:val="NoSpacing"/>
        <w:rPr>
          <w:rFonts w:ascii="Arial" w:hAnsi="Arial" w:cs="Arial"/>
          <w:sz w:val="24"/>
          <w:szCs w:val="24"/>
          <w:lang w:val="en-US"/>
        </w:rPr>
      </w:pPr>
    </w:p>
    <w:tbl>
      <w:tblPr>
        <w:tblStyle w:val="TableGrid"/>
        <w:tblW w:w="0" w:type="auto"/>
        <w:tblInd w:w="0" w:type="dxa"/>
        <w:tblLook w:val="04A0" w:firstRow="1" w:lastRow="0" w:firstColumn="1" w:lastColumn="0" w:noHBand="0" w:noVBand="1"/>
      </w:tblPr>
      <w:tblGrid>
        <w:gridCol w:w="3005"/>
        <w:gridCol w:w="5354"/>
      </w:tblGrid>
      <w:tr w:rsidR="00523472" w14:paraId="4BC95CEC" w14:textId="77777777" w:rsidTr="00BD112E">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EA9E6" w14:textId="77777777" w:rsidR="00523472" w:rsidRDefault="00523472" w:rsidP="00BD112E">
            <w:pPr>
              <w:pStyle w:val="NoSpacing"/>
              <w:rPr>
                <w:rFonts w:ascii="Arial" w:hAnsi="Arial" w:cs="Arial"/>
                <w:b/>
                <w:bCs/>
                <w:sz w:val="24"/>
                <w:szCs w:val="24"/>
                <w:lang w:val="en-US"/>
              </w:rPr>
            </w:pPr>
            <w:r>
              <w:rPr>
                <w:rFonts w:ascii="Arial" w:hAnsi="Arial" w:cs="Arial"/>
                <w:b/>
                <w:bCs/>
                <w:sz w:val="24"/>
                <w:szCs w:val="24"/>
                <w:lang w:val="en-US"/>
              </w:rPr>
              <w:t>Organisation</w:t>
            </w:r>
          </w:p>
          <w:p w14:paraId="5538BA97" w14:textId="77777777" w:rsidR="00523472" w:rsidRDefault="00523472" w:rsidP="00BD112E">
            <w:pPr>
              <w:pStyle w:val="NoSpacing"/>
              <w:rPr>
                <w:rFonts w:ascii="Arial" w:hAnsi="Arial" w:cs="Arial"/>
                <w:b/>
                <w:bCs/>
                <w:sz w:val="24"/>
                <w:szCs w:val="24"/>
                <w:lang w:val="en-US"/>
              </w:rPr>
            </w:pPr>
          </w:p>
        </w:tc>
        <w:tc>
          <w:tcPr>
            <w:tcW w:w="5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B0B31" w14:textId="77777777" w:rsidR="00523472" w:rsidRDefault="00523472" w:rsidP="00BD112E">
            <w:pPr>
              <w:pStyle w:val="NoSpacing"/>
              <w:rPr>
                <w:rFonts w:ascii="Arial" w:hAnsi="Arial" w:cs="Arial"/>
                <w:b/>
                <w:bCs/>
                <w:sz w:val="24"/>
                <w:szCs w:val="24"/>
                <w:lang w:val="en-US"/>
              </w:rPr>
            </w:pPr>
            <w:r>
              <w:rPr>
                <w:rFonts w:ascii="Arial" w:hAnsi="Arial" w:cs="Arial"/>
                <w:b/>
                <w:bCs/>
                <w:sz w:val="24"/>
                <w:szCs w:val="24"/>
                <w:lang w:val="en-US"/>
              </w:rPr>
              <w:t>Policy</w:t>
            </w:r>
          </w:p>
        </w:tc>
      </w:tr>
      <w:tr w:rsidR="00523472" w14:paraId="232C9340"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06FEA8F9"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Belfast City Council</w:t>
            </w:r>
          </w:p>
        </w:tc>
        <w:tc>
          <w:tcPr>
            <w:tcW w:w="5354" w:type="dxa"/>
            <w:tcBorders>
              <w:top w:val="single" w:sz="4" w:space="0" w:color="auto"/>
              <w:left w:val="single" w:sz="4" w:space="0" w:color="auto"/>
              <w:bottom w:val="single" w:sz="4" w:space="0" w:color="auto"/>
              <w:right w:val="single" w:sz="4" w:space="0" w:color="auto"/>
            </w:tcBorders>
          </w:tcPr>
          <w:p w14:paraId="72A506C3"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 xml:space="preserve">Paid time off for medical appointments – no limit. </w:t>
            </w:r>
          </w:p>
          <w:p w14:paraId="40014A6B" w14:textId="77777777" w:rsidR="00523472" w:rsidRDefault="00523472" w:rsidP="00BD112E">
            <w:pPr>
              <w:pStyle w:val="NoSpacing"/>
              <w:rPr>
                <w:rFonts w:ascii="Arial" w:hAnsi="Arial" w:cs="Arial"/>
                <w:sz w:val="24"/>
                <w:szCs w:val="24"/>
                <w:lang w:val="en-US"/>
              </w:rPr>
            </w:pPr>
          </w:p>
          <w:p w14:paraId="0C90D426"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Up to ten days full pay from day one of employment if treatment is unsuccessful or miscarriage occurs. Three days bereavement leave for an employee if their partner or surrogate suffers a miscarriage.</w:t>
            </w:r>
          </w:p>
          <w:p w14:paraId="2B277126" w14:textId="77777777" w:rsidR="00523472" w:rsidRDefault="00523472" w:rsidP="00BD112E">
            <w:pPr>
              <w:pStyle w:val="NoSpacing"/>
              <w:rPr>
                <w:rFonts w:ascii="Arial" w:hAnsi="Arial" w:cs="Arial"/>
                <w:sz w:val="24"/>
                <w:szCs w:val="24"/>
                <w:lang w:val="en-US"/>
              </w:rPr>
            </w:pPr>
          </w:p>
        </w:tc>
      </w:tr>
      <w:tr w:rsidR="00523472" w14:paraId="783288C5" w14:textId="77777777" w:rsidTr="00BD112E">
        <w:tc>
          <w:tcPr>
            <w:tcW w:w="3005" w:type="dxa"/>
            <w:tcBorders>
              <w:top w:val="single" w:sz="4" w:space="0" w:color="auto"/>
              <w:left w:val="single" w:sz="4" w:space="0" w:color="auto"/>
              <w:bottom w:val="single" w:sz="4" w:space="0" w:color="auto"/>
              <w:right w:val="single" w:sz="4" w:space="0" w:color="auto"/>
            </w:tcBorders>
          </w:tcPr>
          <w:p w14:paraId="0019CCEE"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Business Services Organisation (BSO)</w:t>
            </w:r>
          </w:p>
          <w:p w14:paraId="78D76F4B" w14:textId="77777777" w:rsidR="00523472" w:rsidRDefault="00523472" w:rsidP="00BD112E">
            <w:pPr>
              <w:pStyle w:val="NoSpacing"/>
              <w:rPr>
                <w:rFonts w:ascii="Arial" w:hAnsi="Arial" w:cs="Arial"/>
                <w:sz w:val="24"/>
                <w:szCs w:val="24"/>
                <w:lang w:val="en-US"/>
              </w:rPr>
            </w:pPr>
          </w:p>
        </w:tc>
        <w:tc>
          <w:tcPr>
            <w:tcW w:w="5354" w:type="dxa"/>
            <w:tcBorders>
              <w:top w:val="single" w:sz="4" w:space="0" w:color="auto"/>
              <w:left w:val="single" w:sz="4" w:space="0" w:color="auto"/>
              <w:bottom w:val="single" w:sz="4" w:space="0" w:color="auto"/>
              <w:right w:val="single" w:sz="4" w:space="0" w:color="auto"/>
            </w:tcBorders>
          </w:tcPr>
          <w:p w14:paraId="7BD59039"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Special leave policy is currently with trade unions for consultation.  Proposal is a new IVF section with paid time off for appointments. A maximum of three days paid time off for treatment, in a twelve-month rolling period, pro-rata for part time employees. Fathers and same sex partners also to be given appropriate paid time off.</w:t>
            </w:r>
          </w:p>
          <w:p w14:paraId="4B0ACBA0" w14:textId="77777777" w:rsidR="00523472" w:rsidRDefault="00523472" w:rsidP="00BD112E">
            <w:pPr>
              <w:pStyle w:val="NoSpacing"/>
              <w:rPr>
                <w:rFonts w:ascii="Arial" w:hAnsi="Arial" w:cs="Arial"/>
                <w:sz w:val="24"/>
                <w:szCs w:val="24"/>
                <w:lang w:val="en-US"/>
              </w:rPr>
            </w:pPr>
          </w:p>
        </w:tc>
      </w:tr>
      <w:tr w:rsidR="00523472" w14:paraId="743A1518"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45B5F0FE"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Imperial College London</w:t>
            </w:r>
          </w:p>
        </w:tc>
        <w:tc>
          <w:tcPr>
            <w:tcW w:w="5354" w:type="dxa"/>
            <w:tcBorders>
              <w:top w:val="single" w:sz="4" w:space="0" w:color="auto"/>
              <w:left w:val="single" w:sz="4" w:space="0" w:color="auto"/>
              <w:bottom w:val="single" w:sz="4" w:space="0" w:color="auto"/>
              <w:right w:val="single" w:sz="4" w:space="0" w:color="auto"/>
            </w:tcBorders>
          </w:tcPr>
          <w:p w14:paraId="6FEB0AD3"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Up to five days paid leave if an employee has worked for 12 months or more.</w:t>
            </w:r>
          </w:p>
          <w:p w14:paraId="270B3697" w14:textId="77777777" w:rsidR="00523472" w:rsidRDefault="00523472" w:rsidP="00BD112E">
            <w:pPr>
              <w:pStyle w:val="NoSpacing"/>
              <w:rPr>
                <w:rFonts w:ascii="Arial" w:hAnsi="Arial" w:cs="Arial"/>
                <w:sz w:val="24"/>
                <w:szCs w:val="24"/>
                <w:lang w:val="en-US"/>
              </w:rPr>
            </w:pPr>
          </w:p>
        </w:tc>
      </w:tr>
      <w:tr w:rsidR="00523472" w14:paraId="215967F6"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73483C8A"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Manchester University</w:t>
            </w:r>
          </w:p>
        </w:tc>
        <w:tc>
          <w:tcPr>
            <w:tcW w:w="5354" w:type="dxa"/>
            <w:tcBorders>
              <w:top w:val="single" w:sz="4" w:space="0" w:color="auto"/>
              <w:left w:val="single" w:sz="4" w:space="0" w:color="auto"/>
              <w:bottom w:val="single" w:sz="4" w:space="0" w:color="auto"/>
              <w:right w:val="single" w:sz="4" w:space="0" w:color="auto"/>
            </w:tcBorders>
          </w:tcPr>
          <w:p w14:paraId="35478008"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Up to five days leave per cycle limited to one cycle in twelve months and no more than three cycles in total.</w:t>
            </w:r>
          </w:p>
          <w:p w14:paraId="13077D2A" w14:textId="77777777" w:rsidR="00523472" w:rsidRDefault="00523472" w:rsidP="00BD112E">
            <w:pPr>
              <w:pStyle w:val="NoSpacing"/>
              <w:rPr>
                <w:rFonts w:ascii="Arial" w:hAnsi="Arial" w:cs="Arial"/>
                <w:sz w:val="24"/>
                <w:szCs w:val="24"/>
                <w:lang w:val="en-US"/>
              </w:rPr>
            </w:pPr>
          </w:p>
        </w:tc>
      </w:tr>
      <w:tr w:rsidR="00523472" w14:paraId="5C71294A"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7DF60894"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Pricewaterhouse Coopers</w:t>
            </w:r>
          </w:p>
        </w:tc>
        <w:tc>
          <w:tcPr>
            <w:tcW w:w="5354" w:type="dxa"/>
            <w:tcBorders>
              <w:top w:val="single" w:sz="4" w:space="0" w:color="auto"/>
              <w:left w:val="single" w:sz="4" w:space="0" w:color="auto"/>
              <w:bottom w:val="single" w:sz="4" w:space="0" w:color="auto"/>
              <w:right w:val="single" w:sz="4" w:space="0" w:color="auto"/>
            </w:tcBorders>
          </w:tcPr>
          <w:p w14:paraId="62B40927"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Up to eight days paid fertility leave to any employee undergoing fertility treatment and up to two days paid leave for anyone whose Partner is undergoing fertility treatment.</w:t>
            </w:r>
          </w:p>
          <w:p w14:paraId="2FD012E2" w14:textId="77777777" w:rsidR="00523472" w:rsidRDefault="00523472" w:rsidP="00BD112E">
            <w:pPr>
              <w:pStyle w:val="NoSpacing"/>
              <w:rPr>
                <w:rFonts w:ascii="Arial" w:hAnsi="Arial" w:cs="Arial"/>
                <w:sz w:val="24"/>
                <w:szCs w:val="24"/>
                <w:lang w:val="en-US"/>
              </w:rPr>
            </w:pPr>
          </w:p>
        </w:tc>
      </w:tr>
      <w:tr w:rsidR="00523472" w14:paraId="743E530D"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7C49D6C4"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Lidl Northern Ireland</w:t>
            </w:r>
          </w:p>
        </w:tc>
        <w:tc>
          <w:tcPr>
            <w:tcW w:w="5354" w:type="dxa"/>
            <w:tcBorders>
              <w:top w:val="single" w:sz="4" w:space="0" w:color="auto"/>
              <w:left w:val="single" w:sz="4" w:space="0" w:color="auto"/>
              <w:bottom w:val="single" w:sz="4" w:space="0" w:color="auto"/>
              <w:right w:val="single" w:sz="4" w:space="0" w:color="auto"/>
            </w:tcBorders>
          </w:tcPr>
          <w:p w14:paraId="37C12A12"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Two days paid leave per IVF cycle which is unlimited in the number of IVF cycles will be supported through as well as support for staff undergoing egg freezing.</w:t>
            </w:r>
          </w:p>
          <w:p w14:paraId="0877BA9A" w14:textId="77777777" w:rsidR="00523472" w:rsidRDefault="00523472" w:rsidP="00BD112E">
            <w:pPr>
              <w:pStyle w:val="NoSpacing"/>
              <w:rPr>
                <w:rFonts w:ascii="Arial" w:hAnsi="Arial" w:cs="Arial"/>
                <w:sz w:val="24"/>
                <w:szCs w:val="24"/>
                <w:lang w:val="en-US"/>
              </w:rPr>
            </w:pPr>
          </w:p>
        </w:tc>
      </w:tr>
      <w:tr w:rsidR="00523472" w14:paraId="7CF19957" w14:textId="77777777" w:rsidTr="00BD112E">
        <w:tc>
          <w:tcPr>
            <w:tcW w:w="3005" w:type="dxa"/>
            <w:tcBorders>
              <w:top w:val="single" w:sz="4" w:space="0" w:color="auto"/>
              <w:left w:val="single" w:sz="4" w:space="0" w:color="auto"/>
              <w:bottom w:val="single" w:sz="4" w:space="0" w:color="auto"/>
              <w:right w:val="single" w:sz="4" w:space="0" w:color="auto"/>
            </w:tcBorders>
            <w:hideMark/>
          </w:tcPr>
          <w:p w14:paraId="160500E7"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Co-op</w:t>
            </w:r>
          </w:p>
        </w:tc>
        <w:tc>
          <w:tcPr>
            <w:tcW w:w="5354" w:type="dxa"/>
            <w:tcBorders>
              <w:top w:val="single" w:sz="4" w:space="0" w:color="auto"/>
              <w:left w:val="single" w:sz="4" w:space="0" w:color="auto"/>
              <w:bottom w:val="single" w:sz="4" w:space="0" w:color="auto"/>
              <w:right w:val="single" w:sz="4" w:space="0" w:color="auto"/>
            </w:tcBorders>
            <w:hideMark/>
          </w:tcPr>
          <w:p w14:paraId="5900560A" w14:textId="77777777" w:rsidR="00523472" w:rsidRDefault="00523472" w:rsidP="00BD112E">
            <w:pPr>
              <w:pStyle w:val="NoSpacing"/>
              <w:rPr>
                <w:rFonts w:ascii="Arial" w:hAnsi="Arial" w:cs="Arial"/>
                <w:sz w:val="24"/>
                <w:szCs w:val="24"/>
                <w:lang w:val="en-US"/>
              </w:rPr>
            </w:pPr>
            <w:r>
              <w:rPr>
                <w:rFonts w:ascii="Arial" w:hAnsi="Arial" w:cs="Arial"/>
                <w:sz w:val="24"/>
                <w:szCs w:val="24"/>
                <w:lang w:val="en-US"/>
              </w:rPr>
              <w:t xml:space="preserve">From day one of employment, a reasonable amount of paid time off to attend appointments to prepare for or undergo treatment. As a guide, paid leave for up to ten appointments per cycle, for up to three cycles of fertility treatment but some situations may need more or less. </w:t>
            </w:r>
          </w:p>
        </w:tc>
      </w:tr>
    </w:tbl>
    <w:p w14:paraId="71802737" w14:textId="77777777" w:rsidR="00523472" w:rsidRPr="00523472" w:rsidRDefault="00523472" w:rsidP="00523472">
      <w:pPr>
        <w:tabs>
          <w:tab w:val="left" w:pos="1680"/>
        </w:tabs>
        <w:rPr>
          <w:rFonts w:cs="Arial"/>
          <w:szCs w:val="24"/>
        </w:rPr>
      </w:pPr>
    </w:p>
    <w:p w14:paraId="5C6D6DE7" w14:textId="2B9E2923" w:rsidR="00523472" w:rsidRPr="00523472" w:rsidRDefault="00523472" w:rsidP="00523472">
      <w:pPr>
        <w:tabs>
          <w:tab w:val="left" w:pos="1680"/>
        </w:tabs>
        <w:rPr>
          <w:rFonts w:cs="Arial"/>
          <w:szCs w:val="24"/>
          <w:lang w:val="en-US"/>
        </w:rPr>
      </w:pPr>
      <w:r w:rsidRPr="00523472">
        <w:rPr>
          <w:rFonts w:cs="Arial"/>
          <w:szCs w:val="24"/>
          <w:lang w:val="en-US"/>
        </w:rPr>
        <w:t xml:space="preserve">A draft Fertility Treatment policy and procedure </w:t>
      </w:r>
      <w:r>
        <w:rPr>
          <w:rFonts w:cs="Arial"/>
          <w:szCs w:val="24"/>
          <w:lang w:val="en-US"/>
        </w:rPr>
        <w:t>was</w:t>
      </w:r>
      <w:r w:rsidRPr="00523472">
        <w:rPr>
          <w:rFonts w:cs="Arial"/>
          <w:szCs w:val="24"/>
          <w:lang w:val="en-US"/>
        </w:rPr>
        <w:t xml:space="preserve"> attached</w:t>
      </w:r>
      <w:r>
        <w:rPr>
          <w:rFonts w:cs="Arial"/>
          <w:szCs w:val="24"/>
          <w:lang w:val="en-US"/>
        </w:rPr>
        <w:t xml:space="preserve"> to the report</w:t>
      </w:r>
      <w:r w:rsidRPr="00523472">
        <w:rPr>
          <w:rFonts w:cs="Arial"/>
          <w:szCs w:val="24"/>
          <w:lang w:val="en-US"/>
        </w:rPr>
        <w:t xml:space="preserve">, to enable employees to take time off work for coping with fertility treatment and to provide access to support.  </w:t>
      </w:r>
    </w:p>
    <w:p w14:paraId="6D1E19BF" w14:textId="77777777" w:rsidR="00523472" w:rsidRPr="00523472" w:rsidRDefault="00523472" w:rsidP="00523472">
      <w:pPr>
        <w:tabs>
          <w:tab w:val="left" w:pos="1680"/>
        </w:tabs>
        <w:rPr>
          <w:rFonts w:cs="Arial"/>
          <w:szCs w:val="24"/>
          <w:lang w:val="en-US"/>
        </w:rPr>
      </w:pPr>
    </w:p>
    <w:p w14:paraId="36CEA4A1" w14:textId="6C3FFF74" w:rsidR="00523472" w:rsidRPr="00523472" w:rsidRDefault="00523472" w:rsidP="00523472">
      <w:pPr>
        <w:tabs>
          <w:tab w:val="left" w:pos="1680"/>
        </w:tabs>
        <w:rPr>
          <w:rFonts w:cs="Arial"/>
          <w:szCs w:val="24"/>
          <w:lang w:val="en-US"/>
        </w:rPr>
      </w:pPr>
      <w:r w:rsidRPr="00523472">
        <w:rPr>
          <w:rFonts w:cs="Arial"/>
          <w:szCs w:val="24"/>
          <w:lang w:val="en-US"/>
        </w:rPr>
        <w:t xml:space="preserve">The financial and operational impact to the organisation </w:t>
      </w:r>
      <w:r w:rsidR="003908F2">
        <w:rPr>
          <w:rFonts w:cs="Arial"/>
          <w:szCs w:val="24"/>
          <w:lang w:val="en-US"/>
        </w:rPr>
        <w:t>was</w:t>
      </w:r>
      <w:r w:rsidRPr="00523472">
        <w:rPr>
          <w:rFonts w:cs="Arial"/>
          <w:szCs w:val="24"/>
          <w:lang w:val="en-US"/>
        </w:rPr>
        <w:t xml:space="preserve"> likely to be low and the benefits of introducing such a policy include Council being recognised as an Employer of Choice who support staff and their families.  </w:t>
      </w:r>
    </w:p>
    <w:p w14:paraId="308E923A" w14:textId="77777777" w:rsidR="00523472" w:rsidRPr="003908F2" w:rsidRDefault="00523472" w:rsidP="003908F2">
      <w:pPr>
        <w:tabs>
          <w:tab w:val="left" w:pos="1680"/>
        </w:tabs>
        <w:rPr>
          <w:rFonts w:cs="Arial"/>
          <w:szCs w:val="24"/>
          <w:lang w:val="en-US"/>
        </w:rPr>
      </w:pPr>
    </w:p>
    <w:p w14:paraId="688C7776" w14:textId="0835C06C" w:rsidR="00523472" w:rsidRPr="003908F2" w:rsidRDefault="00523472" w:rsidP="003908F2">
      <w:pPr>
        <w:tabs>
          <w:tab w:val="left" w:pos="1680"/>
        </w:tabs>
        <w:rPr>
          <w:rFonts w:cs="Arial"/>
          <w:szCs w:val="24"/>
          <w:lang w:val="en-US"/>
        </w:rPr>
      </w:pPr>
      <w:r w:rsidRPr="003908F2">
        <w:rPr>
          <w:rFonts w:cs="Arial"/>
          <w:szCs w:val="24"/>
          <w:lang w:val="en-US"/>
        </w:rPr>
        <w:t>Consultation ha</w:t>
      </w:r>
      <w:r w:rsidR="003908F2">
        <w:rPr>
          <w:rFonts w:cs="Arial"/>
          <w:szCs w:val="24"/>
          <w:lang w:val="en-US"/>
        </w:rPr>
        <w:t>d</w:t>
      </w:r>
      <w:r w:rsidRPr="003908F2">
        <w:rPr>
          <w:rFonts w:cs="Arial"/>
          <w:szCs w:val="24"/>
          <w:lang w:val="en-US"/>
        </w:rPr>
        <w:t xml:space="preserve"> taken place with Council employees and the recognised trade unions on the introduction of the policy and procedure and all feedback ha</w:t>
      </w:r>
      <w:r w:rsidR="003908F2">
        <w:rPr>
          <w:rFonts w:cs="Arial"/>
          <w:szCs w:val="24"/>
          <w:lang w:val="en-US"/>
        </w:rPr>
        <w:t>d</w:t>
      </w:r>
      <w:r w:rsidRPr="003908F2">
        <w:rPr>
          <w:rFonts w:cs="Arial"/>
          <w:szCs w:val="24"/>
          <w:lang w:val="en-US"/>
        </w:rPr>
        <w:t xml:space="preserve"> been taken into consideration.  The Trade Unions and staff </w:t>
      </w:r>
      <w:r w:rsidR="003908F2">
        <w:rPr>
          <w:rFonts w:cs="Arial"/>
          <w:szCs w:val="24"/>
          <w:lang w:val="en-US"/>
        </w:rPr>
        <w:t>were</w:t>
      </w:r>
      <w:r w:rsidRPr="003908F2">
        <w:rPr>
          <w:rFonts w:cs="Arial"/>
          <w:szCs w:val="24"/>
          <w:lang w:val="en-US"/>
        </w:rPr>
        <w:t xml:space="preserve"> supportive of the proposed policy and procedure.</w:t>
      </w:r>
    </w:p>
    <w:p w14:paraId="6FCFD324" w14:textId="77777777" w:rsidR="00523472" w:rsidRPr="003908F2" w:rsidRDefault="00523472" w:rsidP="003908F2">
      <w:pPr>
        <w:tabs>
          <w:tab w:val="left" w:pos="1680"/>
        </w:tabs>
        <w:rPr>
          <w:rFonts w:cs="Arial"/>
          <w:szCs w:val="24"/>
          <w:lang w:val="en-US"/>
        </w:rPr>
      </w:pPr>
    </w:p>
    <w:p w14:paraId="12E3EDCA" w14:textId="062D77B7" w:rsidR="00523472" w:rsidRPr="003908F2" w:rsidRDefault="00523472" w:rsidP="003908F2">
      <w:pPr>
        <w:tabs>
          <w:tab w:val="left" w:pos="1680"/>
        </w:tabs>
        <w:rPr>
          <w:rFonts w:cs="Arial"/>
          <w:szCs w:val="24"/>
          <w:lang w:val="en-US"/>
        </w:rPr>
      </w:pPr>
      <w:r w:rsidRPr="003908F2">
        <w:rPr>
          <w:rFonts w:cs="Arial"/>
          <w:szCs w:val="24"/>
          <w:lang w:val="en-US"/>
        </w:rPr>
        <w:t xml:space="preserve">Once approved, the policy and procedure can be added to the existing Family Friendly Leave Arrangements Policy which </w:t>
      </w:r>
      <w:r w:rsidR="003908F2">
        <w:rPr>
          <w:rFonts w:cs="Arial"/>
          <w:szCs w:val="24"/>
          <w:lang w:val="en-US"/>
        </w:rPr>
        <w:t>was</w:t>
      </w:r>
      <w:r w:rsidRPr="003908F2">
        <w:rPr>
          <w:rFonts w:cs="Arial"/>
          <w:szCs w:val="24"/>
          <w:lang w:val="en-US"/>
        </w:rPr>
        <w:t xml:space="preserve"> expected to require updating in accordance with new legislation due to be introduced by the Government in the foreseeable future.</w:t>
      </w:r>
    </w:p>
    <w:p w14:paraId="4D260C77" w14:textId="77777777" w:rsidR="00523472" w:rsidRPr="003908F2" w:rsidRDefault="00523472" w:rsidP="003908F2">
      <w:pPr>
        <w:tabs>
          <w:tab w:val="left" w:pos="1680"/>
        </w:tabs>
        <w:rPr>
          <w:rFonts w:cs="Arial"/>
          <w:szCs w:val="24"/>
          <w:lang w:val="en-US"/>
        </w:rPr>
      </w:pPr>
    </w:p>
    <w:p w14:paraId="47B8FFE8" w14:textId="77777777" w:rsidR="00523472" w:rsidRPr="003908F2" w:rsidRDefault="00523472" w:rsidP="003908F2">
      <w:pPr>
        <w:rPr>
          <w:rFonts w:cs="Arial"/>
          <w:b/>
          <w:bCs/>
          <w:szCs w:val="24"/>
        </w:rPr>
      </w:pPr>
      <w:r w:rsidRPr="003908F2">
        <w:rPr>
          <w:rFonts w:cs="Arial"/>
          <w:b/>
          <w:bCs/>
          <w:szCs w:val="24"/>
        </w:rPr>
        <w:t>Miscarriage</w:t>
      </w:r>
    </w:p>
    <w:p w14:paraId="1F3E367C" w14:textId="77777777" w:rsidR="00523472" w:rsidRPr="003908F2" w:rsidRDefault="00523472" w:rsidP="003908F2">
      <w:pPr>
        <w:rPr>
          <w:rFonts w:cs="Arial"/>
          <w:szCs w:val="24"/>
        </w:rPr>
      </w:pPr>
    </w:p>
    <w:p w14:paraId="30BCE64D" w14:textId="63CDB20D" w:rsidR="00523472" w:rsidRPr="003908F2" w:rsidRDefault="00523472" w:rsidP="003908F2">
      <w:pPr>
        <w:rPr>
          <w:rFonts w:cs="Arial"/>
          <w:szCs w:val="24"/>
        </w:rPr>
      </w:pPr>
      <w:r w:rsidRPr="003908F2">
        <w:rPr>
          <w:rFonts w:cs="Arial"/>
          <w:szCs w:val="24"/>
        </w:rPr>
        <w:t>Council’s Parental Bereavement Leave and Pay Policy allow</w:t>
      </w:r>
      <w:r w:rsidR="003908F2">
        <w:rPr>
          <w:rFonts w:cs="Arial"/>
          <w:szCs w:val="24"/>
        </w:rPr>
        <w:t>ed</w:t>
      </w:r>
      <w:r w:rsidRPr="003908F2">
        <w:rPr>
          <w:rFonts w:cs="Arial"/>
          <w:szCs w:val="24"/>
        </w:rPr>
        <w:t xml:space="preserve"> up to 2 weeks leave from day one of employment for a child who has died under the age of 18 or </w:t>
      </w:r>
      <w:r w:rsidR="003908F2">
        <w:rPr>
          <w:rFonts w:cs="Arial"/>
          <w:szCs w:val="24"/>
        </w:rPr>
        <w:t>was</w:t>
      </w:r>
      <w:r w:rsidRPr="003908F2">
        <w:rPr>
          <w:rFonts w:cs="Arial"/>
          <w:szCs w:val="24"/>
        </w:rPr>
        <w:t xml:space="preserve"> stillborn after 24 weeks of pregnancy.  However, there </w:t>
      </w:r>
      <w:r w:rsidR="003908F2">
        <w:rPr>
          <w:rFonts w:cs="Arial"/>
          <w:szCs w:val="24"/>
        </w:rPr>
        <w:t>was</w:t>
      </w:r>
      <w:r w:rsidRPr="003908F2">
        <w:rPr>
          <w:rFonts w:cs="Arial"/>
          <w:szCs w:val="24"/>
        </w:rPr>
        <w:t xml:space="preserve"> currently no right to time off for miscarriage - loss of a pregnancy during the first 23 weeks.</w:t>
      </w:r>
    </w:p>
    <w:p w14:paraId="59DBD4BD" w14:textId="77777777" w:rsidR="00523472" w:rsidRPr="003908F2" w:rsidRDefault="00523472" w:rsidP="003908F2">
      <w:pPr>
        <w:rPr>
          <w:rFonts w:cs="Arial"/>
          <w:szCs w:val="24"/>
        </w:rPr>
      </w:pPr>
    </w:p>
    <w:p w14:paraId="617D3C69" w14:textId="44BCAFCC" w:rsidR="00523472" w:rsidRPr="003908F2" w:rsidRDefault="00523472" w:rsidP="003908F2">
      <w:pPr>
        <w:rPr>
          <w:rFonts w:cs="Arial"/>
          <w:szCs w:val="24"/>
        </w:rPr>
      </w:pPr>
      <w:r w:rsidRPr="003908F2">
        <w:rPr>
          <w:rFonts w:cs="Arial"/>
          <w:szCs w:val="24"/>
        </w:rPr>
        <w:t xml:space="preserve">Given the proposal to provide 3 days paid leave to employees (pro-rata for part time staff) whose fertility treatment has been unsuccessful, it </w:t>
      </w:r>
      <w:r w:rsidR="003908F2">
        <w:rPr>
          <w:rFonts w:cs="Arial"/>
          <w:szCs w:val="24"/>
        </w:rPr>
        <w:t>was</w:t>
      </w:r>
      <w:r w:rsidRPr="003908F2">
        <w:rPr>
          <w:rFonts w:cs="Arial"/>
          <w:szCs w:val="24"/>
        </w:rPr>
        <w:t xml:space="preserve"> recommended that up to three days paid leave (pro-rata) also be provided to pregnant employees who suffer</w:t>
      </w:r>
      <w:r w:rsidR="003908F2">
        <w:rPr>
          <w:rFonts w:cs="Arial"/>
          <w:szCs w:val="24"/>
        </w:rPr>
        <w:t>ed</w:t>
      </w:r>
      <w:r w:rsidRPr="003908F2">
        <w:rPr>
          <w:rFonts w:cs="Arial"/>
          <w:szCs w:val="24"/>
        </w:rPr>
        <w:t xml:space="preserve"> a miscarriage.  Employees whose partner or surrogate ha</w:t>
      </w:r>
      <w:r w:rsidR="003908F2">
        <w:rPr>
          <w:rFonts w:cs="Arial"/>
          <w:szCs w:val="24"/>
        </w:rPr>
        <w:t>d</w:t>
      </w:r>
      <w:r w:rsidRPr="003908F2">
        <w:rPr>
          <w:rFonts w:cs="Arial"/>
          <w:szCs w:val="24"/>
        </w:rPr>
        <w:t xml:space="preserve"> suffered a miscarriage would also be eligible. Entitlement would be from day one of employment and given the sensitivities, time off could be recorded by Managers on CORE as ‘Special Leave Paid’.  </w:t>
      </w:r>
    </w:p>
    <w:p w14:paraId="1C837B9D" w14:textId="77777777" w:rsidR="00523472" w:rsidRPr="003908F2" w:rsidRDefault="00523472" w:rsidP="003908F2">
      <w:pPr>
        <w:tabs>
          <w:tab w:val="left" w:pos="1680"/>
        </w:tabs>
        <w:rPr>
          <w:rFonts w:cs="Arial"/>
          <w:b/>
          <w:bCs/>
          <w:szCs w:val="24"/>
          <w:lang w:val="en-US"/>
        </w:rPr>
      </w:pPr>
    </w:p>
    <w:p w14:paraId="7B29E5FC" w14:textId="77777777" w:rsidR="00523472" w:rsidRPr="003908F2" w:rsidRDefault="00523472" w:rsidP="003908F2">
      <w:pPr>
        <w:tabs>
          <w:tab w:val="left" w:pos="1680"/>
        </w:tabs>
        <w:rPr>
          <w:rFonts w:cs="Arial"/>
          <w:b/>
          <w:bCs/>
          <w:szCs w:val="24"/>
          <w:lang w:val="en-US"/>
        </w:rPr>
      </w:pPr>
      <w:r w:rsidRPr="003908F2">
        <w:rPr>
          <w:rFonts w:cs="Arial"/>
          <w:b/>
          <w:bCs/>
          <w:szCs w:val="24"/>
          <w:lang w:val="en-US"/>
        </w:rPr>
        <w:t>Neonatal Care Background</w:t>
      </w:r>
    </w:p>
    <w:p w14:paraId="1168FE58" w14:textId="77777777" w:rsidR="00523472" w:rsidRPr="003908F2" w:rsidRDefault="00523472" w:rsidP="003908F2">
      <w:pPr>
        <w:tabs>
          <w:tab w:val="left" w:pos="1680"/>
        </w:tabs>
        <w:rPr>
          <w:rFonts w:cs="Arial"/>
          <w:szCs w:val="24"/>
          <w:lang w:val="en-US"/>
        </w:rPr>
      </w:pPr>
    </w:p>
    <w:p w14:paraId="03F22AF2" w14:textId="0FB34875" w:rsidR="00523472" w:rsidRPr="003908F2" w:rsidRDefault="00523472" w:rsidP="003908F2">
      <w:pPr>
        <w:tabs>
          <w:tab w:val="left" w:pos="1680"/>
        </w:tabs>
        <w:rPr>
          <w:rFonts w:cs="Arial"/>
          <w:szCs w:val="24"/>
          <w:lang w:val="en-US"/>
        </w:rPr>
      </w:pPr>
      <w:r w:rsidRPr="003908F2">
        <w:rPr>
          <w:rFonts w:cs="Arial"/>
          <w:szCs w:val="24"/>
          <w:lang w:val="en-US"/>
        </w:rPr>
        <w:t xml:space="preserve">In Northern Ireland around one in thirteen babies born each year </w:t>
      </w:r>
      <w:r w:rsidR="003908F2">
        <w:rPr>
          <w:rFonts w:cs="Arial"/>
          <w:szCs w:val="24"/>
          <w:lang w:val="en-US"/>
        </w:rPr>
        <w:t>were</w:t>
      </w:r>
      <w:r w:rsidRPr="003908F2">
        <w:rPr>
          <w:rFonts w:cs="Arial"/>
          <w:szCs w:val="24"/>
          <w:lang w:val="en-US"/>
        </w:rPr>
        <w:t xml:space="preserve"> admitted to neonatal care due to prematurity or sickness.  Forty-five percent of babies admitted to neonatal care spend less than one week in hospital before being discharged home.  Fathers and non-birthing parents ha</w:t>
      </w:r>
      <w:r w:rsidR="003908F2">
        <w:rPr>
          <w:rFonts w:cs="Arial"/>
          <w:szCs w:val="24"/>
          <w:lang w:val="en-US"/>
        </w:rPr>
        <w:t xml:space="preserve">d </w:t>
      </w:r>
      <w:r w:rsidRPr="003908F2">
        <w:rPr>
          <w:rFonts w:cs="Arial"/>
          <w:szCs w:val="24"/>
          <w:lang w:val="en-US"/>
        </w:rPr>
        <w:t xml:space="preserve">only two weeks of paid paternity leave, meaning that many return to work long before their child </w:t>
      </w:r>
      <w:r w:rsidR="003908F2">
        <w:rPr>
          <w:rFonts w:cs="Arial"/>
          <w:szCs w:val="24"/>
          <w:lang w:val="en-US"/>
        </w:rPr>
        <w:t>was</w:t>
      </w:r>
      <w:r w:rsidRPr="003908F2">
        <w:rPr>
          <w:rFonts w:cs="Arial"/>
          <w:szCs w:val="24"/>
          <w:lang w:val="en-US"/>
        </w:rPr>
        <w:t xml:space="preserve"> well enough to leave hospital.  Additionally, some mothers and adopters of premature or vulnerable babies use up much of their maternity or adoption leave while their baby </w:t>
      </w:r>
      <w:r w:rsidR="003908F2">
        <w:rPr>
          <w:rFonts w:cs="Arial"/>
          <w:szCs w:val="24"/>
          <w:lang w:val="en-US"/>
        </w:rPr>
        <w:t>was</w:t>
      </w:r>
      <w:r w:rsidRPr="003908F2">
        <w:rPr>
          <w:rFonts w:cs="Arial"/>
          <w:szCs w:val="24"/>
          <w:lang w:val="en-US"/>
        </w:rPr>
        <w:t xml:space="preserve"> still in hospital.</w:t>
      </w:r>
    </w:p>
    <w:p w14:paraId="7C66497F" w14:textId="77777777" w:rsidR="00523472" w:rsidRPr="003908F2" w:rsidRDefault="00523472" w:rsidP="003908F2">
      <w:pPr>
        <w:tabs>
          <w:tab w:val="left" w:pos="1680"/>
        </w:tabs>
        <w:rPr>
          <w:rFonts w:cs="Arial"/>
          <w:szCs w:val="24"/>
          <w:lang w:val="en-US"/>
        </w:rPr>
      </w:pPr>
    </w:p>
    <w:p w14:paraId="7B1E8731" w14:textId="6BEE481C" w:rsidR="00523472" w:rsidRPr="003908F2" w:rsidRDefault="00523472" w:rsidP="003908F2">
      <w:pPr>
        <w:tabs>
          <w:tab w:val="left" w:pos="1680"/>
        </w:tabs>
        <w:rPr>
          <w:rFonts w:cs="Arial"/>
          <w:szCs w:val="24"/>
          <w:lang w:val="en-US"/>
        </w:rPr>
      </w:pPr>
      <w:r w:rsidRPr="003908F2">
        <w:rPr>
          <w:rFonts w:cs="Arial"/>
          <w:szCs w:val="24"/>
          <w:lang w:val="en-US"/>
        </w:rPr>
        <w:t xml:space="preserve">The whole family’s mental health </w:t>
      </w:r>
      <w:r w:rsidR="003908F2">
        <w:rPr>
          <w:rFonts w:cs="Arial"/>
          <w:szCs w:val="24"/>
          <w:lang w:val="en-US"/>
        </w:rPr>
        <w:t>could</w:t>
      </w:r>
      <w:r w:rsidRPr="003908F2">
        <w:rPr>
          <w:rFonts w:cs="Arial"/>
          <w:szCs w:val="24"/>
          <w:lang w:val="en-US"/>
        </w:rPr>
        <w:t xml:space="preserve"> suffer following the birth of a premature or sick baby.  Some employees end up signed off sick and many decide to leave work altogether to become a full-time carer for their child or children.</w:t>
      </w:r>
    </w:p>
    <w:p w14:paraId="0EBE8F70" w14:textId="77777777" w:rsidR="00523472" w:rsidRPr="003908F2" w:rsidRDefault="00523472" w:rsidP="003908F2">
      <w:pPr>
        <w:tabs>
          <w:tab w:val="left" w:pos="1680"/>
        </w:tabs>
        <w:rPr>
          <w:rFonts w:cs="Arial"/>
          <w:szCs w:val="24"/>
          <w:lang w:val="en-US"/>
        </w:rPr>
      </w:pPr>
    </w:p>
    <w:p w14:paraId="3F917190" w14:textId="77777777" w:rsidR="00523472" w:rsidRPr="003908F2" w:rsidRDefault="00523472" w:rsidP="003908F2">
      <w:pPr>
        <w:tabs>
          <w:tab w:val="left" w:pos="1680"/>
        </w:tabs>
        <w:rPr>
          <w:rFonts w:cs="Arial"/>
          <w:b/>
          <w:bCs/>
          <w:szCs w:val="24"/>
          <w:lang w:val="en-US"/>
        </w:rPr>
      </w:pPr>
      <w:r w:rsidRPr="003908F2">
        <w:rPr>
          <w:rFonts w:cs="Arial"/>
          <w:b/>
          <w:bCs/>
          <w:szCs w:val="24"/>
          <w:lang w:val="en-US"/>
        </w:rPr>
        <w:t>Legislation</w:t>
      </w:r>
    </w:p>
    <w:p w14:paraId="49BE6BCA" w14:textId="77777777" w:rsidR="00523472" w:rsidRPr="003908F2" w:rsidRDefault="00523472" w:rsidP="003908F2">
      <w:pPr>
        <w:tabs>
          <w:tab w:val="left" w:pos="1680"/>
        </w:tabs>
        <w:rPr>
          <w:rFonts w:cs="Arial"/>
          <w:szCs w:val="24"/>
          <w:lang w:val="en-US"/>
        </w:rPr>
      </w:pPr>
    </w:p>
    <w:p w14:paraId="293A135A" w14:textId="5EA84548" w:rsidR="00523472" w:rsidRPr="003908F2" w:rsidRDefault="00523472" w:rsidP="003908F2">
      <w:pPr>
        <w:tabs>
          <w:tab w:val="left" w:pos="1680"/>
        </w:tabs>
        <w:rPr>
          <w:rFonts w:cs="Arial"/>
          <w:szCs w:val="24"/>
          <w:lang w:val="en-US"/>
        </w:rPr>
      </w:pPr>
      <w:r w:rsidRPr="003908F2">
        <w:rPr>
          <w:rFonts w:cs="Arial"/>
          <w:szCs w:val="24"/>
          <w:lang w:val="en-US"/>
        </w:rPr>
        <w:t xml:space="preserve">Currently there </w:t>
      </w:r>
      <w:r w:rsidR="003908F2">
        <w:rPr>
          <w:rFonts w:cs="Arial"/>
          <w:szCs w:val="24"/>
          <w:lang w:val="en-US"/>
        </w:rPr>
        <w:t xml:space="preserve">was </w:t>
      </w:r>
      <w:r w:rsidRPr="003908F2">
        <w:rPr>
          <w:rFonts w:cs="Arial"/>
          <w:szCs w:val="24"/>
          <w:lang w:val="en-US"/>
        </w:rPr>
        <w:t>no right in Northern Ireland to leave and/or statutory pay for working parents whose newborn requires neonatal care.</w:t>
      </w:r>
    </w:p>
    <w:p w14:paraId="34053DE9" w14:textId="77777777" w:rsidR="00523472" w:rsidRPr="003908F2" w:rsidRDefault="00523472" w:rsidP="003908F2">
      <w:pPr>
        <w:tabs>
          <w:tab w:val="left" w:pos="1680"/>
        </w:tabs>
        <w:rPr>
          <w:rFonts w:cs="Arial"/>
          <w:szCs w:val="24"/>
          <w:lang w:val="en-US"/>
        </w:rPr>
      </w:pPr>
    </w:p>
    <w:p w14:paraId="4824E1CB" w14:textId="03452689" w:rsidR="00523472" w:rsidRPr="003908F2" w:rsidRDefault="00523472" w:rsidP="003908F2">
      <w:pPr>
        <w:tabs>
          <w:tab w:val="left" w:pos="1680"/>
        </w:tabs>
        <w:rPr>
          <w:rFonts w:cs="Arial"/>
          <w:szCs w:val="24"/>
          <w:lang w:val="en-US"/>
        </w:rPr>
      </w:pPr>
      <w:r w:rsidRPr="003908F2">
        <w:rPr>
          <w:rFonts w:cs="Arial"/>
          <w:szCs w:val="24"/>
          <w:lang w:val="en-US"/>
        </w:rPr>
        <w:lastRenderedPageBreak/>
        <w:t>The Neonatal Care (Leave and Pay) Act 2023 received Royal Asset in May 2023, providing parents with a right to 12 weeks leave and pay when their baby require</w:t>
      </w:r>
      <w:r w:rsidR="003908F2">
        <w:rPr>
          <w:rFonts w:cs="Arial"/>
          <w:szCs w:val="24"/>
          <w:lang w:val="en-US"/>
        </w:rPr>
        <w:t>d</w:t>
      </w:r>
      <w:r w:rsidRPr="003908F2">
        <w:rPr>
          <w:rFonts w:cs="Arial"/>
          <w:szCs w:val="24"/>
          <w:lang w:val="en-US"/>
        </w:rPr>
        <w:t xml:space="preserve"> neonatal care in addition to existing parental leave entitlements.  Regulations to operationalise this entitlement </w:t>
      </w:r>
      <w:r w:rsidR="003908F2">
        <w:rPr>
          <w:rFonts w:cs="Arial"/>
          <w:szCs w:val="24"/>
          <w:lang w:val="en-US"/>
        </w:rPr>
        <w:t>were</w:t>
      </w:r>
      <w:r w:rsidRPr="003908F2">
        <w:rPr>
          <w:rFonts w:cs="Arial"/>
          <w:szCs w:val="24"/>
          <w:lang w:val="en-US"/>
        </w:rPr>
        <w:t xml:space="preserve"> anticipated to come into force in April 2025 in England, Scotland and Wales. As employment law </w:t>
      </w:r>
      <w:r w:rsidR="003908F2">
        <w:rPr>
          <w:rFonts w:cs="Arial"/>
          <w:szCs w:val="24"/>
          <w:lang w:val="en-US"/>
        </w:rPr>
        <w:t>was</w:t>
      </w:r>
      <w:r w:rsidRPr="003908F2">
        <w:rPr>
          <w:rFonts w:cs="Arial"/>
          <w:szCs w:val="24"/>
          <w:lang w:val="en-US"/>
        </w:rPr>
        <w:t xml:space="preserve"> a devolved matter, this legislation and supporting regulations d</w:t>
      </w:r>
      <w:r w:rsidR="003908F2">
        <w:rPr>
          <w:rFonts w:cs="Arial"/>
          <w:szCs w:val="24"/>
          <w:lang w:val="en-US"/>
        </w:rPr>
        <w:t>id</w:t>
      </w:r>
      <w:r w:rsidRPr="003908F2">
        <w:rPr>
          <w:rFonts w:cs="Arial"/>
          <w:szCs w:val="24"/>
          <w:lang w:val="en-US"/>
        </w:rPr>
        <w:t xml:space="preserve"> not apply here.</w:t>
      </w:r>
    </w:p>
    <w:p w14:paraId="49F713E5" w14:textId="77777777" w:rsidR="00523472" w:rsidRPr="003908F2" w:rsidRDefault="00523472" w:rsidP="003908F2">
      <w:pPr>
        <w:tabs>
          <w:tab w:val="left" w:pos="1680"/>
        </w:tabs>
        <w:rPr>
          <w:rFonts w:cs="Arial"/>
          <w:szCs w:val="24"/>
          <w:lang w:val="en-US"/>
        </w:rPr>
      </w:pPr>
    </w:p>
    <w:p w14:paraId="26C3084B" w14:textId="75BED97C" w:rsidR="00523472" w:rsidRPr="003908F2" w:rsidRDefault="00523472" w:rsidP="003908F2">
      <w:pPr>
        <w:tabs>
          <w:tab w:val="left" w:pos="1680"/>
        </w:tabs>
        <w:rPr>
          <w:rFonts w:cs="Arial"/>
          <w:szCs w:val="24"/>
          <w:lang w:val="en-US"/>
        </w:rPr>
      </w:pPr>
      <w:r w:rsidRPr="003908F2">
        <w:rPr>
          <w:rFonts w:cs="Arial"/>
          <w:szCs w:val="24"/>
          <w:lang w:val="en-US"/>
        </w:rPr>
        <w:t xml:space="preserve">However, the Department for the Economy </w:t>
      </w:r>
      <w:r w:rsidR="003908F2">
        <w:rPr>
          <w:rFonts w:cs="Arial"/>
          <w:szCs w:val="24"/>
          <w:lang w:val="en-US"/>
        </w:rPr>
        <w:t>was</w:t>
      </w:r>
      <w:r w:rsidRPr="003908F2">
        <w:rPr>
          <w:rFonts w:cs="Arial"/>
          <w:szCs w:val="24"/>
          <w:lang w:val="en-US"/>
        </w:rPr>
        <w:t xml:space="preserve"> currently consulting the public on the ‘Good Jobs’ Employment Rights Bill which include</w:t>
      </w:r>
      <w:r w:rsidR="003908F2">
        <w:rPr>
          <w:rFonts w:cs="Arial"/>
          <w:szCs w:val="24"/>
          <w:lang w:val="en-US"/>
        </w:rPr>
        <w:t>d</w:t>
      </w:r>
      <w:r w:rsidRPr="003908F2">
        <w:rPr>
          <w:rFonts w:cs="Arial"/>
          <w:szCs w:val="24"/>
          <w:lang w:val="en-US"/>
        </w:rPr>
        <w:t xml:space="preserve"> a raft of proposed new employment rights including statutory leave and pay for eligible employees whose newborn baby enters neonatal care within 28 days of birth for a period of 7 or more days up to a period of 12 weeks.</w:t>
      </w:r>
    </w:p>
    <w:p w14:paraId="2321DF64" w14:textId="77777777" w:rsidR="00523472" w:rsidRPr="003908F2" w:rsidRDefault="00523472" w:rsidP="003908F2">
      <w:pPr>
        <w:tabs>
          <w:tab w:val="left" w:pos="1680"/>
        </w:tabs>
        <w:rPr>
          <w:rFonts w:cs="Arial"/>
          <w:szCs w:val="24"/>
          <w:lang w:val="en-US"/>
        </w:rPr>
      </w:pPr>
    </w:p>
    <w:p w14:paraId="6583D75E" w14:textId="0F00B4A1" w:rsidR="00523472" w:rsidRPr="003908F2" w:rsidRDefault="00523472" w:rsidP="003908F2">
      <w:pPr>
        <w:tabs>
          <w:tab w:val="left" w:pos="1680"/>
        </w:tabs>
        <w:rPr>
          <w:rFonts w:cs="Arial"/>
          <w:szCs w:val="24"/>
          <w:lang w:val="en-US"/>
        </w:rPr>
      </w:pPr>
      <w:r w:rsidRPr="003908F2">
        <w:rPr>
          <w:rFonts w:cs="Arial"/>
          <w:szCs w:val="24"/>
          <w:lang w:val="en-US"/>
        </w:rPr>
        <w:t>The draft Neonatal Care (Leave and Pay) policy ha</w:t>
      </w:r>
      <w:r w:rsidR="003908F2">
        <w:rPr>
          <w:rFonts w:cs="Arial"/>
          <w:szCs w:val="24"/>
          <w:lang w:val="en-US"/>
        </w:rPr>
        <w:t xml:space="preserve">d </w:t>
      </w:r>
      <w:r w:rsidRPr="003908F2">
        <w:rPr>
          <w:rFonts w:cs="Arial"/>
          <w:szCs w:val="24"/>
          <w:lang w:val="en-US"/>
        </w:rPr>
        <w:t>been written to enable employees to take additional time off work if their baby undergoes neonatal care of at least one week.  The Policy ha</w:t>
      </w:r>
      <w:r w:rsidR="003908F2">
        <w:rPr>
          <w:rFonts w:cs="Arial"/>
          <w:szCs w:val="24"/>
          <w:lang w:val="en-US"/>
        </w:rPr>
        <w:t>d</w:t>
      </w:r>
      <w:r w:rsidRPr="003908F2">
        <w:rPr>
          <w:rFonts w:cs="Arial"/>
          <w:szCs w:val="24"/>
          <w:lang w:val="en-US"/>
        </w:rPr>
        <w:t xml:space="preserve"> been developed around the Department’s proposals. Amendments may need to be made to the Policy in the future when details of the Bill </w:t>
      </w:r>
      <w:r w:rsidR="003908F2">
        <w:rPr>
          <w:rFonts w:cs="Arial"/>
          <w:szCs w:val="24"/>
          <w:lang w:val="en-US"/>
        </w:rPr>
        <w:t>were</w:t>
      </w:r>
      <w:r w:rsidRPr="003908F2">
        <w:rPr>
          <w:rFonts w:cs="Arial"/>
          <w:szCs w:val="24"/>
          <w:lang w:val="en-US"/>
        </w:rPr>
        <w:t xml:space="preserve"> finalised, and the legislation introduced.  </w:t>
      </w:r>
    </w:p>
    <w:p w14:paraId="0DEA1B66" w14:textId="77777777" w:rsidR="00523472" w:rsidRPr="003908F2" w:rsidRDefault="00523472" w:rsidP="003908F2">
      <w:pPr>
        <w:tabs>
          <w:tab w:val="left" w:pos="1680"/>
        </w:tabs>
        <w:rPr>
          <w:rFonts w:cs="Arial"/>
          <w:szCs w:val="24"/>
          <w:lang w:val="en-US"/>
        </w:rPr>
      </w:pPr>
    </w:p>
    <w:p w14:paraId="6929E142" w14:textId="06E89552" w:rsidR="00523472" w:rsidRPr="003908F2" w:rsidRDefault="00523472" w:rsidP="003908F2">
      <w:pPr>
        <w:rPr>
          <w:rFonts w:cs="Arial"/>
          <w:szCs w:val="24"/>
        </w:rPr>
      </w:pPr>
      <w:r w:rsidRPr="003908F2">
        <w:rPr>
          <w:rFonts w:cs="Arial"/>
          <w:szCs w:val="24"/>
          <w:lang w:val="en-US"/>
        </w:rPr>
        <w:t>Consultation ha</w:t>
      </w:r>
      <w:r w:rsidR="003908F2">
        <w:rPr>
          <w:rFonts w:cs="Arial"/>
          <w:szCs w:val="24"/>
          <w:lang w:val="en-US"/>
        </w:rPr>
        <w:t>d</w:t>
      </w:r>
      <w:r w:rsidRPr="003908F2">
        <w:rPr>
          <w:rFonts w:cs="Arial"/>
          <w:szCs w:val="24"/>
          <w:lang w:val="en-US"/>
        </w:rPr>
        <w:t xml:space="preserve"> taken place on this policy and due consideration given to all feedback from staff and Trade Unions.</w:t>
      </w:r>
    </w:p>
    <w:p w14:paraId="688B500E" w14:textId="77777777" w:rsidR="00523472" w:rsidRPr="003908F2" w:rsidRDefault="00523472" w:rsidP="003908F2">
      <w:pPr>
        <w:rPr>
          <w:rFonts w:cs="Arial"/>
          <w:szCs w:val="24"/>
        </w:rPr>
      </w:pPr>
    </w:p>
    <w:p w14:paraId="438B29BD" w14:textId="5E701B4A" w:rsidR="00523472" w:rsidRPr="003908F2" w:rsidRDefault="003908F2" w:rsidP="003908F2">
      <w:pPr>
        <w:rPr>
          <w:rFonts w:cs="Arial"/>
          <w:szCs w:val="24"/>
        </w:rPr>
      </w:pPr>
      <w:r w:rsidRPr="003908F2">
        <w:rPr>
          <w:rFonts w:cs="Arial"/>
          <w:caps/>
          <w:szCs w:val="24"/>
        </w:rPr>
        <w:t>Recommended</w:t>
      </w:r>
      <w:r>
        <w:rPr>
          <w:rFonts w:cs="Arial"/>
          <w:szCs w:val="24"/>
        </w:rPr>
        <w:t xml:space="preserve">:- </w:t>
      </w:r>
      <w:r w:rsidR="009D29E2">
        <w:rPr>
          <w:rFonts w:cs="Arial"/>
          <w:szCs w:val="24"/>
        </w:rPr>
        <w:t xml:space="preserve">that </w:t>
      </w:r>
    </w:p>
    <w:p w14:paraId="4CCD0CC7" w14:textId="77777777" w:rsidR="00523472" w:rsidRPr="003908F2" w:rsidRDefault="00523472" w:rsidP="003908F2">
      <w:pPr>
        <w:pStyle w:val="ListParagraph"/>
        <w:numPr>
          <w:ilvl w:val="0"/>
          <w:numId w:val="3"/>
        </w:numPr>
        <w:spacing w:after="0" w:line="240" w:lineRule="auto"/>
        <w:rPr>
          <w:rFonts w:cs="Arial"/>
          <w:szCs w:val="24"/>
        </w:rPr>
      </w:pPr>
      <w:r w:rsidRPr="003908F2">
        <w:rPr>
          <w:rFonts w:cs="Arial"/>
          <w:szCs w:val="24"/>
        </w:rPr>
        <w:t>Approval is given to introduce the Fertility Treatment Policy</w:t>
      </w:r>
    </w:p>
    <w:p w14:paraId="71701551" w14:textId="77777777" w:rsidR="00523472" w:rsidRPr="003908F2" w:rsidRDefault="00523472" w:rsidP="003908F2">
      <w:pPr>
        <w:pStyle w:val="ListParagraph"/>
        <w:numPr>
          <w:ilvl w:val="0"/>
          <w:numId w:val="3"/>
        </w:numPr>
        <w:spacing w:after="0" w:line="240" w:lineRule="auto"/>
        <w:rPr>
          <w:rFonts w:cs="Arial"/>
          <w:szCs w:val="24"/>
        </w:rPr>
      </w:pPr>
      <w:r w:rsidRPr="003908F2">
        <w:rPr>
          <w:rFonts w:cs="Arial"/>
          <w:szCs w:val="24"/>
        </w:rPr>
        <w:t>Approval is given to introduce the Neonatal Care (Leave and Pay) Policy</w:t>
      </w:r>
    </w:p>
    <w:p w14:paraId="73EEBB42" w14:textId="77777777" w:rsidR="00523472" w:rsidRPr="004146DB" w:rsidRDefault="00523472" w:rsidP="00497F02"/>
    <w:p w14:paraId="2892D67A" w14:textId="45153EC2" w:rsidR="00523472" w:rsidRPr="004146DB" w:rsidRDefault="006E006C" w:rsidP="00497F02">
      <w:r>
        <w:t xml:space="preserve">Proposed by Councillor Gilmour, seconded by Alderman McRandal, that the recommendations be adopted. </w:t>
      </w:r>
    </w:p>
    <w:p w14:paraId="45A26C18" w14:textId="243AD7C5" w:rsidR="008B4892" w:rsidRDefault="008B4892" w:rsidP="00497F02">
      <w:pPr>
        <w:rPr>
          <w:rFonts w:eastAsia="Calibri" w:cs="Arial"/>
          <w:noProof/>
          <w:szCs w:val="24"/>
        </w:rPr>
      </w:pPr>
    </w:p>
    <w:p w14:paraId="42FA08FD" w14:textId="17720249" w:rsidR="00523472" w:rsidRDefault="006E006C" w:rsidP="00497F02">
      <w:pPr>
        <w:rPr>
          <w:rFonts w:cs="Arial"/>
          <w:color w:val="000000" w:themeColor="text1"/>
          <w:szCs w:val="24"/>
        </w:rPr>
      </w:pPr>
      <w:r>
        <w:rPr>
          <w:rFonts w:eastAsia="Calibri" w:cs="Arial"/>
          <w:noProof/>
          <w:szCs w:val="24"/>
        </w:rPr>
        <w:t xml:space="preserve">Councillor Gilmour highlighted the impact </w:t>
      </w:r>
      <w:r w:rsidR="00FF08D1">
        <w:rPr>
          <w:rFonts w:eastAsia="Calibri" w:cs="Arial"/>
          <w:noProof/>
          <w:szCs w:val="24"/>
        </w:rPr>
        <w:t xml:space="preserve">on a family </w:t>
      </w:r>
      <w:r>
        <w:rPr>
          <w:rFonts w:eastAsia="Calibri" w:cs="Arial"/>
          <w:noProof/>
          <w:szCs w:val="24"/>
        </w:rPr>
        <w:t>when a premature child was born</w:t>
      </w:r>
      <w:r w:rsidR="00DB6828">
        <w:rPr>
          <w:rFonts w:eastAsia="Calibri" w:cs="Arial"/>
          <w:noProof/>
          <w:szCs w:val="24"/>
        </w:rPr>
        <w:t>, those who suffered a loss of a child or struggle</w:t>
      </w:r>
      <w:r w:rsidR="00FF08D1">
        <w:rPr>
          <w:rFonts w:eastAsia="Calibri" w:cs="Arial"/>
          <w:noProof/>
          <w:szCs w:val="24"/>
        </w:rPr>
        <w:t>d</w:t>
      </w:r>
      <w:r w:rsidR="00DB6828">
        <w:rPr>
          <w:rFonts w:eastAsia="Calibri" w:cs="Arial"/>
          <w:noProof/>
          <w:szCs w:val="24"/>
        </w:rPr>
        <w:t xml:space="preserve"> with fertility.</w:t>
      </w:r>
      <w:r>
        <w:rPr>
          <w:rFonts w:eastAsia="Calibri" w:cs="Arial"/>
          <w:noProof/>
          <w:szCs w:val="24"/>
        </w:rPr>
        <w:t xml:space="preserve">  </w:t>
      </w:r>
      <w:r w:rsidR="00DB6828">
        <w:rPr>
          <w:rFonts w:eastAsia="Calibri" w:cs="Arial"/>
          <w:noProof/>
          <w:szCs w:val="24"/>
        </w:rPr>
        <w:t xml:space="preserve">She referred to a campaign from </w:t>
      </w:r>
      <w:r>
        <w:rPr>
          <w:rFonts w:eastAsia="Calibri" w:cs="Arial"/>
          <w:noProof/>
          <w:szCs w:val="24"/>
        </w:rPr>
        <w:t>Tinlylife</w:t>
      </w:r>
      <w:r w:rsidR="00DB6828">
        <w:rPr>
          <w:rFonts w:eastAsia="Calibri" w:cs="Arial"/>
          <w:noProof/>
          <w:szCs w:val="24"/>
        </w:rPr>
        <w:t xml:space="preserve"> who </w:t>
      </w:r>
      <w:r>
        <w:rPr>
          <w:rFonts w:eastAsia="Calibri" w:cs="Arial"/>
          <w:noProof/>
          <w:szCs w:val="24"/>
        </w:rPr>
        <w:t xml:space="preserve">had pushed hard to highlight the difficulties </w:t>
      </w:r>
      <w:r>
        <w:rPr>
          <w:rFonts w:cs="Arial"/>
          <w:color w:val="000000" w:themeColor="text1"/>
          <w:szCs w:val="24"/>
        </w:rPr>
        <w:t>for mothers bonding and managing family life</w:t>
      </w:r>
      <w:r w:rsidR="00FF08D1">
        <w:rPr>
          <w:rFonts w:cs="Arial"/>
          <w:color w:val="000000" w:themeColor="text1"/>
          <w:szCs w:val="24"/>
        </w:rPr>
        <w:t xml:space="preserve"> when a baby was in neonatal care. </w:t>
      </w:r>
      <w:r w:rsidR="00255BD1">
        <w:rPr>
          <w:rFonts w:cs="Arial"/>
          <w:color w:val="000000" w:themeColor="text1"/>
          <w:szCs w:val="24"/>
        </w:rPr>
        <w:t xml:space="preserve"> </w:t>
      </w:r>
      <w:r w:rsidR="00255BD1">
        <w:rPr>
          <w:rFonts w:eastAsia="Calibri" w:cs="Arial"/>
          <w:noProof/>
          <w:szCs w:val="24"/>
        </w:rPr>
        <w:t>She felt it was only right that the Council ha</w:t>
      </w:r>
      <w:r w:rsidR="00FF08D1">
        <w:rPr>
          <w:rFonts w:eastAsia="Calibri" w:cs="Arial"/>
          <w:noProof/>
          <w:szCs w:val="24"/>
        </w:rPr>
        <w:t>d</w:t>
      </w:r>
      <w:r w:rsidR="00255BD1">
        <w:rPr>
          <w:rFonts w:eastAsia="Calibri" w:cs="Arial"/>
          <w:noProof/>
          <w:szCs w:val="24"/>
        </w:rPr>
        <w:t xml:space="preserve"> the policies to provide </w:t>
      </w:r>
      <w:r w:rsidR="00DB6828">
        <w:rPr>
          <w:rFonts w:eastAsia="Calibri" w:cs="Arial"/>
          <w:noProof/>
          <w:szCs w:val="24"/>
        </w:rPr>
        <w:t xml:space="preserve">support and she hoped it would add some </w:t>
      </w:r>
      <w:r w:rsidR="00255BD1">
        <w:rPr>
          <w:rFonts w:eastAsia="Calibri" w:cs="Arial"/>
          <w:noProof/>
          <w:szCs w:val="24"/>
        </w:rPr>
        <w:t>comfort and assurance.</w:t>
      </w:r>
    </w:p>
    <w:p w14:paraId="2E655829" w14:textId="77777777" w:rsidR="00523472" w:rsidRDefault="00523472" w:rsidP="009B5D9E">
      <w:pPr>
        <w:rPr>
          <w:rFonts w:cs="Arial"/>
          <w:color w:val="000000" w:themeColor="text1"/>
          <w:szCs w:val="24"/>
        </w:rPr>
      </w:pPr>
    </w:p>
    <w:p w14:paraId="2972E5CD" w14:textId="55F719A0" w:rsidR="00523472" w:rsidRPr="00497F02" w:rsidRDefault="00224145" w:rsidP="009B5D9E">
      <w:pPr>
        <w:rPr>
          <w:rFonts w:cs="Arial"/>
          <w:b/>
          <w:bCs/>
          <w:color w:val="000000" w:themeColor="text1"/>
          <w:szCs w:val="24"/>
        </w:rPr>
      </w:pPr>
      <w:r>
        <w:rPr>
          <w:rFonts w:cs="Arial"/>
          <w:b/>
          <w:bCs/>
          <w:color w:val="000000" w:themeColor="text1"/>
          <w:szCs w:val="24"/>
        </w:rPr>
        <w:t>RESOLVED</w:t>
      </w:r>
      <w:r w:rsidR="00497F02" w:rsidRPr="00497F02">
        <w:rPr>
          <w:rFonts w:cs="Arial"/>
          <w:b/>
          <w:bCs/>
          <w:color w:val="000000" w:themeColor="text1"/>
          <w:szCs w:val="24"/>
        </w:rPr>
        <w:t xml:space="preserve">, on the proposal </w:t>
      </w:r>
      <w:r w:rsidR="006E006C">
        <w:rPr>
          <w:rFonts w:cs="Arial"/>
          <w:b/>
          <w:bCs/>
          <w:color w:val="000000" w:themeColor="text1"/>
          <w:szCs w:val="24"/>
        </w:rPr>
        <w:t>Councillor Gilmour</w:t>
      </w:r>
      <w:r w:rsidR="00497F02" w:rsidRPr="00497F02">
        <w:rPr>
          <w:rFonts w:cs="Arial"/>
          <w:b/>
          <w:bCs/>
          <w:color w:val="000000" w:themeColor="text1"/>
          <w:szCs w:val="24"/>
        </w:rPr>
        <w:t xml:space="preserve">, seconded by </w:t>
      </w:r>
      <w:r w:rsidR="006E006C">
        <w:rPr>
          <w:rFonts w:cs="Arial"/>
          <w:b/>
          <w:bCs/>
          <w:color w:val="000000" w:themeColor="text1"/>
          <w:szCs w:val="24"/>
        </w:rPr>
        <w:t>Alderman McRandal</w:t>
      </w:r>
      <w:r w:rsidR="00497F02" w:rsidRPr="00497F02">
        <w:rPr>
          <w:rFonts w:cs="Arial"/>
          <w:b/>
          <w:bCs/>
          <w:color w:val="000000" w:themeColor="text1"/>
          <w:szCs w:val="24"/>
        </w:rPr>
        <w:t xml:space="preserve">, that the recommendations be adopted. </w:t>
      </w:r>
    </w:p>
    <w:p w14:paraId="0A92645A" w14:textId="77777777" w:rsidR="004E5534" w:rsidRPr="00540198" w:rsidRDefault="004E5534" w:rsidP="009B5D9E">
      <w:pPr>
        <w:pStyle w:val="ListParagraph"/>
        <w:spacing w:after="0" w:line="240" w:lineRule="auto"/>
        <w:rPr>
          <w:rFonts w:cs="Arial"/>
          <w:color w:val="000000" w:themeColor="text1"/>
          <w:szCs w:val="24"/>
        </w:rPr>
      </w:pPr>
    </w:p>
    <w:p w14:paraId="2D20849F" w14:textId="5255AE69" w:rsidR="004E5534" w:rsidRPr="009B5D9E" w:rsidRDefault="009B5D9E" w:rsidP="00ED7B06">
      <w:pPr>
        <w:pStyle w:val="Heading1"/>
      </w:pPr>
      <w:r>
        <w:t>7.</w:t>
      </w:r>
      <w:r>
        <w:tab/>
      </w:r>
      <w:r w:rsidR="004E5534" w:rsidRPr="00ED7B06">
        <w:rPr>
          <w:u w:val="single"/>
        </w:rPr>
        <w:t>Item withdrawn</w:t>
      </w:r>
    </w:p>
    <w:p w14:paraId="29B21C96" w14:textId="77777777" w:rsidR="009B5D9E" w:rsidRDefault="009B5D9E" w:rsidP="00497F02"/>
    <w:p w14:paraId="546B4AC4" w14:textId="7C5F0A65" w:rsidR="004E5534" w:rsidRPr="009B5D9E" w:rsidRDefault="009B5D9E" w:rsidP="00ED7B06">
      <w:pPr>
        <w:pStyle w:val="Heading1"/>
      </w:pPr>
      <w:r>
        <w:t>8.</w:t>
      </w:r>
      <w:r>
        <w:tab/>
      </w:r>
      <w:r w:rsidR="004E5534" w:rsidRPr="00ED7B06">
        <w:rPr>
          <w:u w:val="single"/>
        </w:rPr>
        <w:t>Civic Awards 2025</w:t>
      </w:r>
      <w:r w:rsidR="004E5534" w:rsidRPr="009B5D9E">
        <w:t xml:space="preserve"> </w:t>
      </w:r>
    </w:p>
    <w:p w14:paraId="0F096EC3" w14:textId="77777777" w:rsidR="008B4892" w:rsidRPr="007935E0" w:rsidRDefault="008B4892" w:rsidP="007935E0">
      <w:pPr>
        <w:rPr>
          <w:rFonts w:eastAsia="Calibri" w:cs="Arial"/>
          <w:caps/>
          <w:color w:val="000000" w:themeColor="text1"/>
          <w:szCs w:val="24"/>
        </w:rPr>
      </w:pPr>
    </w:p>
    <w:p w14:paraId="00F382AB" w14:textId="2DF47D27" w:rsidR="003908F2" w:rsidRPr="007935E0" w:rsidRDefault="008B4892" w:rsidP="007935E0">
      <w:pPr>
        <w:rPr>
          <w:rFonts w:cs="Arial"/>
          <w:szCs w:val="24"/>
        </w:rPr>
      </w:pPr>
      <w:r w:rsidRPr="007935E0">
        <w:rPr>
          <w:rFonts w:eastAsia="Calibri" w:cs="Arial"/>
          <w:caps/>
          <w:color w:val="000000" w:themeColor="text1"/>
          <w:szCs w:val="24"/>
        </w:rPr>
        <w:t>Previously circulated:-</w:t>
      </w:r>
      <w:r w:rsidRPr="007935E0">
        <w:rPr>
          <w:rFonts w:eastAsia="Calibri" w:cs="Arial"/>
          <w:color w:val="000000" w:themeColor="text1"/>
          <w:szCs w:val="24"/>
        </w:rPr>
        <w:t xml:space="preserve"> Report from the Director of Corporate Services</w:t>
      </w:r>
      <w:r w:rsidR="003908F2" w:rsidRPr="007935E0">
        <w:rPr>
          <w:rFonts w:cs="Arial"/>
          <w:b/>
          <w:color w:val="000000" w:themeColor="text1"/>
          <w:szCs w:val="24"/>
          <w:u w:val="single"/>
        </w:rPr>
        <w:t xml:space="preserve"> </w:t>
      </w:r>
      <w:r w:rsidR="007935E0">
        <w:rPr>
          <w:rFonts w:cs="Arial"/>
          <w:bCs/>
          <w:color w:val="000000" w:themeColor="text1"/>
          <w:szCs w:val="24"/>
        </w:rPr>
        <w:t>detailing that i</w:t>
      </w:r>
      <w:r w:rsidR="003908F2" w:rsidRPr="007935E0">
        <w:rPr>
          <w:rFonts w:cs="Arial"/>
          <w:szCs w:val="24"/>
        </w:rPr>
        <w:t>n 2015 the Co</w:t>
      </w:r>
      <w:r w:rsidR="00FF08D1">
        <w:rPr>
          <w:rFonts w:cs="Arial"/>
          <w:szCs w:val="24"/>
        </w:rPr>
        <w:t>u</w:t>
      </w:r>
      <w:r w:rsidR="003908F2" w:rsidRPr="007935E0">
        <w:rPr>
          <w:rFonts w:cs="Arial"/>
          <w:szCs w:val="24"/>
        </w:rPr>
        <w:t>ncil agreed to host a Civic Awards scheme and ceremonies were subsequently held in May 2016, 2017, and 2018.  In November 2018, the delivery of the scheme was reviewed and the Council agreed that, given the downward trend in the number of nominations received over the preceding three-year period that the Council would not hold a Civic Awards Scheme in 2019 but instead would hold one in 2020 and every alternate year thereafter.   </w:t>
      </w:r>
    </w:p>
    <w:p w14:paraId="18E88B47" w14:textId="77777777" w:rsidR="003908F2" w:rsidRPr="007935E0" w:rsidRDefault="003908F2" w:rsidP="007935E0">
      <w:pPr>
        <w:rPr>
          <w:rFonts w:cs="Arial"/>
          <w:szCs w:val="24"/>
        </w:rPr>
      </w:pPr>
      <w:r w:rsidRPr="007935E0">
        <w:rPr>
          <w:rFonts w:cs="Arial"/>
          <w:szCs w:val="24"/>
        </w:rPr>
        <w:lastRenderedPageBreak/>
        <w:t> </w:t>
      </w:r>
    </w:p>
    <w:p w14:paraId="2C33DC44" w14:textId="77777777" w:rsidR="003908F2" w:rsidRPr="007935E0" w:rsidRDefault="003908F2" w:rsidP="007935E0">
      <w:pPr>
        <w:rPr>
          <w:rFonts w:cs="Arial"/>
          <w:szCs w:val="24"/>
        </w:rPr>
      </w:pPr>
      <w:r w:rsidRPr="007935E0">
        <w:rPr>
          <w:rFonts w:cs="Arial"/>
          <w:szCs w:val="24"/>
        </w:rPr>
        <w:t>At that time the categories of awards were reconsidered, and nominations were invited under the following revised categories: -  </w:t>
      </w:r>
    </w:p>
    <w:p w14:paraId="5C95E7E4" w14:textId="77777777" w:rsidR="003908F2" w:rsidRPr="007935E0" w:rsidRDefault="003908F2" w:rsidP="007935E0">
      <w:pPr>
        <w:rPr>
          <w:rFonts w:cs="Arial"/>
          <w:szCs w:val="24"/>
        </w:rPr>
      </w:pPr>
      <w:r w:rsidRPr="007935E0">
        <w:rPr>
          <w:rFonts w:cs="Arial"/>
          <w:szCs w:val="24"/>
        </w:rPr>
        <w:t> </w:t>
      </w:r>
    </w:p>
    <w:p w14:paraId="7DEE0D73" w14:textId="77777777" w:rsidR="003908F2" w:rsidRPr="007935E0" w:rsidRDefault="003908F2" w:rsidP="007935E0">
      <w:pPr>
        <w:numPr>
          <w:ilvl w:val="0"/>
          <w:numId w:val="4"/>
        </w:numPr>
        <w:rPr>
          <w:rFonts w:cs="Arial"/>
          <w:szCs w:val="24"/>
        </w:rPr>
      </w:pPr>
      <w:r w:rsidRPr="007935E0">
        <w:rPr>
          <w:rFonts w:cs="Arial"/>
          <w:szCs w:val="24"/>
        </w:rPr>
        <w:t>Community Award – Significant service in the field of voluntary community work.   </w:t>
      </w:r>
    </w:p>
    <w:p w14:paraId="3086E16D" w14:textId="77777777" w:rsidR="003908F2" w:rsidRPr="007935E0" w:rsidRDefault="003908F2" w:rsidP="007935E0">
      <w:pPr>
        <w:numPr>
          <w:ilvl w:val="0"/>
          <w:numId w:val="5"/>
        </w:numPr>
        <w:rPr>
          <w:rFonts w:cs="Arial"/>
          <w:szCs w:val="24"/>
        </w:rPr>
      </w:pPr>
      <w:r w:rsidRPr="007935E0">
        <w:rPr>
          <w:rFonts w:cs="Arial"/>
          <w:szCs w:val="24"/>
        </w:rPr>
        <w:t>Good Neighbour Award– ‘Going the extra mile’ within the local community.  </w:t>
      </w:r>
    </w:p>
    <w:p w14:paraId="4182D4C2" w14:textId="77777777" w:rsidR="003908F2" w:rsidRPr="007935E0" w:rsidRDefault="003908F2" w:rsidP="007935E0">
      <w:pPr>
        <w:numPr>
          <w:ilvl w:val="0"/>
          <w:numId w:val="6"/>
        </w:numPr>
        <w:rPr>
          <w:rFonts w:cs="Arial"/>
          <w:szCs w:val="24"/>
        </w:rPr>
      </w:pPr>
      <w:r w:rsidRPr="007935E0">
        <w:rPr>
          <w:rFonts w:cs="Arial"/>
          <w:szCs w:val="24"/>
        </w:rPr>
        <w:t>Youth Award – This award recognises those aged under 18 who have achieved a great deal whether in their academic life, sport, in dealing with personal challenges or their contributions to the community. </w:t>
      </w:r>
    </w:p>
    <w:p w14:paraId="5328FF3A" w14:textId="77777777" w:rsidR="003908F2" w:rsidRPr="007935E0" w:rsidRDefault="003908F2" w:rsidP="007935E0">
      <w:pPr>
        <w:numPr>
          <w:ilvl w:val="0"/>
          <w:numId w:val="7"/>
        </w:numPr>
        <w:rPr>
          <w:rFonts w:cs="Arial"/>
          <w:szCs w:val="24"/>
        </w:rPr>
      </w:pPr>
      <w:r w:rsidRPr="007935E0">
        <w:rPr>
          <w:rFonts w:cs="Arial"/>
          <w:szCs w:val="24"/>
        </w:rPr>
        <w:t>Arts, Culture or Heritage Award – This award recognises the contribution made by an individual or group to the arts, local culture or heritage. </w:t>
      </w:r>
    </w:p>
    <w:p w14:paraId="66D42B5C" w14:textId="77777777" w:rsidR="003908F2" w:rsidRPr="007935E0" w:rsidRDefault="003908F2" w:rsidP="007935E0">
      <w:pPr>
        <w:numPr>
          <w:ilvl w:val="0"/>
          <w:numId w:val="8"/>
        </w:numPr>
        <w:rPr>
          <w:rFonts w:cs="Arial"/>
          <w:szCs w:val="24"/>
        </w:rPr>
      </w:pPr>
      <w:r w:rsidRPr="007935E0">
        <w:rPr>
          <w:rFonts w:cs="Arial"/>
          <w:szCs w:val="24"/>
        </w:rPr>
        <w:t>Environmental Sustainability Award – This award recognises an individual or group that has made a significant contribution to the protection/conservation of the environment.   </w:t>
      </w:r>
    </w:p>
    <w:p w14:paraId="749059B6" w14:textId="77777777" w:rsidR="003908F2" w:rsidRPr="007935E0" w:rsidRDefault="003908F2" w:rsidP="007935E0">
      <w:pPr>
        <w:numPr>
          <w:ilvl w:val="0"/>
          <w:numId w:val="9"/>
        </w:numPr>
        <w:rPr>
          <w:rFonts w:cs="Arial"/>
          <w:szCs w:val="24"/>
        </w:rPr>
      </w:pPr>
      <w:r w:rsidRPr="007935E0">
        <w:rPr>
          <w:rFonts w:cs="Arial"/>
          <w:szCs w:val="24"/>
        </w:rPr>
        <w:t>Mayor’s Special Civic Award – A special award will be presented by the Mayor of Ards and North Down in recognition of outstanding service or special qualities demonstrated by an individual. Nominations are not sought for this award. </w:t>
      </w:r>
    </w:p>
    <w:p w14:paraId="60CE8D88" w14:textId="77777777" w:rsidR="003908F2" w:rsidRPr="007935E0" w:rsidRDefault="003908F2" w:rsidP="007935E0">
      <w:pPr>
        <w:rPr>
          <w:rFonts w:cs="Arial"/>
          <w:szCs w:val="24"/>
        </w:rPr>
      </w:pPr>
      <w:r w:rsidRPr="007935E0">
        <w:rPr>
          <w:rFonts w:cs="Arial"/>
          <w:szCs w:val="24"/>
        </w:rPr>
        <w:t> </w:t>
      </w:r>
    </w:p>
    <w:p w14:paraId="6F188254" w14:textId="7DEA1CD4" w:rsidR="003908F2" w:rsidRPr="007935E0" w:rsidRDefault="003908F2" w:rsidP="007935E0">
      <w:pPr>
        <w:rPr>
          <w:rFonts w:cs="Arial"/>
          <w:szCs w:val="24"/>
        </w:rPr>
      </w:pPr>
      <w:r w:rsidRPr="007935E0">
        <w:rPr>
          <w:rFonts w:cs="Arial"/>
          <w:szCs w:val="24"/>
        </w:rPr>
        <w:t>While the scheme was relaunched in 2020 it was later cancelled due to the Covid pandemic. The scheme ha</w:t>
      </w:r>
      <w:r w:rsidR="007935E0">
        <w:rPr>
          <w:rFonts w:cs="Arial"/>
          <w:szCs w:val="24"/>
        </w:rPr>
        <w:t>d</w:t>
      </w:r>
      <w:r w:rsidRPr="007935E0">
        <w:rPr>
          <w:rFonts w:cs="Arial"/>
          <w:szCs w:val="24"/>
        </w:rPr>
        <w:t xml:space="preserve"> not run since. </w:t>
      </w:r>
    </w:p>
    <w:p w14:paraId="1A4CCE3F" w14:textId="77777777" w:rsidR="003908F2" w:rsidRPr="00171D07" w:rsidRDefault="003908F2" w:rsidP="007935E0">
      <w:pPr>
        <w:rPr>
          <w:rFonts w:cs="Arial"/>
          <w:szCs w:val="24"/>
        </w:rPr>
      </w:pPr>
      <w:r w:rsidRPr="00171D07">
        <w:rPr>
          <w:rFonts w:cs="Arial"/>
          <w:szCs w:val="24"/>
        </w:rPr>
        <w:t> </w:t>
      </w:r>
    </w:p>
    <w:p w14:paraId="0F9118F0" w14:textId="77777777" w:rsidR="003908F2" w:rsidRPr="007935E0" w:rsidRDefault="003908F2" w:rsidP="007935E0">
      <w:pPr>
        <w:rPr>
          <w:rFonts w:cs="Arial"/>
          <w:szCs w:val="24"/>
        </w:rPr>
      </w:pPr>
      <w:r w:rsidRPr="007935E0">
        <w:rPr>
          <w:rFonts w:cs="Arial"/>
          <w:b/>
          <w:bCs/>
          <w:szCs w:val="24"/>
        </w:rPr>
        <w:t>Update</w:t>
      </w:r>
      <w:r w:rsidRPr="007935E0">
        <w:rPr>
          <w:rFonts w:cs="Arial"/>
          <w:szCs w:val="24"/>
        </w:rPr>
        <w:t> </w:t>
      </w:r>
    </w:p>
    <w:p w14:paraId="4C765EB1" w14:textId="34D9B290" w:rsidR="003908F2" w:rsidRPr="007935E0" w:rsidRDefault="003908F2" w:rsidP="007935E0">
      <w:pPr>
        <w:rPr>
          <w:rFonts w:cs="Arial"/>
          <w:szCs w:val="24"/>
        </w:rPr>
      </w:pPr>
      <w:r w:rsidRPr="007935E0">
        <w:rPr>
          <w:rFonts w:cs="Arial"/>
          <w:szCs w:val="24"/>
        </w:rPr>
        <w:t>Officers ha</w:t>
      </w:r>
      <w:r w:rsidR="007935E0">
        <w:rPr>
          <w:rFonts w:cs="Arial"/>
          <w:szCs w:val="24"/>
        </w:rPr>
        <w:t>d</w:t>
      </w:r>
      <w:r w:rsidRPr="007935E0">
        <w:rPr>
          <w:rFonts w:cs="Arial"/>
          <w:szCs w:val="24"/>
        </w:rPr>
        <w:t xml:space="preserve"> recently reviewed the scheme and the award categories. </w:t>
      </w:r>
    </w:p>
    <w:p w14:paraId="741B8C48" w14:textId="77777777" w:rsidR="003908F2" w:rsidRPr="007935E0" w:rsidRDefault="003908F2" w:rsidP="007935E0">
      <w:pPr>
        <w:rPr>
          <w:rFonts w:cs="Arial"/>
          <w:szCs w:val="24"/>
        </w:rPr>
      </w:pPr>
      <w:r w:rsidRPr="007935E0">
        <w:rPr>
          <w:rFonts w:cs="Arial"/>
          <w:szCs w:val="24"/>
        </w:rPr>
        <w:t> </w:t>
      </w:r>
    </w:p>
    <w:p w14:paraId="5FE19A25" w14:textId="7F1E38DF" w:rsidR="003908F2" w:rsidRPr="007935E0" w:rsidRDefault="003908F2" w:rsidP="007935E0">
      <w:pPr>
        <w:rPr>
          <w:rFonts w:cs="Arial"/>
          <w:szCs w:val="24"/>
        </w:rPr>
      </w:pPr>
      <w:r w:rsidRPr="007935E0">
        <w:rPr>
          <w:rFonts w:cs="Arial"/>
          <w:szCs w:val="24"/>
        </w:rPr>
        <w:t xml:space="preserve">It </w:t>
      </w:r>
      <w:r w:rsidR="007935E0">
        <w:rPr>
          <w:rFonts w:cs="Arial"/>
          <w:szCs w:val="24"/>
        </w:rPr>
        <w:t>was</w:t>
      </w:r>
      <w:r w:rsidRPr="007935E0">
        <w:rPr>
          <w:rFonts w:cs="Arial"/>
          <w:szCs w:val="24"/>
        </w:rPr>
        <w:t xml:space="preserve"> proposed that the Council launche</w:t>
      </w:r>
      <w:r w:rsidR="007935E0">
        <w:rPr>
          <w:rFonts w:cs="Arial"/>
          <w:szCs w:val="24"/>
        </w:rPr>
        <w:t>d</w:t>
      </w:r>
      <w:r w:rsidRPr="007935E0">
        <w:rPr>
          <w:rFonts w:cs="Arial"/>
          <w:szCs w:val="24"/>
        </w:rPr>
        <w:t xml:space="preserve"> the Civic Awards 2025 at the beginning of February 2025, in line with normal timeframes, with a view to hosting a Civic Awards Ceremony in May 2025. The categories ha</w:t>
      </w:r>
      <w:r w:rsidR="007935E0">
        <w:rPr>
          <w:rFonts w:cs="Arial"/>
          <w:szCs w:val="24"/>
        </w:rPr>
        <w:t>d</w:t>
      </w:r>
      <w:r w:rsidRPr="007935E0">
        <w:rPr>
          <w:rFonts w:cs="Arial"/>
          <w:szCs w:val="24"/>
        </w:rPr>
        <w:t xml:space="preserve"> been updated as follows: </w:t>
      </w:r>
    </w:p>
    <w:p w14:paraId="6CE35E2C" w14:textId="77777777" w:rsidR="003908F2" w:rsidRPr="007935E0" w:rsidRDefault="003908F2" w:rsidP="007935E0">
      <w:pPr>
        <w:rPr>
          <w:rFonts w:cs="Arial"/>
          <w:szCs w:val="24"/>
        </w:rPr>
      </w:pPr>
      <w:r w:rsidRPr="007935E0">
        <w:rPr>
          <w:rFonts w:cs="Arial"/>
          <w:szCs w:val="24"/>
        </w:rPr>
        <w:t> </w:t>
      </w:r>
    </w:p>
    <w:p w14:paraId="69A0AAEE" w14:textId="2EE10AE8" w:rsidR="003908F2" w:rsidRPr="007935E0" w:rsidRDefault="003908F2" w:rsidP="007935E0">
      <w:pPr>
        <w:numPr>
          <w:ilvl w:val="0"/>
          <w:numId w:val="10"/>
        </w:numPr>
        <w:rPr>
          <w:rFonts w:cs="Arial"/>
          <w:szCs w:val="24"/>
        </w:rPr>
      </w:pPr>
      <w:r w:rsidRPr="007935E0">
        <w:rPr>
          <w:rFonts w:cs="Arial"/>
          <w:szCs w:val="24"/>
        </w:rPr>
        <w:t>Community Champion Award – This award w</w:t>
      </w:r>
      <w:r w:rsidR="007935E0">
        <w:rPr>
          <w:rFonts w:cs="Arial"/>
          <w:szCs w:val="24"/>
        </w:rPr>
        <w:t>ould</w:t>
      </w:r>
      <w:r w:rsidRPr="007935E0">
        <w:rPr>
          <w:rFonts w:cs="Arial"/>
          <w:szCs w:val="24"/>
        </w:rPr>
        <w:t xml:space="preserve"> recognise an individual who has gone above and beyond in their efforts to support and uplift their community. </w:t>
      </w:r>
    </w:p>
    <w:p w14:paraId="53CA4A7F" w14:textId="3776BED4" w:rsidR="003908F2" w:rsidRPr="007935E0" w:rsidRDefault="003908F2" w:rsidP="007935E0">
      <w:pPr>
        <w:numPr>
          <w:ilvl w:val="0"/>
          <w:numId w:val="11"/>
        </w:numPr>
        <w:rPr>
          <w:rFonts w:cs="Arial"/>
          <w:szCs w:val="24"/>
        </w:rPr>
      </w:pPr>
      <w:r w:rsidRPr="007935E0">
        <w:rPr>
          <w:rFonts w:cs="Arial"/>
          <w:szCs w:val="24"/>
        </w:rPr>
        <w:t>Community Group Award – This award w</w:t>
      </w:r>
      <w:r w:rsidR="007935E0">
        <w:rPr>
          <w:rFonts w:cs="Arial"/>
          <w:szCs w:val="24"/>
        </w:rPr>
        <w:t>ould</w:t>
      </w:r>
      <w:r w:rsidRPr="007935E0">
        <w:rPr>
          <w:rFonts w:cs="Arial"/>
          <w:szCs w:val="24"/>
        </w:rPr>
        <w:t xml:space="preserve"> recognise a group or organisation that has made outstanding contributions to the community.  </w:t>
      </w:r>
    </w:p>
    <w:p w14:paraId="1298C268" w14:textId="288BDAA6" w:rsidR="003908F2" w:rsidRPr="007935E0" w:rsidRDefault="003908F2" w:rsidP="007935E0">
      <w:pPr>
        <w:numPr>
          <w:ilvl w:val="0"/>
          <w:numId w:val="12"/>
        </w:numPr>
        <w:rPr>
          <w:rFonts w:cs="Arial"/>
          <w:szCs w:val="24"/>
        </w:rPr>
      </w:pPr>
      <w:r w:rsidRPr="007935E0">
        <w:rPr>
          <w:rFonts w:cs="Arial"/>
          <w:szCs w:val="24"/>
        </w:rPr>
        <w:t>Youth Impact Award – This award w</w:t>
      </w:r>
      <w:r w:rsidR="007935E0">
        <w:rPr>
          <w:rFonts w:cs="Arial"/>
          <w:szCs w:val="24"/>
        </w:rPr>
        <w:t>ould</w:t>
      </w:r>
      <w:r w:rsidRPr="007935E0">
        <w:rPr>
          <w:rFonts w:cs="Arial"/>
          <w:szCs w:val="24"/>
        </w:rPr>
        <w:t xml:space="preserve"> recognise an individual aged under 18 who have achieved a great deal whether in their academic life, sport, in dealing with personal challenges or their contributions to the community.  </w:t>
      </w:r>
    </w:p>
    <w:p w14:paraId="0966C236" w14:textId="29E24A65" w:rsidR="003908F2" w:rsidRPr="007935E0" w:rsidRDefault="003908F2" w:rsidP="007935E0">
      <w:pPr>
        <w:numPr>
          <w:ilvl w:val="0"/>
          <w:numId w:val="13"/>
        </w:numPr>
        <w:rPr>
          <w:rFonts w:cs="Arial"/>
          <w:szCs w:val="24"/>
        </w:rPr>
      </w:pPr>
      <w:r w:rsidRPr="007935E0">
        <w:rPr>
          <w:rFonts w:cs="Arial"/>
          <w:szCs w:val="24"/>
        </w:rPr>
        <w:t xml:space="preserve">Arts, Culture or Heritage Award – This award </w:t>
      </w:r>
      <w:r w:rsidR="007935E0">
        <w:rPr>
          <w:rFonts w:cs="Arial"/>
          <w:szCs w:val="24"/>
        </w:rPr>
        <w:t>would</w:t>
      </w:r>
      <w:r w:rsidRPr="007935E0">
        <w:rPr>
          <w:rFonts w:cs="Arial"/>
          <w:szCs w:val="24"/>
        </w:rPr>
        <w:t xml:space="preserve"> recognise an individual or group who has made a significant contribution to the arts, local culture or heritage. </w:t>
      </w:r>
    </w:p>
    <w:p w14:paraId="46354E75" w14:textId="77777777" w:rsidR="003908F2" w:rsidRPr="007935E0" w:rsidRDefault="003908F2" w:rsidP="007935E0">
      <w:pPr>
        <w:numPr>
          <w:ilvl w:val="0"/>
          <w:numId w:val="14"/>
        </w:numPr>
        <w:rPr>
          <w:rFonts w:cs="Arial"/>
          <w:szCs w:val="24"/>
        </w:rPr>
      </w:pPr>
      <w:r w:rsidRPr="007935E0">
        <w:rPr>
          <w:rFonts w:cs="Arial"/>
          <w:szCs w:val="24"/>
        </w:rPr>
        <w:t>Environmental Sustainability Award – This award recognises an individual or group that has made a significant contribution to the protection/conservation of the environment.   </w:t>
      </w:r>
    </w:p>
    <w:p w14:paraId="060FCB3B" w14:textId="27A307FD" w:rsidR="003908F2" w:rsidRPr="007935E0" w:rsidRDefault="003908F2" w:rsidP="007935E0">
      <w:pPr>
        <w:numPr>
          <w:ilvl w:val="0"/>
          <w:numId w:val="15"/>
        </w:numPr>
        <w:rPr>
          <w:rFonts w:cs="Arial"/>
          <w:szCs w:val="24"/>
        </w:rPr>
      </w:pPr>
      <w:r w:rsidRPr="007935E0">
        <w:rPr>
          <w:rFonts w:cs="Arial"/>
          <w:szCs w:val="24"/>
        </w:rPr>
        <w:t>Mayor’s Special Civic Award – A special award w</w:t>
      </w:r>
      <w:r w:rsidR="007935E0">
        <w:rPr>
          <w:rFonts w:cs="Arial"/>
          <w:szCs w:val="24"/>
        </w:rPr>
        <w:t>ould</w:t>
      </w:r>
      <w:r w:rsidRPr="007935E0">
        <w:rPr>
          <w:rFonts w:cs="Arial"/>
          <w:szCs w:val="24"/>
        </w:rPr>
        <w:t xml:space="preserve"> be presented by the Mayor of Ards and North Down in recognition of outstanding service or special qualities demonstrated by an individual. Nominations </w:t>
      </w:r>
      <w:r w:rsidR="007935E0">
        <w:rPr>
          <w:rFonts w:cs="Arial"/>
          <w:szCs w:val="24"/>
        </w:rPr>
        <w:t>were</w:t>
      </w:r>
      <w:r w:rsidRPr="007935E0">
        <w:rPr>
          <w:rFonts w:cs="Arial"/>
          <w:szCs w:val="24"/>
        </w:rPr>
        <w:t xml:space="preserve"> not sought for this award but may be awarded from the list of nominees. </w:t>
      </w:r>
    </w:p>
    <w:p w14:paraId="26F4390D" w14:textId="77777777" w:rsidR="003908F2" w:rsidRPr="007935E0" w:rsidRDefault="003908F2" w:rsidP="007935E0">
      <w:pPr>
        <w:rPr>
          <w:rFonts w:cs="Arial"/>
          <w:szCs w:val="24"/>
        </w:rPr>
      </w:pPr>
      <w:r w:rsidRPr="007935E0">
        <w:rPr>
          <w:rFonts w:cs="Arial"/>
          <w:szCs w:val="24"/>
        </w:rPr>
        <w:t> </w:t>
      </w:r>
    </w:p>
    <w:p w14:paraId="023D7E6B" w14:textId="5E08C689" w:rsidR="003908F2" w:rsidRPr="007935E0" w:rsidRDefault="003908F2" w:rsidP="007935E0">
      <w:pPr>
        <w:rPr>
          <w:rFonts w:cs="Arial"/>
          <w:szCs w:val="24"/>
        </w:rPr>
      </w:pPr>
      <w:r w:rsidRPr="007935E0">
        <w:rPr>
          <w:rFonts w:cs="Arial"/>
          <w:szCs w:val="24"/>
        </w:rPr>
        <w:lastRenderedPageBreak/>
        <w:t xml:space="preserve">In order to maximise interest and quality, it </w:t>
      </w:r>
      <w:r w:rsidR="007935E0">
        <w:rPr>
          <w:rFonts w:cs="Arial"/>
          <w:szCs w:val="24"/>
        </w:rPr>
        <w:t>was</w:t>
      </w:r>
      <w:r w:rsidRPr="007935E0">
        <w:rPr>
          <w:rFonts w:cs="Arial"/>
          <w:szCs w:val="24"/>
        </w:rPr>
        <w:t xml:space="preserve"> proposed that the Civic Awards take place once each electoral term.   </w:t>
      </w:r>
    </w:p>
    <w:p w14:paraId="0C27886B" w14:textId="77777777" w:rsidR="003908F2" w:rsidRPr="007935E0" w:rsidRDefault="003908F2" w:rsidP="007935E0">
      <w:pPr>
        <w:rPr>
          <w:rFonts w:cs="Arial"/>
          <w:szCs w:val="24"/>
        </w:rPr>
      </w:pPr>
      <w:r w:rsidRPr="007935E0">
        <w:rPr>
          <w:rFonts w:cs="Arial"/>
          <w:szCs w:val="24"/>
        </w:rPr>
        <w:t> </w:t>
      </w:r>
    </w:p>
    <w:p w14:paraId="63A93787" w14:textId="23170584" w:rsidR="003908F2" w:rsidRPr="007935E0" w:rsidRDefault="003908F2" w:rsidP="007935E0">
      <w:pPr>
        <w:rPr>
          <w:rFonts w:cs="Arial"/>
          <w:szCs w:val="24"/>
        </w:rPr>
      </w:pPr>
      <w:r w:rsidRPr="007935E0">
        <w:rPr>
          <w:rFonts w:cs="Arial"/>
          <w:szCs w:val="24"/>
        </w:rPr>
        <w:t xml:space="preserve">It </w:t>
      </w:r>
      <w:r w:rsidR="007935E0">
        <w:rPr>
          <w:rFonts w:cs="Arial"/>
          <w:szCs w:val="24"/>
        </w:rPr>
        <w:t>was</w:t>
      </w:r>
      <w:r w:rsidRPr="007935E0">
        <w:rPr>
          <w:rFonts w:cs="Arial"/>
          <w:szCs w:val="24"/>
        </w:rPr>
        <w:t xml:space="preserve"> proposed that a judging panel, consisting of the Mayor and two other elected members, be appointed. The panel </w:t>
      </w:r>
      <w:r w:rsidR="007935E0">
        <w:rPr>
          <w:rFonts w:cs="Arial"/>
          <w:szCs w:val="24"/>
        </w:rPr>
        <w:t xml:space="preserve">would </w:t>
      </w:r>
      <w:r w:rsidRPr="007935E0">
        <w:rPr>
          <w:rFonts w:cs="Arial"/>
          <w:szCs w:val="24"/>
        </w:rPr>
        <w:t>be supported by officers from Democratic Services. </w:t>
      </w:r>
    </w:p>
    <w:p w14:paraId="0B32C87F" w14:textId="453B5904" w:rsidR="003908F2" w:rsidRPr="007935E0" w:rsidRDefault="003908F2" w:rsidP="007935E0">
      <w:pPr>
        <w:rPr>
          <w:rFonts w:cs="Arial"/>
          <w:szCs w:val="24"/>
        </w:rPr>
      </w:pPr>
      <w:r w:rsidRPr="007935E0">
        <w:rPr>
          <w:rFonts w:cs="Arial"/>
          <w:szCs w:val="24"/>
        </w:rPr>
        <w:t>  </w:t>
      </w:r>
    </w:p>
    <w:p w14:paraId="36426556" w14:textId="44D20BC7" w:rsidR="003908F2" w:rsidRPr="007935E0" w:rsidRDefault="007935E0" w:rsidP="007935E0">
      <w:pPr>
        <w:rPr>
          <w:rFonts w:cs="Arial"/>
          <w:szCs w:val="24"/>
        </w:rPr>
      </w:pPr>
      <w:r w:rsidRPr="007935E0">
        <w:rPr>
          <w:rFonts w:cs="Arial"/>
          <w:caps/>
          <w:szCs w:val="24"/>
        </w:rPr>
        <w:t>R</w:t>
      </w:r>
      <w:r w:rsidR="003908F2" w:rsidRPr="007935E0">
        <w:rPr>
          <w:rFonts w:cs="Arial"/>
          <w:caps/>
          <w:szCs w:val="24"/>
        </w:rPr>
        <w:t xml:space="preserve">ecommended </w:t>
      </w:r>
      <w:r w:rsidR="003908F2" w:rsidRPr="007935E0">
        <w:rPr>
          <w:rFonts w:cs="Arial"/>
          <w:szCs w:val="24"/>
        </w:rPr>
        <w:t>that the Council: </w:t>
      </w:r>
    </w:p>
    <w:p w14:paraId="2C366CBC" w14:textId="77777777" w:rsidR="003908F2" w:rsidRPr="007935E0" w:rsidRDefault="003908F2" w:rsidP="007935E0">
      <w:pPr>
        <w:numPr>
          <w:ilvl w:val="0"/>
          <w:numId w:val="16"/>
        </w:numPr>
        <w:rPr>
          <w:rFonts w:cs="Arial"/>
          <w:szCs w:val="24"/>
        </w:rPr>
      </w:pPr>
      <w:r w:rsidRPr="007935E0">
        <w:rPr>
          <w:rFonts w:cs="Arial"/>
          <w:szCs w:val="24"/>
        </w:rPr>
        <w:t>launches the Civic Awards 2025 as detailed in the report; and  </w:t>
      </w:r>
    </w:p>
    <w:p w14:paraId="3EF62FA1" w14:textId="77777777" w:rsidR="003908F2" w:rsidRPr="007935E0" w:rsidRDefault="003908F2" w:rsidP="007935E0">
      <w:pPr>
        <w:numPr>
          <w:ilvl w:val="0"/>
          <w:numId w:val="17"/>
        </w:numPr>
        <w:rPr>
          <w:rFonts w:cs="Arial"/>
          <w:szCs w:val="24"/>
        </w:rPr>
      </w:pPr>
      <w:r w:rsidRPr="007935E0">
        <w:rPr>
          <w:rFonts w:cs="Arial"/>
          <w:szCs w:val="24"/>
        </w:rPr>
        <w:t>appoints two elected members to the judging panel along with the Mayor. </w:t>
      </w:r>
    </w:p>
    <w:p w14:paraId="058E0A56" w14:textId="77777777" w:rsidR="003908F2" w:rsidRPr="007935E0" w:rsidRDefault="003908F2" w:rsidP="007935E0">
      <w:pPr>
        <w:rPr>
          <w:rFonts w:cs="Arial"/>
          <w:szCs w:val="24"/>
        </w:rPr>
      </w:pPr>
      <w:r w:rsidRPr="007935E0">
        <w:rPr>
          <w:rFonts w:cs="Arial"/>
          <w:szCs w:val="24"/>
        </w:rPr>
        <w:t> </w:t>
      </w:r>
    </w:p>
    <w:p w14:paraId="352F265D" w14:textId="7CECB5B1" w:rsidR="003908F2" w:rsidRDefault="00D64B7D" w:rsidP="003908F2">
      <w:pPr>
        <w:rPr>
          <w:rFonts w:cs="Arial"/>
          <w:szCs w:val="24"/>
        </w:rPr>
      </w:pPr>
      <w:r>
        <w:rPr>
          <w:rFonts w:cs="Arial"/>
          <w:szCs w:val="24"/>
        </w:rPr>
        <w:t xml:space="preserve">Proposed by Councillor Gilmour, seconded by Alderman McIlveen, that the recommendations, be adopted. </w:t>
      </w:r>
      <w:r w:rsidR="003908F2" w:rsidRPr="00171D07">
        <w:rPr>
          <w:rFonts w:cs="Arial"/>
          <w:szCs w:val="24"/>
        </w:rPr>
        <w:t> </w:t>
      </w:r>
    </w:p>
    <w:p w14:paraId="59C884FE" w14:textId="77777777" w:rsidR="00DB6828" w:rsidRPr="00171D07" w:rsidRDefault="00DB6828" w:rsidP="003908F2">
      <w:pPr>
        <w:rPr>
          <w:rFonts w:cs="Arial"/>
          <w:szCs w:val="24"/>
        </w:rPr>
      </w:pPr>
    </w:p>
    <w:p w14:paraId="6CDF7C33" w14:textId="5B8753B3" w:rsidR="003908F2" w:rsidRPr="00083A77" w:rsidRDefault="00D64B7D" w:rsidP="003908F2">
      <w:pPr>
        <w:rPr>
          <w:rFonts w:cs="Arial"/>
          <w:szCs w:val="24"/>
        </w:rPr>
      </w:pPr>
      <w:r>
        <w:rPr>
          <w:rFonts w:cs="Arial"/>
          <w:szCs w:val="24"/>
        </w:rPr>
        <w:t xml:space="preserve">Proposed by Alderman McIlveen, seconded by Councillor W Irvine, that Councillor S Irvine, be appointed to the Judging Panel. </w:t>
      </w:r>
    </w:p>
    <w:p w14:paraId="54AC9621" w14:textId="77777777" w:rsidR="003908F2" w:rsidRPr="004146DB" w:rsidRDefault="003908F2" w:rsidP="003908F2"/>
    <w:p w14:paraId="7C085583" w14:textId="22258910" w:rsidR="003908F2" w:rsidRPr="004146DB" w:rsidRDefault="00D64B7D" w:rsidP="003908F2">
      <w:r>
        <w:t xml:space="preserve">Proposed by Alderman McRandal, seconded by Councillor Moore, that Councillor Irwin, be adopted to the Judging Panel.  </w:t>
      </w:r>
    </w:p>
    <w:p w14:paraId="66C58783" w14:textId="77777777" w:rsidR="003908F2" w:rsidRDefault="003908F2" w:rsidP="003908F2"/>
    <w:p w14:paraId="6B20E075" w14:textId="49D1017F" w:rsidR="00D64B7D" w:rsidRDefault="00D64B7D" w:rsidP="003908F2">
      <w:r>
        <w:t xml:space="preserve">Councillor Gilmour welcomed the return of the awards which was a lovely opportunity to recognise people across the Borough.  As detailed in the report there were multiple categories. There were unsung heroes undertaking tremendous work and the awards provided an opportunity to recognise that work. </w:t>
      </w:r>
    </w:p>
    <w:p w14:paraId="7B7A894B" w14:textId="77777777" w:rsidR="00D64B7D" w:rsidRDefault="00D64B7D" w:rsidP="003908F2"/>
    <w:p w14:paraId="435F8208" w14:textId="05F33207" w:rsidR="00E83704" w:rsidRPr="004146DB" w:rsidRDefault="00E83704" w:rsidP="003908F2">
      <w:r>
        <w:t xml:space="preserve">Alderman McIlveen was delighted that the event was returning </w:t>
      </w:r>
      <w:r w:rsidR="00DB6828">
        <w:t>noting the sheer brea</w:t>
      </w:r>
      <w:r w:rsidR="004C05E8">
        <w:t>dth</w:t>
      </w:r>
      <w:r w:rsidR="00DB6828">
        <w:t xml:space="preserve"> of work that occurred across the Borough and the many people that give up their time. The awards provided the opportunity to sing the praises of those unsung heroes</w:t>
      </w:r>
      <w:r w:rsidR="001265CB">
        <w:t xml:space="preserve"> and publicly thank those people that give so much and so freely. </w:t>
      </w:r>
    </w:p>
    <w:p w14:paraId="0846EC1E" w14:textId="77777777" w:rsidR="003908F2" w:rsidRPr="004146DB" w:rsidRDefault="003908F2" w:rsidP="003908F2"/>
    <w:p w14:paraId="23DCF21F" w14:textId="118A3086" w:rsidR="003908F2" w:rsidRPr="00497F02" w:rsidRDefault="00224145" w:rsidP="003908F2">
      <w:pPr>
        <w:rPr>
          <w:b/>
          <w:bCs/>
        </w:rPr>
      </w:pPr>
      <w:r>
        <w:rPr>
          <w:b/>
          <w:bCs/>
        </w:rPr>
        <w:t>RESOLVED</w:t>
      </w:r>
      <w:r w:rsidR="00497F02" w:rsidRPr="00497F02">
        <w:rPr>
          <w:b/>
          <w:bCs/>
        </w:rPr>
        <w:t xml:space="preserve">, on the proposal of </w:t>
      </w:r>
      <w:r w:rsidR="00FA7C21">
        <w:rPr>
          <w:b/>
          <w:bCs/>
        </w:rPr>
        <w:t>Councillor Gilmour</w:t>
      </w:r>
      <w:r w:rsidR="00497F02" w:rsidRPr="00497F02">
        <w:rPr>
          <w:b/>
          <w:bCs/>
        </w:rPr>
        <w:t xml:space="preserve">, seconded by </w:t>
      </w:r>
      <w:r w:rsidR="00FA7C21">
        <w:rPr>
          <w:b/>
          <w:bCs/>
        </w:rPr>
        <w:t>Alderman McIlveen,</w:t>
      </w:r>
      <w:r w:rsidR="00497F02" w:rsidRPr="00497F02">
        <w:rPr>
          <w:b/>
          <w:bCs/>
        </w:rPr>
        <w:t xml:space="preserve"> that the </w:t>
      </w:r>
      <w:r w:rsidR="00497F02" w:rsidRPr="00FA7C21">
        <w:rPr>
          <w:b/>
          <w:bCs/>
        </w:rPr>
        <w:t>recommendation be adopted</w:t>
      </w:r>
      <w:r w:rsidR="00FA7C21" w:rsidRPr="00FA7C21">
        <w:rPr>
          <w:b/>
          <w:bCs/>
        </w:rPr>
        <w:t xml:space="preserve"> and that Councillor S Irvine and Councillor Irwin, be adopted to the </w:t>
      </w:r>
      <w:r w:rsidR="00FA7C21" w:rsidRPr="00FA7C21">
        <w:rPr>
          <w:rFonts w:cs="Arial"/>
          <w:b/>
          <w:bCs/>
          <w:szCs w:val="24"/>
        </w:rPr>
        <w:t>judging panel along with the Mayor.</w:t>
      </w:r>
      <w:r w:rsidR="00FA7C21" w:rsidRPr="007935E0">
        <w:rPr>
          <w:rFonts w:cs="Arial"/>
          <w:szCs w:val="24"/>
        </w:rPr>
        <w:t> </w:t>
      </w:r>
    </w:p>
    <w:p w14:paraId="0BDFDB45" w14:textId="77777777" w:rsidR="00ED7B06" w:rsidRPr="00497F02" w:rsidRDefault="00ED7B06" w:rsidP="00497F02">
      <w:pPr>
        <w:rPr>
          <w:rFonts w:eastAsia="Times New Roman" w:cs="Arial"/>
          <w:color w:val="000000" w:themeColor="text1"/>
          <w:szCs w:val="24"/>
        </w:rPr>
      </w:pPr>
    </w:p>
    <w:p w14:paraId="1CBC3179" w14:textId="7471D75E" w:rsidR="004E5534" w:rsidRPr="00C94CF7" w:rsidRDefault="00C94CF7" w:rsidP="00C94CF7">
      <w:pPr>
        <w:pStyle w:val="Heading1"/>
      </w:pPr>
      <w:r>
        <w:t>9.</w:t>
      </w:r>
      <w:r>
        <w:tab/>
      </w:r>
      <w:r w:rsidR="004E5534" w:rsidRPr="00C94CF7">
        <w:rPr>
          <w:u w:val="single"/>
        </w:rPr>
        <w:t>Responses to Notice of Motion</w:t>
      </w:r>
    </w:p>
    <w:p w14:paraId="4A04E0CE" w14:textId="77777777" w:rsidR="00C94CF7" w:rsidRDefault="00C94CF7" w:rsidP="00C94CF7">
      <w:pPr>
        <w:tabs>
          <w:tab w:val="left" w:pos="567"/>
        </w:tabs>
        <w:rPr>
          <w:rFonts w:cs="Arial"/>
          <w:color w:val="000000" w:themeColor="text1"/>
          <w:szCs w:val="24"/>
        </w:rPr>
      </w:pPr>
    </w:p>
    <w:p w14:paraId="7AC2A68D" w14:textId="32A32DE0" w:rsidR="004E5534" w:rsidRPr="008B4892" w:rsidRDefault="00C94CF7" w:rsidP="00C94CF7">
      <w:pPr>
        <w:tabs>
          <w:tab w:val="left" w:pos="567"/>
        </w:tabs>
        <w:rPr>
          <w:rFonts w:cs="Arial"/>
          <w:b/>
          <w:bCs/>
          <w:color w:val="000000" w:themeColor="text1"/>
          <w:szCs w:val="24"/>
        </w:rPr>
      </w:pPr>
      <w:r w:rsidRPr="008B4892">
        <w:rPr>
          <w:rFonts w:cs="Arial"/>
          <w:b/>
          <w:bCs/>
          <w:color w:val="000000" w:themeColor="text1"/>
          <w:szCs w:val="24"/>
        </w:rPr>
        <w:t>(a)</w:t>
      </w:r>
      <w:r w:rsidRPr="008B4892">
        <w:rPr>
          <w:rFonts w:cs="Arial"/>
          <w:b/>
          <w:bCs/>
          <w:color w:val="000000" w:themeColor="text1"/>
          <w:szCs w:val="24"/>
        </w:rPr>
        <w:tab/>
      </w:r>
      <w:r w:rsidR="004E5534" w:rsidRPr="000220C2">
        <w:rPr>
          <w:rFonts w:cs="Arial"/>
          <w:b/>
          <w:bCs/>
          <w:color w:val="000000" w:themeColor="text1"/>
          <w:szCs w:val="24"/>
          <w:u w:val="single"/>
        </w:rPr>
        <w:t>Deep concern at the poor state of the roads across ANDBC</w:t>
      </w:r>
      <w:r w:rsidR="004E5534" w:rsidRPr="008B4892">
        <w:rPr>
          <w:rFonts w:cs="Arial"/>
          <w:b/>
          <w:bCs/>
          <w:color w:val="000000" w:themeColor="text1"/>
          <w:szCs w:val="24"/>
        </w:rPr>
        <w:t xml:space="preserve"> </w:t>
      </w:r>
    </w:p>
    <w:p w14:paraId="2B4DED9D" w14:textId="2F29B4C3" w:rsidR="00C94CF7" w:rsidRDefault="000C2C68" w:rsidP="00C94CF7">
      <w:pPr>
        <w:tabs>
          <w:tab w:val="left" w:pos="567"/>
        </w:tabs>
        <w:rPr>
          <w:rFonts w:cs="Arial"/>
          <w:color w:val="000000" w:themeColor="text1"/>
          <w:szCs w:val="24"/>
        </w:rPr>
      </w:pPr>
      <w:r>
        <w:rPr>
          <w:rFonts w:cs="Arial"/>
          <w:color w:val="000000" w:themeColor="text1"/>
          <w:szCs w:val="24"/>
        </w:rPr>
        <w:tab/>
        <w:t xml:space="preserve">(Appendix </w:t>
      </w:r>
      <w:r w:rsidR="002F1D8D">
        <w:rPr>
          <w:rFonts w:cs="Arial"/>
          <w:color w:val="000000" w:themeColor="text1"/>
          <w:szCs w:val="24"/>
        </w:rPr>
        <w:t>VIII</w:t>
      </w:r>
      <w:r>
        <w:rPr>
          <w:rFonts w:cs="Arial"/>
          <w:color w:val="000000" w:themeColor="text1"/>
          <w:szCs w:val="24"/>
        </w:rPr>
        <w:t>)</w:t>
      </w:r>
    </w:p>
    <w:p w14:paraId="63F97E39" w14:textId="77777777" w:rsidR="000C2C68" w:rsidRDefault="000C2C68" w:rsidP="00C94CF7">
      <w:pPr>
        <w:tabs>
          <w:tab w:val="left" w:pos="567"/>
        </w:tabs>
        <w:rPr>
          <w:rFonts w:cs="Arial"/>
          <w:color w:val="000000" w:themeColor="text1"/>
          <w:szCs w:val="24"/>
        </w:rPr>
      </w:pPr>
    </w:p>
    <w:p w14:paraId="5A406336" w14:textId="4744D8AA" w:rsidR="000C2C68" w:rsidRDefault="008B4892" w:rsidP="000C2C68">
      <w:pPr>
        <w:rPr>
          <w:rFonts w:cs="Arial"/>
          <w:szCs w:val="24"/>
        </w:rPr>
      </w:pPr>
      <w:r w:rsidRPr="000C2C68">
        <w:rPr>
          <w:rFonts w:eastAsia="Calibri" w:cs="Arial"/>
          <w:caps/>
          <w:color w:val="000000" w:themeColor="text1"/>
          <w:szCs w:val="24"/>
        </w:rPr>
        <w:t>Previously circulated:-</w:t>
      </w:r>
      <w:r w:rsidRPr="000C2C68">
        <w:rPr>
          <w:rFonts w:eastAsia="Calibri" w:cs="Arial"/>
          <w:color w:val="000000" w:themeColor="text1"/>
          <w:szCs w:val="24"/>
        </w:rPr>
        <w:t xml:space="preserve"> Report from the Director of Corporate Services</w:t>
      </w:r>
      <w:r w:rsidR="000C2C68" w:rsidRPr="000C2C68">
        <w:rPr>
          <w:rFonts w:eastAsia="Calibri" w:cs="Arial"/>
          <w:color w:val="000000" w:themeColor="text1"/>
          <w:szCs w:val="24"/>
        </w:rPr>
        <w:t xml:space="preserve"> attaching letters from DfI. The report detailed </w:t>
      </w:r>
      <w:r w:rsidR="000C2C68" w:rsidRPr="000C2C68">
        <w:rPr>
          <w:rFonts w:cs="Arial"/>
          <w:bCs/>
          <w:szCs w:val="24"/>
        </w:rPr>
        <w:t>the</w:t>
      </w:r>
      <w:r w:rsidR="000C2C68" w:rsidRPr="000C2C68">
        <w:rPr>
          <w:rFonts w:cs="Arial"/>
          <w:szCs w:val="24"/>
        </w:rPr>
        <w:t xml:space="preserve"> following Notice of Motion was agreed by Corporate Services Committee at its meeting in September 2024:</w:t>
      </w:r>
    </w:p>
    <w:p w14:paraId="155B90FD" w14:textId="77777777" w:rsidR="000C2C68" w:rsidRPr="000C2C68" w:rsidRDefault="000C2C68" w:rsidP="000C2C68">
      <w:pPr>
        <w:rPr>
          <w:rFonts w:cs="Arial"/>
          <w:szCs w:val="24"/>
        </w:rPr>
      </w:pPr>
    </w:p>
    <w:p w14:paraId="732AEA8D" w14:textId="77777777" w:rsidR="000C2C68" w:rsidRPr="000C2C68" w:rsidRDefault="000C2C68" w:rsidP="000C2C68">
      <w:pPr>
        <w:rPr>
          <w:rFonts w:cs="Arial"/>
          <w:szCs w:val="24"/>
        </w:rPr>
      </w:pPr>
      <w:r w:rsidRPr="000C2C68">
        <w:rPr>
          <w:rFonts w:cs="Arial"/>
          <w:szCs w:val="24"/>
        </w:rPr>
        <w:t>“That Council notes the response but writes back to the Minister to ask for the data on the metrics he refers to in his letter that DfI use to allocate the budget and also ask for the benchmark data from Newry, Mourne &amp; Down, Lisburn &amp; Castlereagh and Armagh, Banbridge &amp; Craigavon Councils so we can assess the budget.”</w:t>
      </w:r>
    </w:p>
    <w:p w14:paraId="50751E8E" w14:textId="36660E70" w:rsidR="000C2C68" w:rsidRPr="000C2C68" w:rsidRDefault="000C2C68" w:rsidP="000C2C68">
      <w:pPr>
        <w:rPr>
          <w:rFonts w:cs="Arial"/>
          <w:szCs w:val="24"/>
        </w:rPr>
      </w:pPr>
      <w:r w:rsidRPr="000C2C68">
        <w:rPr>
          <w:rFonts w:cs="Arial"/>
          <w:szCs w:val="24"/>
        </w:rPr>
        <w:t xml:space="preserve">A letter was sent from the Chief Executive on 9 October 2024 and a reply was received on 25 October 2024.  </w:t>
      </w:r>
    </w:p>
    <w:p w14:paraId="0C6CB34F" w14:textId="0444B4EF" w:rsidR="000C2C68" w:rsidRPr="000C2C68" w:rsidRDefault="000C2C68" w:rsidP="000C2C68">
      <w:pPr>
        <w:rPr>
          <w:rFonts w:cs="Arial"/>
          <w:b/>
          <w:bCs/>
          <w:caps/>
          <w:szCs w:val="24"/>
        </w:rPr>
      </w:pPr>
    </w:p>
    <w:p w14:paraId="41278B55" w14:textId="15423F0F" w:rsidR="000C2C68" w:rsidRPr="000C2C68" w:rsidRDefault="000C2C68" w:rsidP="000C2C68">
      <w:pPr>
        <w:rPr>
          <w:rFonts w:cs="Arial"/>
          <w:szCs w:val="24"/>
        </w:rPr>
      </w:pPr>
      <w:r w:rsidRPr="000C2C68">
        <w:rPr>
          <w:rFonts w:cs="Arial"/>
          <w:caps/>
          <w:szCs w:val="24"/>
        </w:rPr>
        <w:lastRenderedPageBreak/>
        <w:t>Recommended</w:t>
      </w:r>
      <w:r w:rsidRPr="000C2C68">
        <w:rPr>
          <w:rFonts w:cs="Arial"/>
          <w:szCs w:val="24"/>
        </w:rPr>
        <w:t xml:space="preserve"> that the Council notes the response.</w:t>
      </w:r>
    </w:p>
    <w:p w14:paraId="1C5E63C1" w14:textId="2519071C" w:rsidR="00C94CF7" w:rsidRDefault="00C94CF7" w:rsidP="00C94CF7">
      <w:pPr>
        <w:tabs>
          <w:tab w:val="left" w:pos="567"/>
        </w:tabs>
        <w:rPr>
          <w:rFonts w:cs="Arial"/>
          <w:color w:val="000000" w:themeColor="text1"/>
          <w:szCs w:val="24"/>
        </w:rPr>
      </w:pPr>
    </w:p>
    <w:p w14:paraId="2FD56710" w14:textId="759EBC29" w:rsidR="009276F8" w:rsidRDefault="009276F8" w:rsidP="00C94CF7">
      <w:pPr>
        <w:tabs>
          <w:tab w:val="left" w:pos="567"/>
        </w:tabs>
        <w:rPr>
          <w:rFonts w:cs="Arial"/>
          <w:color w:val="000000" w:themeColor="text1"/>
          <w:szCs w:val="24"/>
        </w:rPr>
      </w:pPr>
      <w:r>
        <w:rPr>
          <w:rFonts w:cs="Arial"/>
          <w:color w:val="000000" w:themeColor="text1"/>
          <w:szCs w:val="24"/>
        </w:rPr>
        <w:t xml:space="preserve">Proposed by Alderman Smith, seconded by Alderman McIlveen, that </w:t>
      </w:r>
      <w:r w:rsidR="002D46FF" w:rsidRPr="002D46FF">
        <w:rPr>
          <w:rFonts w:cs="Arial"/>
          <w:color w:val="000000" w:themeColor="text1"/>
          <w:szCs w:val="24"/>
        </w:rPr>
        <w:t xml:space="preserve">Council responds to the Minister thanking him for his response and ask again for non-commercially sensitive information to allow </w:t>
      </w:r>
      <w:r w:rsidR="002D46FF">
        <w:rPr>
          <w:rFonts w:cs="Arial"/>
          <w:color w:val="000000" w:themeColor="text1"/>
          <w:szCs w:val="24"/>
        </w:rPr>
        <w:t>Council</w:t>
      </w:r>
      <w:r w:rsidR="002D46FF" w:rsidRPr="002D46FF">
        <w:rPr>
          <w:rFonts w:cs="Arial"/>
          <w:color w:val="000000" w:themeColor="text1"/>
          <w:szCs w:val="24"/>
        </w:rPr>
        <w:t xml:space="preserve"> to benchmark against the comparator </w:t>
      </w:r>
      <w:r w:rsidR="002D46FF">
        <w:rPr>
          <w:rFonts w:cs="Arial"/>
          <w:color w:val="000000" w:themeColor="text1"/>
          <w:szCs w:val="24"/>
        </w:rPr>
        <w:t>C</w:t>
      </w:r>
      <w:r w:rsidR="002D46FF" w:rsidRPr="002D46FF">
        <w:rPr>
          <w:rFonts w:cs="Arial"/>
          <w:color w:val="000000" w:themeColor="text1"/>
          <w:szCs w:val="24"/>
        </w:rPr>
        <w:t xml:space="preserve">ouncils previously indicated. Information requested would include the spend on road repairs by </w:t>
      </w:r>
      <w:r w:rsidR="002D46FF">
        <w:rPr>
          <w:rFonts w:cs="Arial"/>
          <w:color w:val="000000" w:themeColor="text1"/>
          <w:szCs w:val="24"/>
        </w:rPr>
        <w:t>C</w:t>
      </w:r>
      <w:r w:rsidR="002D46FF" w:rsidRPr="002D46FF">
        <w:rPr>
          <w:rFonts w:cs="Arial"/>
          <w:color w:val="000000" w:themeColor="text1"/>
          <w:szCs w:val="24"/>
        </w:rPr>
        <w:t>ouncil area by year over the past 5 years and the road length within the area.</w:t>
      </w:r>
    </w:p>
    <w:p w14:paraId="25BCD033" w14:textId="77777777" w:rsidR="009276F8" w:rsidRDefault="009276F8" w:rsidP="00C94CF7">
      <w:pPr>
        <w:tabs>
          <w:tab w:val="left" w:pos="567"/>
        </w:tabs>
        <w:rPr>
          <w:rFonts w:cs="Arial"/>
          <w:color w:val="000000" w:themeColor="text1"/>
          <w:szCs w:val="24"/>
        </w:rPr>
      </w:pPr>
    </w:p>
    <w:p w14:paraId="4F5800EA" w14:textId="00A2BA08" w:rsidR="002D46FF" w:rsidRDefault="002D46FF" w:rsidP="00C94CF7">
      <w:pPr>
        <w:tabs>
          <w:tab w:val="left" w:pos="567"/>
        </w:tabs>
        <w:rPr>
          <w:rFonts w:cs="Arial"/>
          <w:color w:val="000000" w:themeColor="text1"/>
          <w:szCs w:val="24"/>
        </w:rPr>
      </w:pPr>
      <w:r>
        <w:rPr>
          <w:rFonts w:cs="Arial"/>
          <w:color w:val="000000" w:themeColor="text1"/>
          <w:szCs w:val="24"/>
        </w:rPr>
        <w:t>Alderman Smith expressed his dissatisfaction with the response</w:t>
      </w:r>
      <w:r w:rsidR="001265CB">
        <w:rPr>
          <w:rFonts w:cs="Arial"/>
          <w:color w:val="000000" w:themeColor="text1"/>
          <w:szCs w:val="24"/>
        </w:rPr>
        <w:t xml:space="preserve">. </w:t>
      </w:r>
    </w:p>
    <w:p w14:paraId="5B0AA848" w14:textId="77777777" w:rsidR="002D46FF" w:rsidRDefault="002D46FF" w:rsidP="00C94CF7">
      <w:pPr>
        <w:tabs>
          <w:tab w:val="left" w:pos="567"/>
        </w:tabs>
        <w:rPr>
          <w:rFonts w:cs="Arial"/>
          <w:color w:val="000000" w:themeColor="text1"/>
          <w:szCs w:val="24"/>
        </w:rPr>
      </w:pPr>
    </w:p>
    <w:p w14:paraId="272033F4" w14:textId="7C026767" w:rsidR="002D46FF" w:rsidRDefault="002D46FF" w:rsidP="00C94CF7">
      <w:pPr>
        <w:tabs>
          <w:tab w:val="left" w:pos="567"/>
        </w:tabs>
        <w:rPr>
          <w:rFonts w:cs="Arial"/>
          <w:color w:val="000000" w:themeColor="text1"/>
          <w:szCs w:val="24"/>
        </w:rPr>
      </w:pPr>
      <w:r>
        <w:rPr>
          <w:rFonts w:cs="Arial"/>
          <w:color w:val="000000" w:themeColor="text1"/>
          <w:szCs w:val="24"/>
        </w:rPr>
        <w:t xml:space="preserve">Alderman McIlveen recited comparative data on road maintenance expenditure by District Council, a copy of which he provided to Democratic Services for inclusion. </w:t>
      </w:r>
      <w:r w:rsidR="00C511E4">
        <w:rPr>
          <w:rFonts w:cs="Arial"/>
          <w:color w:val="000000" w:themeColor="text1"/>
          <w:szCs w:val="24"/>
        </w:rPr>
        <w:t xml:space="preserve">The share was not equitable with Ards and North Down Borough Council.  The general condition of the roads was incredibly poor, and it was unacceptable.  </w:t>
      </w:r>
    </w:p>
    <w:p w14:paraId="08DA2261" w14:textId="77777777" w:rsidR="002D46FF" w:rsidRDefault="002D46FF" w:rsidP="00C94CF7">
      <w:pPr>
        <w:tabs>
          <w:tab w:val="left" w:pos="567"/>
        </w:tabs>
        <w:rPr>
          <w:rFonts w:cs="Arial"/>
          <w:color w:val="000000" w:themeColor="text1"/>
          <w:szCs w:val="24"/>
        </w:rPr>
      </w:pPr>
    </w:p>
    <w:p w14:paraId="59E3CCB4" w14:textId="1EB5C746" w:rsidR="002D46FF" w:rsidRDefault="002D46FF" w:rsidP="00C94CF7">
      <w:pPr>
        <w:tabs>
          <w:tab w:val="left" w:pos="567"/>
        </w:tabs>
        <w:rPr>
          <w:rFonts w:cs="Arial"/>
          <w:b/>
          <w:bCs/>
          <w:i/>
          <w:iCs/>
          <w:color w:val="000000" w:themeColor="text1"/>
          <w:szCs w:val="24"/>
          <w:u w:val="single"/>
        </w:rPr>
      </w:pPr>
      <w:r w:rsidRPr="002D46FF">
        <w:rPr>
          <w:rFonts w:cs="Arial"/>
          <w:b/>
          <w:bCs/>
          <w:i/>
          <w:iCs/>
          <w:color w:val="000000" w:themeColor="text1"/>
          <w:szCs w:val="24"/>
          <w:u w:val="single"/>
        </w:rPr>
        <w:t>Total Structural Maintenance (Resource &amp; Capital) by District Council Area – Financial Years 2020-21 to 2022-23</w:t>
      </w:r>
      <w:r w:rsidR="00B22D18">
        <w:rPr>
          <w:rFonts w:cs="Arial"/>
          <w:b/>
          <w:bCs/>
          <w:i/>
          <w:iCs/>
          <w:color w:val="000000" w:themeColor="text1"/>
          <w:szCs w:val="24"/>
          <w:u w:val="single"/>
        </w:rPr>
        <w:t xml:space="preserve"> (Extract)</w:t>
      </w:r>
    </w:p>
    <w:p w14:paraId="5EEBFE2A" w14:textId="77777777" w:rsidR="002D46FF" w:rsidRPr="002D46FF" w:rsidRDefault="002D46FF" w:rsidP="00C94CF7">
      <w:pPr>
        <w:tabs>
          <w:tab w:val="left" w:pos="567"/>
        </w:tabs>
        <w:rPr>
          <w:rFonts w:cs="Arial"/>
          <w:b/>
          <w:bCs/>
          <w:i/>
          <w:iCs/>
          <w:color w:val="000000" w:themeColor="text1"/>
          <w:szCs w:val="24"/>
          <w:u w:val="single"/>
        </w:rPr>
      </w:pPr>
    </w:p>
    <w:tbl>
      <w:tblPr>
        <w:tblStyle w:val="TableGrid"/>
        <w:tblW w:w="0" w:type="auto"/>
        <w:tblInd w:w="0" w:type="dxa"/>
        <w:tblLook w:val="04A0" w:firstRow="1" w:lastRow="0" w:firstColumn="1" w:lastColumn="0" w:noHBand="0" w:noVBand="1"/>
      </w:tblPr>
      <w:tblGrid>
        <w:gridCol w:w="2972"/>
        <w:gridCol w:w="3260"/>
        <w:gridCol w:w="851"/>
        <w:gridCol w:w="850"/>
        <w:gridCol w:w="1083"/>
      </w:tblGrid>
      <w:tr w:rsidR="002D46FF" w14:paraId="60788C62" w14:textId="77777777" w:rsidTr="002D46FF">
        <w:tc>
          <w:tcPr>
            <w:tcW w:w="2972" w:type="dxa"/>
          </w:tcPr>
          <w:p w14:paraId="1813B8CA" w14:textId="2D51E030"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 xml:space="preserve">District Council </w:t>
            </w:r>
          </w:p>
        </w:tc>
        <w:tc>
          <w:tcPr>
            <w:tcW w:w="3260" w:type="dxa"/>
          </w:tcPr>
          <w:p w14:paraId="47A4E8D6" w14:textId="1E390408"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 xml:space="preserve">Structural Maintenance </w:t>
            </w:r>
          </w:p>
        </w:tc>
        <w:tc>
          <w:tcPr>
            <w:tcW w:w="851" w:type="dxa"/>
          </w:tcPr>
          <w:p w14:paraId="20E95AD4"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 xml:space="preserve">Year </w:t>
            </w:r>
          </w:p>
          <w:p w14:paraId="0830A419"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20-21</w:t>
            </w:r>
          </w:p>
          <w:p w14:paraId="1C853036" w14:textId="1304BC5E"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£m</w:t>
            </w:r>
          </w:p>
        </w:tc>
        <w:tc>
          <w:tcPr>
            <w:tcW w:w="850" w:type="dxa"/>
          </w:tcPr>
          <w:p w14:paraId="5C7B4A82"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 xml:space="preserve">Year </w:t>
            </w:r>
          </w:p>
          <w:p w14:paraId="20925D48"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21-22</w:t>
            </w:r>
          </w:p>
          <w:p w14:paraId="3C97529F" w14:textId="745F400E"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£m</w:t>
            </w:r>
          </w:p>
        </w:tc>
        <w:tc>
          <w:tcPr>
            <w:tcW w:w="1083" w:type="dxa"/>
          </w:tcPr>
          <w:p w14:paraId="1CB88362"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 xml:space="preserve">Year </w:t>
            </w:r>
          </w:p>
          <w:p w14:paraId="1C1FD6FB" w14:textId="77777777"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22-23</w:t>
            </w:r>
          </w:p>
          <w:p w14:paraId="144970C9" w14:textId="3594CC32" w:rsidR="002D46FF" w:rsidRPr="00CC2010" w:rsidRDefault="002D46FF" w:rsidP="00C94CF7">
            <w:pPr>
              <w:tabs>
                <w:tab w:val="left" w:pos="567"/>
              </w:tabs>
              <w:rPr>
                <w:rFonts w:cs="Arial"/>
                <w:b/>
                <w:bCs/>
                <w:color w:val="000000" w:themeColor="text1"/>
                <w:sz w:val="22"/>
              </w:rPr>
            </w:pPr>
            <w:r w:rsidRPr="00CC2010">
              <w:rPr>
                <w:rFonts w:cs="Arial"/>
                <w:b/>
                <w:bCs/>
                <w:color w:val="000000" w:themeColor="text1"/>
                <w:sz w:val="22"/>
              </w:rPr>
              <w:t>£m</w:t>
            </w:r>
          </w:p>
        </w:tc>
      </w:tr>
      <w:tr w:rsidR="002D46FF" w14:paraId="784D0B08" w14:textId="77777777" w:rsidTr="002D46FF">
        <w:tc>
          <w:tcPr>
            <w:tcW w:w="2972" w:type="dxa"/>
          </w:tcPr>
          <w:p w14:paraId="0BAE82BE" w14:textId="6420D5ED" w:rsidR="002D46FF" w:rsidRPr="002D46FF" w:rsidRDefault="002D46FF" w:rsidP="00C94CF7">
            <w:pPr>
              <w:tabs>
                <w:tab w:val="left" w:pos="567"/>
              </w:tabs>
              <w:rPr>
                <w:rFonts w:cs="Arial"/>
                <w:color w:val="000000" w:themeColor="text1"/>
                <w:sz w:val="22"/>
              </w:rPr>
            </w:pPr>
            <w:r w:rsidRPr="002D46FF">
              <w:rPr>
                <w:rFonts w:cs="Arial"/>
                <w:color w:val="000000" w:themeColor="text1"/>
                <w:sz w:val="22"/>
              </w:rPr>
              <w:t xml:space="preserve">Belfast City Council </w:t>
            </w:r>
          </w:p>
        </w:tc>
        <w:tc>
          <w:tcPr>
            <w:tcW w:w="3260" w:type="dxa"/>
          </w:tcPr>
          <w:p w14:paraId="40DA5F28" w14:textId="4902B736" w:rsidR="002D46FF" w:rsidRPr="002D46FF" w:rsidRDefault="002D46FF" w:rsidP="00C94CF7">
            <w:pPr>
              <w:tabs>
                <w:tab w:val="left" w:pos="567"/>
              </w:tabs>
              <w:rPr>
                <w:rFonts w:cs="Arial"/>
                <w:color w:val="000000" w:themeColor="text1"/>
                <w:sz w:val="22"/>
              </w:rPr>
            </w:pPr>
            <w:r w:rsidRPr="002D46FF">
              <w:rPr>
                <w:rFonts w:cs="Arial"/>
                <w:color w:val="000000" w:themeColor="text1"/>
                <w:sz w:val="22"/>
              </w:rPr>
              <w:t xml:space="preserve">Resource </w:t>
            </w:r>
          </w:p>
        </w:tc>
        <w:tc>
          <w:tcPr>
            <w:tcW w:w="851" w:type="dxa"/>
          </w:tcPr>
          <w:p w14:paraId="14815AD9" w14:textId="0A349675" w:rsidR="002D46FF" w:rsidRPr="002D46FF" w:rsidRDefault="00CC2010" w:rsidP="00C94CF7">
            <w:pPr>
              <w:tabs>
                <w:tab w:val="left" w:pos="567"/>
              </w:tabs>
              <w:rPr>
                <w:rFonts w:cs="Arial"/>
                <w:color w:val="000000" w:themeColor="text1"/>
                <w:sz w:val="22"/>
              </w:rPr>
            </w:pPr>
            <w:r>
              <w:rPr>
                <w:rFonts w:cs="Arial"/>
                <w:color w:val="000000" w:themeColor="text1"/>
                <w:sz w:val="22"/>
              </w:rPr>
              <w:t>1.8</w:t>
            </w:r>
          </w:p>
        </w:tc>
        <w:tc>
          <w:tcPr>
            <w:tcW w:w="850" w:type="dxa"/>
          </w:tcPr>
          <w:p w14:paraId="4186FE17" w14:textId="01D36C5B" w:rsidR="002D46FF" w:rsidRPr="002D46FF" w:rsidRDefault="00CC2010" w:rsidP="00C94CF7">
            <w:pPr>
              <w:tabs>
                <w:tab w:val="left" w:pos="567"/>
              </w:tabs>
              <w:rPr>
                <w:rFonts w:cs="Arial"/>
                <w:color w:val="000000" w:themeColor="text1"/>
                <w:sz w:val="22"/>
              </w:rPr>
            </w:pPr>
            <w:r>
              <w:rPr>
                <w:rFonts w:cs="Arial"/>
                <w:color w:val="000000" w:themeColor="text1"/>
                <w:sz w:val="22"/>
              </w:rPr>
              <w:t>1.7</w:t>
            </w:r>
          </w:p>
        </w:tc>
        <w:tc>
          <w:tcPr>
            <w:tcW w:w="1083" w:type="dxa"/>
          </w:tcPr>
          <w:p w14:paraId="72CE883A" w14:textId="0E741558" w:rsidR="002D46FF" w:rsidRPr="002D46FF" w:rsidRDefault="00CC2010" w:rsidP="00C94CF7">
            <w:pPr>
              <w:tabs>
                <w:tab w:val="left" w:pos="567"/>
              </w:tabs>
              <w:rPr>
                <w:rFonts w:cs="Arial"/>
                <w:color w:val="000000" w:themeColor="text1"/>
                <w:sz w:val="22"/>
              </w:rPr>
            </w:pPr>
            <w:r>
              <w:rPr>
                <w:rFonts w:cs="Arial"/>
                <w:color w:val="000000" w:themeColor="text1"/>
                <w:sz w:val="22"/>
              </w:rPr>
              <w:t>1.8</w:t>
            </w:r>
          </w:p>
        </w:tc>
      </w:tr>
      <w:tr w:rsidR="002D46FF" w14:paraId="6EE1DD02" w14:textId="77777777" w:rsidTr="002D46FF">
        <w:tc>
          <w:tcPr>
            <w:tcW w:w="2972" w:type="dxa"/>
          </w:tcPr>
          <w:p w14:paraId="3EAD3CC0" w14:textId="77777777" w:rsidR="002D46FF" w:rsidRPr="002D46FF" w:rsidRDefault="002D46FF" w:rsidP="00C94CF7">
            <w:pPr>
              <w:tabs>
                <w:tab w:val="left" w:pos="567"/>
              </w:tabs>
              <w:rPr>
                <w:rFonts w:cs="Arial"/>
                <w:color w:val="000000" w:themeColor="text1"/>
                <w:sz w:val="22"/>
              </w:rPr>
            </w:pPr>
          </w:p>
        </w:tc>
        <w:tc>
          <w:tcPr>
            <w:tcW w:w="3260" w:type="dxa"/>
          </w:tcPr>
          <w:p w14:paraId="17005B8F" w14:textId="4FC81AF5" w:rsidR="002D46FF" w:rsidRPr="002D46FF" w:rsidRDefault="002D46FF" w:rsidP="00C94CF7">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03C52D35" w14:textId="369AF0E2" w:rsidR="002D46FF" w:rsidRPr="002D46FF" w:rsidRDefault="00CC2010" w:rsidP="00C94CF7">
            <w:pPr>
              <w:tabs>
                <w:tab w:val="left" w:pos="567"/>
              </w:tabs>
              <w:rPr>
                <w:rFonts w:cs="Arial"/>
                <w:color w:val="000000" w:themeColor="text1"/>
                <w:sz w:val="22"/>
              </w:rPr>
            </w:pPr>
            <w:r>
              <w:rPr>
                <w:rFonts w:cs="Arial"/>
                <w:color w:val="000000" w:themeColor="text1"/>
                <w:sz w:val="22"/>
              </w:rPr>
              <w:t>5.3</w:t>
            </w:r>
          </w:p>
        </w:tc>
        <w:tc>
          <w:tcPr>
            <w:tcW w:w="850" w:type="dxa"/>
          </w:tcPr>
          <w:p w14:paraId="3E63FCD5" w14:textId="34781FFF" w:rsidR="002D46FF" w:rsidRPr="002D46FF" w:rsidRDefault="00CC2010" w:rsidP="00C94CF7">
            <w:pPr>
              <w:tabs>
                <w:tab w:val="left" w:pos="567"/>
              </w:tabs>
              <w:rPr>
                <w:rFonts w:cs="Arial"/>
                <w:color w:val="000000" w:themeColor="text1"/>
                <w:sz w:val="22"/>
              </w:rPr>
            </w:pPr>
            <w:r>
              <w:rPr>
                <w:rFonts w:cs="Arial"/>
                <w:color w:val="000000" w:themeColor="text1"/>
                <w:sz w:val="22"/>
              </w:rPr>
              <w:t>6.1</w:t>
            </w:r>
          </w:p>
        </w:tc>
        <w:tc>
          <w:tcPr>
            <w:tcW w:w="1083" w:type="dxa"/>
          </w:tcPr>
          <w:p w14:paraId="1CE74229" w14:textId="591AE069" w:rsidR="002D46FF" w:rsidRPr="002D46FF" w:rsidRDefault="00CC2010" w:rsidP="00C94CF7">
            <w:pPr>
              <w:tabs>
                <w:tab w:val="left" w:pos="567"/>
              </w:tabs>
              <w:rPr>
                <w:rFonts w:cs="Arial"/>
                <w:color w:val="000000" w:themeColor="text1"/>
                <w:sz w:val="22"/>
              </w:rPr>
            </w:pPr>
            <w:r>
              <w:rPr>
                <w:rFonts w:cs="Arial"/>
                <w:color w:val="000000" w:themeColor="text1"/>
                <w:sz w:val="22"/>
              </w:rPr>
              <w:t>8.4</w:t>
            </w:r>
          </w:p>
        </w:tc>
      </w:tr>
      <w:tr w:rsidR="002D46FF" w14:paraId="3FAB5975" w14:textId="77777777" w:rsidTr="002D46FF">
        <w:tc>
          <w:tcPr>
            <w:tcW w:w="2972" w:type="dxa"/>
          </w:tcPr>
          <w:p w14:paraId="69E885D1" w14:textId="77777777" w:rsidR="002D46FF" w:rsidRPr="002D46FF" w:rsidRDefault="002D46FF" w:rsidP="00C94CF7">
            <w:pPr>
              <w:tabs>
                <w:tab w:val="left" w:pos="567"/>
              </w:tabs>
              <w:rPr>
                <w:rFonts w:cs="Arial"/>
                <w:color w:val="000000" w:themeColor="text1"/>
                <w:sz w:val="22"/>
              </w:rPr>
            </w:pPr>
          </w:p>
        </w:tc>
        <w:tc>
          <w:tcPr>
            <w:tcW w:w="3260" w:type="dxa"/>
          </w:tcPr>
          <w:p w14:paraId="186298F1" w14:textId="74C0B8E0" w:rsidR="002D46FF" w:rsidRPr="002D46FF" w:rsidRDefault="002D46FF" w:rsidP="00C94CF7">
            <w:pPr>
              <w:tabs>
                <w:tab w:val="left" w:pos="567"/>
              </w:tabs>
              <w:rPr>
                <w:rFonts w:cs="Arial"/>
                <w:b/>
                <w:bCs/>
                <w:color w:val="000000" w:themeColor="text1"/>
                <w:sz w:val="22"/>
              </w:rPr>
            </w:pPr>
            <w:r w:rsidRPr="002D46FF">
              <w:rPr>
                <w:rFonts w:cs="Arial"/>
                <w:b/>
                <w:bCs/>
                <w:color w:val="000000" w:themeColor="text1"/>
                <w:sz w:val="22"/>
              </w:rPr>
              <w:t xml:space="preserve">Total Structural Maintenance </w:t>
            </w:r>
          </w:p>
        </w:tc>
        <w:tc>
          <w:tcPr>
            <w:tcW w:w="851" w:type="dxa"/>
          </w:tcPr>
          <w:p w14:paraId="19920C40" w14:textId="02A2A7F7" w:rsidR="002D46FF" w:rsidRPr="00CC2010" w:rsidRDefault="00CC2010" w:rsidP="00C94CF7">
            <w:pPr>
              <w:tabs>
                <w:tab w:val="left" w:pos="567"/>
              </w:tabs>
              <w:rPr>
                <w:rFonts w:cs="Arial"/>
                <w:b/>
                <w:bCs/>
                <w:color w:val="000000" w:themeColor="text1"/>
                <w:sz w:val="22"/>
              </w:rPr>
            </w:pPr>
            <w:r w:rsidRPr="00CC2010">
              <w:rPr>
                <w:rFonts w:cs="Arial"/>
                <w:b/>
                <w:bCs/>
                <w:color w:val="000000" w:themeColor="text1"/>
                <w:sz w:val="22"/>
              </w:rPr>
              <w:t>7.1</w:t>
            </w:r>
          </w:p>
        </w:tc>
        <w:tc>
          <w:tcPr>
            <w:tcW w:w="850" w:type="dxa"/>
          </w:tcPr>
          <w:p w14:paraId="12ECBDA8" w14:textId="04397FF8" w:rsidR="002D46FF" w:rsidRPr="00CC2010" w:rsidRDefault="00CC2010" w:rsidP="00C94CF7">
            <w:pPr>
              <w:tabs>
                <w:tab w:val="left" w:pos="567"/>
              </w:tabs>
              <w:rPr>
                <w:rFonts w:cs="Arial"/>
                <w:b/>
                <w:bCs/>
                <w:color w:val="000000" w:themeColor="text1"/>
                <w:sz w:val="22"/>
              </w:rPr>
            </w:pPr>
            <w:r w:rsidRPr="00CC2010">
              <w:rPr>
                <w:rFonts w:cs="Arial"/>
                <w:b/>
                <w:bCs/>
                <w:color w:val="000000" w:themeColor="text1"/>
                <w:sz w:val="22"/>
              </w:rPr>
              <w:t>7.8</w:t>
            </w:r>
          </w:p>
        </w:tc>
        <w:tc>
          <w:tcPr>
            <w:tcW w:w="1083" w:type="dxa"/>
          </w:tcPr>
          <w:p w14:paraId="1F3497AC" w14:textId="78F211B6" w:rsidR="002D46FF" w:rsidRPr="00CC2010" w:rsidRDefault="00CC2010" w:rsidP="00C94CF7">
            <w:pPr>
              <w:tabs>
                <w:tab w:val="left" w:pos="567"/>
              </w:tabs>
              <w:rPr>
                <w:rFonts w:cs="Arial"/>
                <w:b/>
                <w:bCs/>
                <w:color w:val="000000" w:themeColor="text1"/>
                <w:sz w:val="22"/>
              </w:rPr>
            </w:pPr>
            <w:r w:rsidRPr="00CC2010">
              <w:rPr>
                <w:rFonts w:cs="Arial"/>
                <w:b/>
                <w:bCs/>
                <w:color w:val="000000" w:themeColor="text1"/>
                <w:sz w:val="22"/>
              </w:rPr>
              <w:t>10.2</w:t>
            </w:r>
          </w:p>
        </w:tc>
      </w:tr>
      <w:tr w:rsidR="002D46FF" w14:paraId="4B1F0BA7" w14:textId="77777777" w:rsidTr="002D46FF">
        <w:tc>
          <w:tcPr>
            <w:tcW w:w="2972" w:type="dxa"/>
          </w:tcPr>
          <w:p w14:paraId="1786C4B1" w14:textId="4851E574" w:rsidR="002D46FF" w:rsidRPr="002D46FF" w:rsidRDefault="002D46FF" w:rsidP="00C94CF7">
            <w:pPr>
              <w:tabs>
                <w:tab w:val="left" w:pos="567"/>
              </w:tabs>
              <w:rPr>
                <w:rFonts w:cs="Arial"/>
                <w:color w:val="000000" w:themeColor="text1"/>
                <w:sz w:val="22"/>
              </w:rPr>
            </w:pPr>
            <w:r>
              <w:rPr>
                <w:rFonts w:cs="Arial"/>
                <w:color w:val="000000" w:themeColor="text1"/>
                <w:sz w:val="22"/>
              </w:rPr>
              <w:t xml:space="preserve">Lisburn &amp; Castlereagh City Council </w:t>
            </w:r>
          </w:p>
        </w:tc>
        <w:tc>
          <w:tcPr>
            <w:tcW w:w="3260" w:type="dxa"/>
          </w:tcPr>
          <w:p w14:paraId="28346C48" w14:textId="6E426834" w:rsidR="002D46FF" w:rsidRPr="002D46FF" w:rsidRDefault="002D46FF" w:rsidP="00C94CF7">
            <w:pPr>
              <w:tabs>
                <w:tab w:val="left" w:pos="567"/>
              </w:tabs>
              <w:rPr>
                <w:rFonts w:cs="Arial"/>
                <w:color w:val="000000" w:themeColor="text1"/>
                <w:sz w:val="22"/>
              </w:rPr>
            </w:pPr>
            <w:r>
              <w:rPr>
                <w:rFonts w:cs="Arial"/>
                <w:color w:val="000000" w:themeColor="text1"/>
                <w:sz w:val="22"/>
              </w:rPr>
              <w:t xml:space="preserve">Resource </w:t>
            </w:r>
          </w:p>
        </w:tc>
        <w:tc>
          <w:tcPr>
            <w:tcW w:w="851" w:type="dxa"/>
          </w:tcPr>
          <w:p w14:paraId="7E2ABF8C" w14:textId="1033C4FF" w:rsidR="002D46FF" w:rsidRPr="002D46FF" w:rsidRDefault="00CC2010" w:rsidP="00C94CF7">
            <w:pPr>
              <w:tabs>
                <w:tab w:val="left" w:pos="567"/>
              </w:tabs>
              <w:rPr>
                <w:rFonts w:cs="Arial"/>
                <w:color w:val="000000" w:themeColor="text1"/>
                <w:sz w:val="22"/>
              </w:rPr>
            </w:pPr>
            <w:r>
              <w:rPr>
                <w:rFonts w:cs="Arial"/>
                <w:color w:val="000000" w:themeColor="text1"/>
                <w:sz w:val="22"/>
              </w:rPr>
              <w:t>0.8</w:t>
            </w:r>
          </w:p>
        </w:tc>
        <w:tc>
          <w:tcPr>
            <w:tcW w:w="850" w:type="dxa"/>
          </w:tcPr>
          <w:p w14:paraId="4903634E" w14:textId="5C0D2C11" w:rsidR="002D46FF" w:rsidRPr="002D46FF" w:rsidRDefault="00CC2010" w:rsidP="00C94CF7">
            <w:pPr>
              <w:tabs>
                <w:tab w:val="left" w:pos="567"/>
              </w:tabs>
              <w:rPr>
                <w:rFonts w:cs="Arial"/>
                <w:color w:val="000000" w:themeColor="text1"/>
                <w:sz w:val="22"/>
              </w:rPr>
            </w:pPr>
            <w:r>
              <w:rPr>
                <w:rFonts w:cs="Arial"/>
                <w:color w:val="000000" w:themeColor="text1"/>
                <w:sz w:val="22"/>
              </w:rPr>
              <w:t>1.0</w:t>
            </w:r>
          </w:p>
        </w:tc>
        <w:tc>
          <w:tcPr>
            <w:tcW w:w="1083" w:type="dxa"/>
          </w:tcPr>
          <w:p w14:paraId="22059482" w14:textId="6A603018" w:rsidR="002D46FF" w:rsidRPr="002D46FF" w:rsidRDefault="00CC2010" w:rsidP="00C94CF7">
            <w:pPr>
              <w:tabs>
                <w:tab w:val="left" w:pos="567"/>
              </w:tabs>
              <w:rPr>
                <w:rFonts w:cs="Arial"/>
                <w:color w:val="000000" w:themeColor="text1"/>
                <w:sz w:val="22"/>
              </w:rPr>
            </w:pPr>
            <w:r>
              <w:rPr>
                <w:rFonts w:cs="Arial"/>
                <w:color w:val="000000" w:themeColor="text1"/>
                <w:sz w:val="22"/>
              </w:rPr>
              <w:t>1.0</w:t>
            </w:r>
          </w:p>
        </w:tc>
      </w:tr>
      <w:tr w:rsidR="002D46FF" w14:paraId="0826B102" w14:textId="77777777" w:rsidTr="002D46FF">
        <w:tc>
          <w:tcPr>
            <w:tcW w:w="2972" w:type="dxa"/>
          </w:tcPr>
          <w:p w14:paraId="67C3FD8A" w14:textId="77777777" w:rsidR="002D46FF" w:rsidRPr="002D46FF" w:rsidRDefault="002D46FF" w:rsidP="002D46FF">
            <w:pPr>
              <w:tabs>
                <w:tab w:val="left" w:pos="567"/>
              </w:tabs>
              <w:rPr>
                <w:rFonts w:cs="Arial"/>
                <w:color w:val="000000" w:themeColor="text1"/>
                <w:sz w:val="22"/>
              </w:rPr>
            </w:pPr>
          </w:p>
        </w:tc>
        <w:tc>
          <w:tcPr>
            <w:tcW w:w="3260" w:type="dxa"/>
          </w:tcPr>
          <w:p w14:paraId="64E273D1" w14:textId="454BC718" w:rsidR="002D46FF" w:rsidRPr="002D46FF" w:rsidRDefault="002D46FF" w:rsidP="002D46FF">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5E820D37" w14:textId="439B8C7F" w:rsidR="002D46FF" w:rsidRPr="002D46FF" w:rsidRDefault="00CC2010" w:rsidP="002D46FF">
            <w:pPr>
              <w:tabs>
                <w:tab w:val="left" w:pos="567"/>
              </w:tabs>
              <w:rPr>
                <w:rFonts w:cs="Arial"/>
                <w:color w:val="000000" w:themeColor="text1"/>
                <w:sz w:val="22"/>
              </w:rPr>
            </w:pPr>
            <w:r>
              <w:rPr>
                <w:rFonts w:cs="Arial"/>
                <w:color w:val="000000" w:themeColor="text1"/>
                <w:sz w:val="22"/>
              </w:rPr>
              <w:t>5.1</w:t>
            </w:r>
          </w:p>
        </w:tc>
        <w:tc>
          <w:tcPr>
            <w:tcW w:w="850" w:type="dxa"/>
          </w:tcPr>
          <w:p w14:paraId="3E41CD39" w14:textId="3EB12D0B" w:rsidR="002D46FF" w:rsidRPr="002D46FF" w:rsidRDefault="00CC2010" w:rsidP="002D46FF">
            <w:pPr>
              <w:tabs>
                <w:tab w:val="left" w:pos="567"/>
              </w:tabs>
              <w:rPr>
                <w:rFonts w:cs="Arial"/>
                <w:color w:val="000000" w:themeColor="text1"/>
                <w:sz w:val="22"/>
              </w:rPr>
            </w:pPr>
            <w:r>
              <w:rPr>
                <w:rFonts w:cs="Arial"/>
                <w:color w:val="000000" w:themeColor="text1"/>
                <w:sz w:val="22"/>
              </w:rPr>
              <w:t>7.9</w:t>
            </w:r>
          </w:p>
        </w:tc>
        <w:tc>
          <w:tcPr>
            <w:tcW w:w="1083" w:type="dxa"/>
          </w:tcPr>
          <w:p w14:paraId="7D6AE02A" w14:textId="24BD36B8" w:rsidR="002D46FF" w:rsidRPr="002D46FF" w:rsidRDefault="00CC2010" w:rsidP="002D46FF">
            <w:pPr>
              <w:tabs>
                <w:tab w:val="left" w:pos="567"/>
              </w:tabs>
              <w:rPr>
                <w:rFonts w:cs="Arial"/>
                <w:color w:val="000000" w:themeColor="text1"/>
                <w:sz w:val="22"/>
              </w:rPr>
            </w:pPr>
            <w:r>
              <w:rPr>
                <w:rFonts w:cs="Arial"/>
                <w:color w:val="000000" w:themeColor="text1"/>
                <w:sz w:val="22"/>
              </w:rPr>
              <w:t>6.5</w:t>
            </w:r>
          </w:p>
        </w:tc>
      </w:tr>
      <w:tr w:rsidR="002D46FF" w14:paraId="1AEF1B1B" w14:textId="77777777" w:rsidTr="002D46FF">
        <w:tc>
          <w:tcPr>
            <w:tcW w:w="2972" w:type="dxa"/>
          </w:tcPr>
          <w:p w14:paraId="5BA334EC" w14:textId="77777777" w:rsidR="002D46FF" w:rsidRPr="002D46FF" w:rsidRDefault="002D46FF" w:rsidP="002D46FF">
            <w:pPr>
              <w:tabs>
                <w:tab w:val="left" w:pos="567"/>
              </w:tabs>
              <w:rPr>
                <w:rFonts w:cs="Arial"/>
                <w:color w:val="000000" w:themeColor="text1"/>
                <w:sz w:val="22"/>
              </w:rPr>
            </w:pPr>
          </w:p>
        </w:tc>
        <w:tc>
          <w:tcPr>
            <w:tcW w:w="3260" w:type="dxa"/>
          </w:tcPr>
          <w:p w14:paraId="1F321834" w14:textId="0721B206" w:rsidR="002D46FF" w:rsidRPr="002D46FF" w:rsidRDefault="002D46FF" w:rsidP="002D46FF">
            <w:pPr>
              <w:tabs>
                <w:tab w:val="left" w:pos="567"/>
              </w:tabs>
              <w:rPr>
                <w:rFonts w:cs="Arial"/>
                <w:b/>
                <w:bCs/>
                <w:color w:val="000000" w:themeColor="text1"/>
                <w:sz w:val="22"/>
              </w:rPr>
            </w:pPr>
            <w:r w:rsidRPr="002D46FF">
              <w:rPr>
                <w:rFonts w:cs="Arial"/>
                <w:b/>
                <w:bCs/>
                <w:color w:val="000000" w:themeColor="text1"/>
                <w:sz w:val="22"/>
              </w:rPr>
              <w:t xml:space="preserve">Total Structural Maintenance </w:t>
            </w:r>
          </w:p>
        </w:tc>
        <w:tc>
          <w:tcPr>
            <w:tcW w:w="851" w:type="dxa"/>
          </w:tcPr>
          <w:p w14:paraId="5FD74DE4" w14:textId="0909EB84" w:rsidR="002D46FF" w:rsidRPr="00CC2010" w:rsidRDefault="00CC2010" w:rsidP="002D46FF">
            <w:pPr>
              <w:tabs>
                <w:tab w:val="left" w:pos="567"/>
              </w:tabs>
              <w:rPr>
                <w:rFonts w:cs="Arial"/>
                <w:b/>
                <w:bCs/>
                <w:color w:val="000000" w:themeColor="text1"/>
                <w:sz w:val="22"/>
              </w:rPr>
            </w:pPr>
            <w:r w:rsidRPr="00CC2010">
              <w:rPr>
                <w:rFonts w:cs="Arial"/>
                <w:b/>
                <w:bCs/>
                <w:color w:val="000000" w:themeColor="text1"/>
                <w:sz w:val="22"/>
              </w:rPr>
              <w:t>5.9</w:t>
            </w:r>
          </w:p>
        </w:tc>
        <w:tc>
          <w:tcPr>
            <w:tcW w:w="850" w:type="dxa"/>
          </w:tcPr>
          <w:p w14:paraId="61D41D36" w14:textId="4CE52F72" w:rsidR="002D46FF" w:rsidRPr="00CC2010" w:rsidRDefault="00CC2010" w:rsidP="002D46FF">
            <w:pPr>
              <w:tabs>
                <w:tab w:val="left" w:pos="567"/>
              </w:tabs>
              <w:rPr>
                <w:rFonts w:cs="Arial"/>
                <w:b/>
                <w:bCs/>
                <w:color w:val="000000" w:themeColor="text1"/>
                <w:sz w:val="22"/>
              </w:rPr>
            </w:pPr>
            <w:r w:rsidRPr="00CC2010">
              <w:rPr>
                <w:rFonts w:cs="Arial"/>
                <w:b/>
                <w:bCs/>
                <w:color w:val="000000" w:themeColor="text1"/>
                <w:sz w:val="22"/>
              </w:rPr>
              <w:t>8.9</w:t>
            </w:r>
          </w:p>
        </w:tc>
        <w:tc>
          <w:tcPr>
            <w:tcW w:w="1083" w:type="dxa"/>
          </w:tcPr>
          <w:p w14:paraId="21718459" w14:textId="2CEACEE2" w:rsidR="002D46FF" w:rsidRPr="00CC2010" w:rsidRDefault="00CC2010" w:rsidP="002D46FF">
            <w:pPr>
              <w:tabs>
                <w:tab w:val="left" w:pos="567"/>
              </w:tabs>
              <w:rPr>
                <w:rFonts w:cs="Arial"/>
                <w:b/>
                <w:bCs/>
                <w:color w:val="000000" w:themeColor="text1"/>
                <w:sz w:val="22"/>
              </w:rPr>
            </w:pPr>
            <w:r w:rsidRPr="00CC2010">
              <w:rPr>
                <w:rFonts w:cs="Arial"/>
                <w:b/>
                <w:bCs/>
                <w:color w:val="000000" w:themeColor="text1"/>
                <w:sz w:val="22"/>
              </w:rPr>
              <w:t>7.5</w:t>
            </w:r>
          </w:p>
        </w:tc>
      </w:tr>
      <w:tr w:rsidR="0050016D" w14:paraId="5498F5F7" w14:textId="77777777" w:rsidTr="002D46FF">
        <w:tc>
          <w:tcPr>
            <w:tcW w:w="2972" w:type="dxa"/>
          </w:tcPr>
          <w:p w14:paraId="489E94DB" w14:textId="77125C53" w:rsidR="0050016D" w:rsidRPr="002D46FF" w:rsidRDefault="0050016D" w:rsidP="0050016D">
            <w:pPr>
              <w:tabs>
                <w:tab w:val="left" w:pos="567"/>
              </w:tabs>
              <w:rPr>
                <w:rFonts w:cs="Arial"/>
                <w:color w:val="000000" w:themeColor="text1"/>
                <w:sz w:val="22"/>
              </w:rPr>
            </w:pPr>
            <w:r>
              <w:rPr>
                <w:rFonts w:cs="Arial"/>
                <w:color w:val="000000" w:themeColor="text1"/>
                <w:sz w:val="22"/>
              </w:rPr>
              <w:t xml:space="preserve">Antrim &amp; Newtownabbey Borough Council </w:t>
            </w:r>
          </w:p>
        </w:tc>
        <w:tc>
          <w:tcPr>
            <w:tcW w:w="3260" w:type="dxa"/>
          </w:tcPr>
          <w:p w14:paraId="06C175B2" w14:textId="6A2771AD" w:rsidR="0050016D" w:rsidRPr="002D46FF" w:rsidRDefault="0050016D" w:rsidP="0050016D">
            <w:pPr>
              <w:tabs>
                <w:tab w:val="left" w:pos="567"/>
              </w:tabs>
              <w:rPr>
                <w:rFonts w:cs="Arial"/>
                <w:color w:val="000000" w:themeColor="text1"/>
                <w:sz w:val="22"/>
              </w:rPr>
            </w:pPr>
            <w:r>
              <w:rPr>
                <w:rFonts w:cs="Arial"/>
                <w:color w:val="000000" w:themeColor="text1"/>
                <w:sz w:val="22"/>
              </w:rPr>
              <w:t xml:space="preserve">Resource </w:t>
            </w:r>
          </w:p>
        </w:tc>
        <w:tc>
          <w:tcPr>
            <w:tcW w:w="851" w:type="dxa"/>
          </w:tcPr>
          <w:p w14:paraId="46CCE2DD" w14:textId="527686E3" w:rsidR="0050016D" w:rsidRPr="002D46FF" w:rsidRDefault="00CC2010" w:rsidP="0050016D">
            <w:pPr>
              <w:tabs>
                <w:tab w:val="left" w:pos="567"/>
              </w:tabs>
              <w:rPr>
                <w:rFonts w:cs="Arial"/>
                <w:color w:val="000000" w:themeColor="text1"/>
                <w:sz w:val="22"/>
              </w:rPr>
            </w:pPr>
            <w:r>
              <w:rPr>
                <w:rFonts w:cs="Arial"/>
                <w:color w:val="000000" w:themeColor="text1"/>
                <w:sz w:val="22"/>
              </w:rPr>
              <w:t>1.1</w:t>
            </w:r>
          </w:p>
        </w:tc>
        <w:tc>
          <w:tcPr>
            <w:tcW w:w="850" w:type="dxa"/>
          </w:tcPr>
          <w:p w14:paraId="3D2810C7" w14:textId="2710C511" w:rsidR="0050016D" w:rsidRPr="002D46FF" w:rsidRDefault="00CC2010" w:rsidP="0050016D">
            <w:pPr>
              <w:tabs>
                <w:tab w:val="left" w:pos="567"/>
              </w:tabs>
              <w:rPr>
                <w:rFonts w:cs="Arial"/>
                <w:color w:val="000000" w:themeColor="text1"/>
                <w:sz w:val="22"/>
              </w:rPr>
            </w:pPr>
            <w:r>
              <w:rPr>
                <w:rFonts w:cs="Arial"/>
                <w:color w:val="000000" w:themeColor="text1"/>
                <w:sz w:val="22"/>
              </w:rPr>
              <w:t>1.0</w:t>
            </w:r>
          </w:p>
        </w:tc>
        <w:tc>
          <w:tcPr>
            <w:tcW w:w="1083" w:type="dxa"/>
          </w:tcPr>
          <w:p w14:paraId="451869A0" w14:textId="696097F7" w:rsidR="0050016D" w:rsidRPr="002D46FF" w:rsidRDefault="00CC2010" w:rsidP="0050016D">
            <w:pPr>
              <w:tabs>
                <w:tab w:val="left" w:pos="567"/>
              </w:tabs>
              <w:rPr>
                <w:rFonts w:cs="Arial"/>
                <w:color w:val="000000" w:themeColor="text1"/>
                <w:sz w:val="22"/>
              </w:rPr>
            </w:pPr>
            <w:r>
              <w:rPr>
                <w:rFonts w:cs="Arial"/>
                <w:color w:val="000000" w:themeColor="text1"/>
                <w:sz w:val="22"/>
              </w:rPr>
              <w:t>0.6</w:t>
            </w:r>
          </w:p>
        </w:tc>
      </w:tr>
      <w:tr w:rsidR="0050016D" w14:paraId="221789C1" w14:textId="77777777" w:rsidTr="002D46FF">
        <w:tc>
          <w:tcPr>
            <w:tcW w:w="2972" w:type="dxa"/>
          </w:tcPr>
          <w:p w14:paraId="588D0100" w14:textId="77777777" w:rsidR="0050016D" w:rsidRDefault="0050016D" w:rsidP="0050016D">
            <w:pPr>
              <w:tabs>
                <w:tab w:val="left" w:pos="567"/>
              </w:tabs>
              <w:rPr>
                <w:rFonts w:cs="Arial"/>
                <w:color w:val="000000" w:themeColor="text1"/>
                <w:sz w:val="22"/>
              </w:rPr>
            </w:pPr>
          </w:p>
        </w:tc>
        <w:tc>
          <w:tcPr>
            <w:tcW w:w="3260" w:type="dxa"/>
          </w:tcPr>
          <w:p w14:paraId="346C448D" w14:textId="7C0C71EC"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388EB01D" w14:textId="37DA9E93" w:rsidR="0050016D" w:rsidRPr="002D46FF" w:rsidRDefault="00CC2010" w:rsidP="0050016D">
            <w:pPr>
              <w:tabs>
                <w:tab w:val="left" w:pos="567"/>
              </w:tabs>
              <w:rPr>
                <w:rFonts w:cs="Arial"/>
                <w:color w:val="000000" w:themeColor="text1"/>
                <w:sz w:val="22"/>
              </w:rPr>
            </w:pPr>
            <w:r>
              <w:rPr>
                <w:rFonts w:cs="Arial"/>
                <w:color w:val="000000" w:themeColor="text1"/>
                <w:sz w:val="22"/>
              </w:rPr>
              <w:t>2.8</w:t>
            </w:r>
          </w:p>
        </w:tc>
        <w:tc>
          <w:tcPr>
            <w:tcW w:w="850" w:type="dxa"/>
          </w:tcPr>
          <w:p w14:paraId="550708AC" w14:textId="548A2ED0" w:rsidR="0050016D" w:rsidRPr="002D46FF" w:rsidRDefault="00CC2010" w:rsidP="0050016D">
            <w:pPr>
              <w:tabs>
                <w:tab w:val="left" w:pos="567"/>
              </w:tabs>
              <w:rPr>
                <w:rFonts w:cs="Arial"/>
                <w:color w:val="000000" w:themeColor="text1"/>
                <w:sz w:val="22"/>
              </w:rPr>
            </w:pPr>
            <w:r>
              <w:rPr>
                <w:rFonts w:cs="Arial"/>
                <w:color w:val="000000" w:themeColor="text1"/>
                <w:sz w:val="22"/>
              </w:rPr>
              <w:t>6.1</w:t>
            </w:r>
          </w:p>
        </w:tc>
        <w:tc>
          <w:tcPr>
            <w:tcW w:w="1083" w:type="dxa"/>
          </w:tcPr>
          <w:p w14:paraId="09E49AE9" w14:textId="6037CC07" w:rsidR="0050016D" w:rsidRPr="002D46FF" w:rsidRDefault="00CC2010" w:rsidP="0050016D">
            <w:pPr>
              <w:tabs>
                <w:tab w:val="left" w:pos="567"/>
              </w:tabs>
              <w:rPr>
                <w:rFonts w:cs="Arial"/>
                <w:color w:val="000000" w:themeColor="text1"/>
                <w:sz w:val="22"/>
              </w:rPr>
            </w:pPr>
            <w:r>
              <w:rPr>
                <w:rFonts w:cs="Arial"/>
                <w:color w:val="000000" w:themeColor="text1"/>
                <w:sz w:val="22"/>
              </w:rPr>
              <w:t>7.3</w:t>
            </w:r>
          </w:p>
        </w:tc>
      </w:tr>
      <w:tr w:rsidR="0050016D" w14:paraId="3F802CB9" w14:textId="77777777" w:rsidTr="002D46FF">
        <w:tc>
          <w:tcPr>
            <w:tcW w:w="2972" w:type="dxa"/>
          </w:tcPr>
          <w:p w14:paraId="05A4267D" w14:textId="77777777" w:rsidR="0050016D" w:rsidRDefault="0050016D" w:rsidP="0050016D">
            <w:pPr>
              <w:tabs>
                <w:tab w:val="left" w:pos="567"/>
              </w:tabs>
              <w:rPr>
                <w:rFonts w:cs="Arial"/>
                <w:color w:val="000000" w:themeColor="text1"/>
                <w:sz w:val="22"/>
              </w:rPr>
            </w:pPr>
          </w:p>
        </w:tc>
        <w:tc>
          <w:tcPr>
            <w:tcW w:w="3260" w:type="dxa"/>
          </w:tcPr>
          <w:p w14:paraId="0565431C" w14:textId="33409857"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18CC3768" w14:textId="3689FA2E"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3.9</w:t>
            </w:r>
          </w:p>
        </w:tc>
        <w:tc>
          <w:tcPr>
            <w:tcW w:w="850" w:type="dxa"/>
          </w:tcPr>
          <w:p w14:paraId="6D764707" w14:textId="0C370D55"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7.1</w:t>
            </w:r>
          </w:p>
        </w:tc>
        <w:tc>
          <w:tcPr>
            <w:tcW w:w="1083" w:type="dxa"/>
          </w:tcPr>
          <w:p w14:paraId="6D8FC4DC" w14:textId="700D6B06"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7.9</w:t>
            </w:r>
          </w:p>
        </w:tc>
      </w:tr>
      <w:tr w:rsidR="0050016D" w14:paraId="6327076D" w14:textId="77777777" w:rsidTr="002D46FF">
        <w:tc>
          <w:tcPr>
            <w:tcW w:w="2972" w:type="dxa"/>
          </w:tcPr>
          <w:p w14:paraId="20A3D393" w14:textId="1E9B8371" w:rsidR="0050016D" w:rsidRDefault="0050016D" w:rsidP="0050016D">
            <w:pPr>
              <w:tabs>
                <w:tab w:val="left" w:pos="567"/>
              </w:tabs>
              <w:rPr>
                <w:rFonts w:cs="Arial"/>
                <w:color w:val="000000" w:themeColor="text1"/>
                <w:sz w:val="22"/>
              </w:rPr>
            </w:pPr>
            <w:r>
              <w:rPr>
                <w:rFonts w:cs="Arial"/>
                <w:color w:val="000000" w:themeColor="text1"/>
                <w:sz w:val="22"/>
              </w:rPr>
              <w:t xml:space="preserve">Mid &amp; East Antrim Borough Council </w:t>
            </w:r>
          </w:p>
        </w:tc>
        <w:tc>
          <w:tcPr>
            <w:tcW w:w="3260" w:type="dxa"/>
          </w:tcPr>
          <w:p w14:paraId="47F85FDB" w14:textId="590ABE3F"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1E8229E7" w14:textId="1F0BB526" w:rsidR="0050016D" w:rsidRPr="002D46FF" w:rsidRDefault="00CC2010" w:rsidP="0050016D">
            <w:pPr>
              <w:tabs>
                <w:tab w:val="left" w:pos="567"/>
              </w:tabs>
              <w:rPr>
                <w:rFonts w:cs="Arial"/>
                <w:color w:val="000000" w:themeColor="text1"/>
                <w:sz w:val="22"/>
              </w:rPr>
            </w:pPr>
            <w:r>
              <w:rPr>
                <w:rFonts w:cs="Arial"/>
                <w:color w:val="000000" w:themeColor="text1"/>
                <w:sz w:val="22"/>
              </w:rPr>
              <w:t>1.8</w:t>
            </w:r>
          </w:p>
        </w:tc>
        <w:tc>
          <w:tcPr>
            <w:tcW w:w="850" w:type="dxa"/>
          </w:tcPr>
          <w:p w14:paraId="028E587D" w14:textId="6919CCB7" w:rsidR="0050016D" w:rsidRPr="002D46FF" w:rsidRDefault="00CC2010" w:rsidP="0050016D">
            <w:pPr>
              <w:tabs>
                <w:tab w:val="left" w:pos="567"/>
              </w:tabs>
              <w:rPr>
                <w:rFonts w:cs="Arial"/>
                <w:color w:val="000000" w:themeColor="text1"/>
                <w:sz w:val="22"/>
              </w:rPr>
            </w:pPr>
            <w:r>
              <w:rPr>
                <w:rFonts w:cs="Arial"/>
                <w:color w:val="000000" w:themeColor="text1"/>
                <w:sz w:val="22"/>
              </w:rPr>
              <w:t>1.4</w:t>
            </w:r>
          </w:p>
        </w:tc>
        <w:tc>
          <w:tcPr>
            <w:tcW w:w="1083" w:type="dxa"/>
          </w:tcPr>
          <w:p w14:paraId="29E57786" w14:textId="3E1E22C9" w:rsidR="0050016D" w:rsidRPr="002D46FF" w:rsidRDefault="00CC2010" w:rsidP="0050016D">
            <w:pPr>
              <w:tabs>
                <w:tab w:val="left" w:pos="567"/>
              </w:tabs>
              <w:rPr>
                <w:rFonts w:cs="Arial"/>
                <w:color w:val="000000" w:themeColor="text1"/>
                <w:sz w:val="22"/>
              </w:rPr>
            </w:pPr>
            <w:r>
              <w:rPr>
                <w:rFonts w:cs="Arial"/>
                <w:color w:val="000000" w:themeColor="text1"/>
                <w:sz w:val="22"/>
              </w:rPr>
              <w:t>1.8</w:t>
            </w:r>
          </w:p>
        </w:tc>
      </w:tr>
      <w:tr w:rsidR="0050016D" w14:paraId="48F84B8E" w14:textId="77777777" w:rsidTr="002D46FF">
        <w:tc>
          <w:tcPr>
            <w:tcW w:w="2972" w:type="dxa"/>
          </w:tcPr>
          <w:p w14:paraId="42AE94A7" w14:textId="77777777" w:rsidR="0050016D" w:rsidRDefault="0050016D" w:rsidP="0050016D">
            <w:pPr>
              <w:tabs>
                <w:tab w:val="left" w:pos="567"/>
              </w:tabs>
              <w:rPr>
                <w:rFonts w:cs="Arial"/>
                <w:color w:val="000000" w:themeColor="text1"/>
                <w:sz w:val="22"/>
              </w:rPr>
            </w:pPr>
          </w:p>
        </w:tc>
        <w:tc>
          <w:tcPr>
            <w:tcW w:w="3260" w:type="dxa"/>
          </w:tcPr>
          <w:p w14:paraId="3E899539" w14:textId="78776870"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3F2E7B48" w14:textId="2B7A2A4C" w:rsidR="0050016D" w:rsidRPr="002D46FF" w:rsidRDefault="00CC2010" w:rsidP="0050016D">
            <w:pPr>
              <w:tabs>
                <w:tab w:val="left" w:pos="567"/>
              </w:tabs>
              <w:rPr>
                <w:rFonts w:cs="Arial"/>
                <w:color w:val="000000" w:themeColor="text1"/>
                <w:sz w:val="22"/>
              </w:rPr>
            </w:pPr>
            <w:r>
              <w:rPr>
                <w:rFonts w:cs="Arial"/>
                <w:color w:val="000000" w:themeColor="text1"/>
                <w:sz w:val="22"/>
              </w:rPr>
              <w:t>7.2</w:t>
            </w:r>
          </w:p>
        </w:tc>
        <w:tc>
          <w:tcPr>
            <w:tcW w:w="850" w:type="dxa"/>
          </w:tcPr>
          <w:p w14:paraId="753C4F3F" w14:textId="02AC966F" w:rsidR="0050016D" w:rsidRPr="002D46FF" w:rsidRDefault="00CC2010" w:rsidP="0050016D">
            <w:pPr>
              <w:tabs>
                <w:tab w:val="left" w:pos="567"/>
              </w:tabs>
              <w:rPr>
                <w:rFonts w:cs="Arial"/>
                <w:color w:val="000000" w:themeColor="text1"/>
                <w:sz w:val="22"/>
              </w:rPr>
            </w:pPr>
            <w:r>
              <w:rPr>
                <w:rFonts w:cs="Arial"/>
                <w:color w:val="000000" w:themeColor="text1"/>
                <w:sz w:val="22"/>
              </w:rPr>
              <w:t>10.1</w:t>
            </w:r>
          </w:p>
        </w:tc>
        <w:tc>
          <w:tcPr>
            <w:tcW w:w="1083" w:type="dxa"/>
          </w:tcPr>
          <w:p w14:paraId="25B918C7" w14:textId="651988CB" w:rsidR="0050016D" w:rsidRPr="002D46FF" w:rsidRDefault="00CC2010" w:rsidP="0050016D">
            <w:pPr>
              <w:tabs>
                <w:tab w:val="left" w:pos="567"/>
              </w:tabs>
              <w:rPr>
                <w:rFonts w:cs="Arial"/>
                <w:color w:val="000000" w:themeColor="text1"/>
                <w:sz w:val="22"/>
              </w:rPr>
            </w:pPr>
            <w:r>
              <w:rPr>
                <w:rFonts w:cs="Arial"/>
                <w:color w:val="000000" w:themeColor="text1"/>
                <w:sz w:val="22"/>
              </w:rPr>
              <w:t>8.6</w:t>
            </w:r>
          </w:p>
        </w:tc>
      </w:tr>
      <w:tr w:rsidR="0050016D" w14:paraId="3D1E9387" w14:textId="77777777" w:rsidTr="002D46FF">
        <w:tc>
          <w:tcPr>
            <w:tcW w:w="2972" w:type="dxa"/>
          </w:tcPr>
          <w:p w14:paraId="5AC22AC9" w14:textId="77777777" w:rsidR="0050016D" w:rsidRDefault="0050016D" w:rsidP="0050016D">
            <w:pPr>
              <w:tabs>
                <w:tab w:val="left" w:pos="567"/>
              </w:tabs>
              <w:rPr>
                <w:rFonts w:cs="Arial"/>
                <w:color w:val="000000" w:themeColor="text1"/>
                <w:sz w:val="22"/>
              </w:rPr>
            </w:pPr>
          </w:p>
        </w:tc>
        <w:tc>
          <w:tcPr>
            <w:tcW w:w="3260" w:type="dxa"/>
          </w:tcPr>
          <w:p w14:paraId="65F04306" w14:textId="590E7F7A" w:rsidR="0050016D" w:rsidRPr="00CC2010" w:rsidRDefault="0050016D" w:rsidP="0050016D">
            <w:pPr>
              <w:tabs>
                <w:tab w:val="left" w:pos="567"/>
              </w:tabs>
              <w:rPr>
                <w:rFonts w:cs="Arial"/>
                <w:b/>
                <w:bCs/>
                <w:color w:val="000000" w:themeColor="text1"/>
                <w:sz w:val="22"/>
              </w:rPr>
            </w:pPr>
            <w:r w:rsidRPr="00CC2010">
              <w:rPr>
                <w:rFonts w:cs="Arial"/>
                <w:b/>
                <w:bCs/>
                <w:color w:val="000000" w:themeColor="text1"/>
                <w:sz w:val="22"/>
              </w:rPr>
              <w:t xml:space="preserve">Total Structural Maintenance </w:t>
            </w:r>
          </w:p>
        </w:tc>
        <w:tc>
          <w:tcPr>
            <w:tcW w:w="851" w:type="dxa"/>
          </w:tcPr>
          <w:p w14:paraId="4D482D7F" w14:textId="6A04E399"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9.0</w:t>
            </w:r>
          </w:p>
        </w:tc>
        <w:tc>
          <w:tcPr>
            <w:tcW w:w="850" w:type="dxa"/>
          </w:tcPr>
          <w:p w14:paraId="650645B0" w14:textId="2094A19D"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11.5</w:t>
            </w:r>
          </w:p>
        </w:tc>
        <w:tc>
          <w:tcPr>
            <w:tcW w:w="1083" w:type="dxa"/>
          </w:tcPr>
          <w:p w14:paraId="3CAC6800" w14:textId="37B8F64D"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10.4</w:t>
            </w:r>
          </w:p>
        </w:tc>
      </w:tr>
      <w:tr w:rsidR="0050016D" w14:paraId="22B5A03F" w14:textId="77777777" w:rsidTr="002D46FF">
        <w:tc>
          <w:tcPr>
            <w:tcW w:w="2972" w:type="dxa"/>
          </w:tcPr>
          <w:p w14:paraId="2B32C8BB" w14:textId="0F30F85E" w:rsidR="0050016D" w:rsidRDefault="0050016D" w:rsidP="0050016D">
            <w:pPr>
              <w:tabs>
                <w:tab w:val="left" w:pos="567"/>
              </w:tabs>
              <w:rPr>
                <w:rFonts w:cs="Arial"/>
                <w:color w:val="000000" w:themeColor="text1"/>
                <w:sz w:val="22"/>
              </w:rPr>
            </w:pPr>
            <w:r>
              <w:rPr>
                <w:rFonts w:cs="Arial"/>
                <w:color w:val="000000" w:themeColor="text1"/>
                <w:sz w:val="22"/>
              </w:rPr>
              <w:t xml:space="preserve">Causeway Coast &amp; Glens Borough Council </w:t>
            </w:r>
          </w:p>
        </w:tc>
        <w:tc>
          <w:tcPr>
            <w:tcW w:w="3260" w:type="dxa"/>
          </w:tcPr>
          <w:p w14:paraId="564B8141" w14:textId="62B1C9C3"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29AA73DB" w14:textId="594E38E7" w:rsidR="0050016D" w:rsidRPr="002D46FF" w:rsidRDefault="00CC2010" w:rsidP="0050016D">
            <w:pPr>
              <w:tabs>
                <w:tab w:val="left" w:pos="567"/>
              </w:tabs>
              <w:rPr>
                <w:rFonts w:cs="Arial"/>
                <w:color w:val="000000" w:themeColor="text1"/>
                <w:sz w:val="22"/>
              </w:rPr>
            </w:pPr>
            <w:r>
              <w:rPr>
                <w:rFonts w:cs="Arial"/>
                <w:color w:val="000000" w:themeColor="text1"/>
                <w:sz w:val="22"/>
              </w:rPr>
              <w:t>1.2</w:t>
            </w:r>
          </w:p>
        </w:tc>
        <w:tc>
          <w:tcPr>
            <w:tcW w:w="850" w:type="dxa"/>
          </w:tcPr>
          <w:p w14:paraId="0B2B58DA" w14:textId="6CF83FBF" w:rsidR="0050016D" w:rsidRPr="002D46FF" w:rsidRDefault="00CC2010" w:rsidP="0050016D">
            <w:pPr>
              <w:tabs>
                <w:tab w:val="left" w:pos="567"/>
              </w:tabs>
              <w:rPr>
                <w:rFonts w:cs="Arial"/>
                <w:color w:val="000000" w:themeColor="text1"/>
                <w:sz w:val="22"/>
              </w:rPr>
            </w:pPr>
            <w:r>
              <w:rPr>
                <w:rFonts w:cs="Arial"/>
                <w:color w:val="000000" w:themeColor="text1"/>
                <w:sz w:val="22"/>
              </w:rPr>
              <w:t>1.3</w:t>
            </w:r>
          </w:p>
        </w:tc>
        <w:tc>
          <w:tcPr>
            <w:tcW w:w="1083" w:type="dxa"/>
          </w:tcPr>
          <w:p w14:paraId="18FC50D4" w14:textId="4CF582FB" w:rsidR="0050016D" w:rsidRPr="002D46FF" w:rsidRDefault="00CC2010" w:rsidP="0050016D">
            <w:pPr>
              <w:tabs>
                <w:tab w:val="left" w:pos="567"/>
              </w:tabs>
              <w:rPr>
                <w:rFonts w:cs="Arial"/>
                <w:color w:val="000000" w:themeColor="text1"/>
                <w:sz w:val="22"/>
              </w:rPr>
            </w:pPr>
            <w:r>
              <w:rPr>
                <w:rFonts w:cs="Arial"/>
                <w:color w:val="000000" w:themeColor="text1"/>
                <w:sz w:val="22"/>
              </w:rPr>
              <w:t>1.1</w:t>
            </w:r>
          </w:p>
        </w:tc>
      </w:tr>
      <w:tr w:rsidR="0050016D" w14:paraId="3D06694F" w14:textId="77777777" w:rsidTr="002D46FF">
        <w:tc>
          <w:tcPr>
            <w:tcW w:w="2972" w:type="dxa"/>
          </w:tcPr>
          <w:p w14:paraId="70DE5040" w14:textId="77777777" w:rsidR="0050016D" w:rsidRDefault="0050016D" w:rsidP="0050016D">
            <w:pPr>
              <w:tabs>
                <w:tab w:val="left" w:pos="567"/>
              </w:tabs>
              <w:rPr>
                <w:rFonts w:cs="Arial"/>
                <w:color w:val="000000" w:themeColor="text1"/>
                <w:sz w:val="22"/>
              </w:rPr>
            </w:pPr>
          </w:p>
        </w:tc>
        <w:tc>
          <w:tcPr>
            <w:tcW w:w="3260" w:type="dxa"/>
          </w:tcPr>
          <w:p w14:paraId="1BB99552" w14:textId="3A02C368"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39A23E2F" w14:textId="6D074D9E" w:rsidR="0050016D" w:rsidRPr="002D46FF" w:rsidRDefault="00CC2010" w:rsidP="0050016D">
            <w:pPr>
              <w:tabs>
                <w:tab w:val="left" w:pos="567"/>
              </w:tabs>
              <w:rPr>
                <w:rFonts w:cs="Arial"/>
                <w:color w:val="000000" w:themeColor="text1"/>
                <w:sz w:val="22"/>
              </w:rPr>
            </w:pPr>
            <w:r>
              <w:rPr>
                <w:rFonts w:cs="Arial"/>
                <w:color w:val="000000" w:themeColor="text1"/>
                <w:sz w:val="22"/>
              </w:rPr>
              <w:t>10.3</w:t>
            </w:r>
          </w:p>
        </w:tc>
        <w:tc>
          <w:tcPr>
            <w:tcW w:w="850" w:type="dxa"/>
          </w:tcPr>
          <w:p w14:paraId="20387149" w14:textId="58F19AA8" w:rsidR="0050016D" w:rsidRPr="002D46FF" w:rsidRDefault="00CC2010" w:rsidP="0050016D">
            <w:pPr>
              <w:tabs>
                <w:tab w:val="left" w:pos="567"/>
              </w:tabs>
              <w:rPr>
                <w:rFonts w:cs="Arial"/>
                <w:color w:val="000000" w:themeColor="text1"/>
                <w:sz w:val="22"/>
              </w:rPr>
            </w:pPr>
            <w:r>
              <w:rPr>
                <w:rFonts w:cs="Arial"/>
                <w:color w:val="000000" w:themeColor="text1"/>
                <w:sz w:val="22"/>
              </w:rPr>
              <w:t>10.1</w:t>
            </w:r>
          </w:p>
        </w:tc>
        <w:tc>
          <w:tcPr>
            <w:tcW w:w="1083" w:type="dxa"/>
          </w:tcPr>
          <w:p w14:paraId="305EB9B0" w14:textId="1F03DDBA" w:rsidR="0050016D" w:rsidRPr="002D46FF" w:rsidRDefault="00CC2010" w:rsidP="0050016D">
            <w:pPr>
              <w:tabs>
                <w:tab w:val="left" w:pos="567"/>
              </w:tabs>
              <w:rPr>
                <w:rFonts w:cs="Arial"/>
                <w:color w:val="000000" w:themeColor="text1"/>
                <w:sz w:val="22"/>
              </w:rPr>
            </w:pPr>
            <w:r>
              <w:rPr>
                <w:rFonts w:cs="Arial"/>
                <w:color w:val="000000" w:themeColor="text1"/>
                <w:sz w:val="22"/>
              </w:rPr>
              <w:t>10.3</w:t>
            </w:r>
          </w:p>
        </w:tc>
      </w:tr>
      <w:tr w:rsidR="0050016D" w14:paraId="16E4EF85" w14:textId="77777777" w:rsidTr="002D46FF">
        <w:tc>
          <w:tcPr>
            <w:tcW w:w="2972" w:type="dxa"/>
          </w:tcPr>
          <w:p w14:paraId="32AE5D58" w14:textId="77777777" w:rsidR="0050016D" w:rsidRDefault="0050016D" w:rsidP="0050016D">
            <w:pPr>
              <w:tabs>
                <w:tab w:val="left" w:pos="567"/>
              </w:tabs>
              <w:rPr>
                <w:rFonts w:cs="Arial"/>
                <w:color w:val="000000" w:themeColor="text1"/>
                <w:sz w:val="22"/>
              </w:rPr>
            </w:pPr>
          </w:p>
        </w:tc>
        <w:tc>
          <w:tcPr>
            <w:tcW w:w="3260" w:type="dxa"/>
          </w:tcPr>
          <w:p w14:paraId="663FD055" w14:textId="67C582BA"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39284524" w14:textId="10E5DA6B"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11.5</w:t>
            </w:r>
          </w:p>
        </w:tc>
        <w:tc>
          <w:tcPr>
            <w:tcW w:w="850" w:type="dxa"/>
          </w:tcPr>
          <w:p w14:paraId="58F13E02" w14:textId="64166CFF"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11.4</w:t>
            </w:r>
          </w:p>
        </w:tc>
        <w:tc>
          <w:tcPr>
            <w:tcW w:w="1083" w:type="dxa"/>
          </w:tcPr>
          <w:p w14:paraId="39E4BAF4" w14:textId="659352F1"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11.4</w:t>
            </w:r>
          </w:p>
        </w:tc>
      </w:tr>
      <w:tr w:rsidR="0050016D" w14:paraId="66258212" w14:textId="77777777" w:rsidTr="002D46FF">
        <w:tc>
          <w:tcPr>
            <w:tcW w:w="2972" w:type="dxa"/>
          </w:tcPr>
          <w:p w14:paraId="1B8AFCCD" w14:textId="68022C9A" w:rsidR="0050016D" w:rsidRDefault="0050016D" w:rsidP="0050016D">
            <w:pPr>
              <w:tabs>
                <w:tab w:val="left" w:pos="567"/>
              </w:tabs>
              <w:rPr>
                <w:rFonts w:cs="Arial"/>
                <w:color w:val="000000" w:themeColor="text1"/>
                <w:sz w:val="22"/>
              </w:rPr>
            </w:pPr>
            <w:r>
              <w:rPr>
                <w:rFonts w:cs="Arial"/>
                <w:color w:val="000000" w:themeColor="text1"/>
                <w:sz w:val="22"/>
              </w:rPr>
              <w:t xml:space="preserve">Derry City &amp; Strabane District Council </w:t>
            </w:r>
          </w:p>
        </w:tc>
        <w:tc>
          <w:tcPr>
            <w:tcW w:w="3260" w:type="dxa"/>
          </w:tcPr>
          <w:p w14:paraId="3E110AD5" w14:textId="48FAB152"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2ED9565C" w14:textId="581F3F5C" w:rsidR="0050016D" w:rsidRPr="002D46FF" w:rsidRDefault="00CC2010" w:rsidP="0050016D">
            <w:pPr>
              <w:tabs>
                <w:tab w:val="left" w:pos="567"/>
              </w:tabs>
              <w:rPr>
                <w:rFonts w:cs="Arial"/>
                <w:color w:val="000000" w:themeColor="text1"/>
                <w:sz w:val="22"/>
              </w:rPr>
            </w:pPr>
            <w:r>
              <w:rPr>
                <w:rFonts w:cs="Arial"/>
                <w:color w:val="000000" w:themeColor="text1"/>
                <w:sz w:val="22"/>
              </w:rPr>
              <w:t>1.0</w:t>
            </w:r>
          </w:p>
        </w:tc>
        <w:tc>
          <w:tcPr>
            <w:tcW w:w="850" w:type="dxa"/>
          </w:tcPr>
          <w:p w14:paraId="62D2DE1D" w14:textId="31FFDE2C" w:rsidR="0050016D" w:rsidRPr="002D46FF" w:rsidRDefault="00CC2010" w:rsidP="0050016D">
            <w:pPr>
              <w:tabs>
                <w:tab w:val="left" w:pos="567"/>
              </w:tabs>
              <w:rPr>
                <w:rFonts w:cs="Arial"/>
                <w:color w:val="000000" w:themeColor="text1"/>
                <w:sz w:val="22"/>
              </w:rPr>
            </w:pPr>
            <w:r>
              <w:rPr>
                <w:rFonts w:cs="Arial"/>
                <w:color w:val="000000" w:themeColor="text1"/>
                <w:sz w:val="22"/>
              </w:rPr>
              <w:t>1.2</w:t>
            </w:r>
          </w:p>
        </w:tc>
        <w:tc>
          <w:tcPr>
            <w:tcW w:w="1083" w:type="dxa"/>
          </w:tcPr>
          <w:p w14:paraId="4E9FDE71" w14:textId="370D51EC" w:rsidR="0050016D" w:rsidRPr="002D46FF" w:rsidRDefault="00CC2010" w:rsidP="0050016D">
            <w:pPr>
              <w:tabs>
                <w:tab w:val="left" w:pos="567"/>
              </w:tabs>
              <w:rPr>
                <w:rFonts w:cs="Arial"/>
                <w:color w:val="000000" w:themeColor="text1"/>
                <w:sz w:val="22"/>
              </w:rPr>
            </w:pPr>
            <w:r>
              <w:rPr>
                <w:rFonts w:cs="Arial"/>
                <w:color w:val="000000" w:themeColor="text1"/>
                <w:sz w:val="22"/>
              </w:rPr>
              <w:t>1.6</w:t>
            </w:r>
          </w:p>
        </w:tc>
      </w:tr>
      <w:tr w:rsidR="0050016D" w14:paraId="31890219" w14:textId="77777777" w:rsidTr="002D46FF">
        <w:tc>
          <w:tcPr>
            <w:tcW w:w="2972" w:type="dxa"/>
          </w:tcPr>
          <w:p w14:paraId="7FDB15BB" w14:textId="77777777" w:rsidR="0050016D" w:rsidRDefault="0050016D" w:rsidP="0050016D">
            <w:pPr>
              <w:tabs>
                <w:tab w:val="left" w:pos="567"/>
              </w:tabs>
              <w:rPr>
                <w:rFonts w:cs="Arial"/>
                <w:color w:val="000000" w:themeColor="text1"/>
                <w:sz w:val="22"/>
              </w:rPr>
            </w:pPr>
          </w:p>
        </w:tc>
        <w:tc>
          <w:tcPr>
            <w:tcW w:w="3260" w:type="dxa"/>
          </w:tcPr>
          <w:p w14:paraId="12DDAAA9" w14:textId="70223B9E"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5CE8D575" w14:textId="1814F533" w:rsidR="0050016D" w:rsidRPr="002D46FF" w:rsidRDefault="00CC2010" w:rsidP="0050016D">
            <w:pPr>
              <w:tabs>
                <w:tab w:val="left" w:pos="567"/>
              </w:tabs>
              <w:rPr>
                <w:rFonts w:cs="Arial"/>
                <w:color w:val="000000" w:themeColor="text1"/>
                <w:sz w:val="22"/>
              </w:rPr>
            </w:pPr>
            <w:r>
              <w:rPr>
                <w:rFonts w:cs="Arial"/>
                <w:color w:val="000000" w:themeColor="text1"/>
                <w:sz w:val="22"/>
              </w:rPr>
              <w:t>6.7</w:t>
            </w:r>
          </w:p>
        </w:tc>
        <w:tc>
          <w:tcPr>
            <w:tcW w:w="850" w:type="dxa"/>
          </w:tcPr>
          <w:p w14:paraId="6B51CEF4" w14:textId="0C44283A" w:rsidR="0050016D" w:rsidRPr="002D46FF" w:rsidRDefault="00CC2010" w:rsidP="0050016D">
            <w:pPr>
              <w:tabs>
                <w:tab w:val="left" w:pos="567"/>
              </w:tabs>
              <w:rPr>
                <w:rFonts w:cs="Arial"/>
                <w:color w:val="000000" w:themeColor="text1"/>
                <w:sz w:val="22"/>
              </w:rPr>
            </w:pPr>
            <w:r>
              <w:rPr>
                <w:rFonts w:cs="Arial"/>
                <w:color w:val="000000" w:themeColor="text1"/>
                <w:sz w:val="22"/>
              </w:rPr>
              <w:t>6.5</w:t>
            </w:r>
          </w:p>
        </w:tc>
        <w:tc>
          <w:tcPr>
            <w:tcW w:w="1083" w:type="dxa"/>
          </w:tcPr>
          <w:p w14:paraId="3C7D6498" w14:textId="39A923FF" w:rsidR="0050016D" w:rsidRPr="002D46FF" w:rsidRDefault="00CC2010" w:rsidP="0050016D">
            <w:pPr>
              <w:tabs>
                <w:tab w:val="left" w:pos="567"/>
              </w:tabs>
              <w:rPr>
                <w:rFonts w:cs="Arial"/>
                <w:color w:val="000000" w:themeColor="text1"/>
                <w:sz w:val="22"/>
              </w:rPr>
            </w:pPr>
            <w:r>
              <w:rPr>
                <w:rFonts w:cs="Arial"/>
                <w:color w:val="000000" w:themeColor="text1"/>
                <w:sz w:val="22"/>
              </w:rPr>
              <w:t>9.8</w:t>
            </w:r>
          </w:p>
        </w:tc>
      </w:tr>
      <w:tr w:rsidR="0050016D" w14:paraId="36919BEF" w14:textId="77777777" w:rsidTr="002D46FF">
        <w:tc>
          <w:tcPr>
            <w:tcW w:w="2972" w:type="dxa"/>
          </w:tcPr>
          <w:p w14:paraId="2AE098D4" w14:textId="77777777" w:rsidR="0050016D" w:rsidRDefault="0050016D" w:rsidP="0050016D">
            <w:pPr>
              <w:tabs>
                <w:tab w:val="left" w:pos="567"/>
              </w:tabs>
              <w:rPr>
                <w:rFonts w:cs="Arial"/>
                <w:color w:val="000000" w:themeColor="text1"/>
                <w:sz w:val="22"/>
              </w:rPr>
            </w:pPr>
          </w:p>
        </w:tc>
        <w:tc>
          <w:tcPr>
            <w:tcW w:w="3260" w:type="dxa"/>
          </w:tcPr>
          <w:p w14:paraId="0553D5F6" w14:textId="0B17F8C5"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7C43E2C7" w14:textId="14CA6E9F"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7.7</w:t>
            </w:r>
          </w:p>
        </w:tc>
        <w:tc>
          <w:tcPr>
            <w:tcW w:w="850" w:type="dxa"/>
          </w:tcPr>
          <w:p w14:paraId="535FF722" w14:textId="5E97E292"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7.7</w:t>
            </w:r>
          </w:p>
        </w:tc>
        <w:tc>
          <w:tcPr>
            <w:tcW w:w="1083" w:type="dxa"/>
          </w:tcPr>
          <w:p w14:paraId="2398C385" w14:textId="24F8328F" w:rsidR="0050016D" w:rsidRPr="00CC2010" w:rsidRDefault="00CC2010" w:rsidP="0050016D">
            <w:pPr>
              <w:tabs>
                <w:tab w:val="left" w:pos="567"/>
              </w:tabs>
              <w:rPr>
                <w:rFonts w:cs="Arial"/>
                <w:b/>
                <w:bCs/>
                <w:color w:val="000000" w:themeColor="text1"/>
                <w:sz w:val="22"/>
              </w:rPr>
            </w:pPr>
            <w:r w:rsidRPr="00CC2010">
              <w:rPr>
                <w:rFonts w:cs="Arial"/>
                <w:b/>
                <w:bCs/>
                <w:color w:val="000000" w:themeColor="text1"/>
                <w:sz w:val="22"/>
              </w:rPr>
              <w:t>11.4</w:t>
            </w:r>
          </w:p>
        </w:tc>
      </w:tr>
      <w:tr w:rsidR="0050016D" w14:paraId="6C7C9CED" w14:textId="77777777" w:rsidTr="002D46FF">
        <w:tc>
          <w:tcPr>
            <w:tcW w:w="2972" w:type="dxa"/>
          </w:tcPr>
          <w:p w14:paraId="245D8825" w14:textId="7A2A1A22" w:rsidR="0050016D" w:rsidRDefault="0050016D" w:rsidP="0050016D">
            <w:pPr>
              <w:tabs>
                <w:tab w:val="left" w:pos="567"/>
              </w:tabs>
              <w:rPr>
                <w:rFonts w:cs="Arial"/>
                <w:color w:val="000000" w:themeColor="text1"/>
                <w:sz w:val="22"/>
              </w:rPr>
            </w:pPr>
            <w:r>
              <w:rPr>
                <w:rFonts w:cs="Arial"/>
                <w:color w:val="000000" w:themeColor="text1"/>
                <w:sz w:val="22"/>
              </w:rPr>
              <w:t xml:space="preserve">Mid Ulster District Council </w:t>
            </w:r>
          </w:p>
        </w:tc>
        <w:tc>
          <w:tcPr>
            <w:tcW w:w="3260" w:type="dxa"/>
          </w:tcPr>
          <w:p w14:paraId="333CC304" w14:textId="4FB06213"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3D12468C" w14:textId="378C083E" w:rsidR="0050016D" w:rsidRPr="002D46FF" w:rsidRDefault="000F2343" w:rsidP="0050016D">
            <w:pPr>
              <w:tabs>
                <w:tab w:val="left" w:pos="567"/>
              </w:tabs>
              <w:rPr>
                <w:rFonts w:cs="Arial"/>
                <w:color w:val="000000" w:themeColor="text1"/>
                <w:sz w:val="22"/>
              </w:rPr>
            </w:pPr>
            <w:r>
              <w:rPr>
                <w:rFonts w:cs="Arial"/>
                <w:color w:val="000000" w:themeColor="text1"/>
                <w:sz w:val="22"/>
              </w:rPr>
              <w:t>2.3</w:t>
            </w:r>
          </w:p>
        </w:tc>
        <w:tc>
          <w:tcPr>
            <w:tcW w:w="850" w:type="dxa"/>
          </w:tcPr>
          <w:p w14:paraId="01293763" w14:textId="3063742E" w:rsidR="0050016D" w:rsidRPr="002D46FF" w:rsidRDefault="000F2343" w:rsidP="0050016D">
            <w:pPr>
              <w:tabs>
                <w:tab w:val="left" w:pos="567"/>
              </w:tabs>
              <w:rPr>
                <w:rFonts w:cs="Arial"/>
                <w:color w:val="000000" w:themeColor="text1"/>
                <w:sz w:val="22"/>
              </w:rPr>
            </w:pPr>
            <w:r>
              <w:rPr>
                <w:rFonts w:cs="Arial"/>
                <w:color w:val="000000" w:themeColor="text1"/>
                <w:sz w:val="22"/>
              </w:rPr>
              <w:t>1.6</w:t>
            </w:r>
          </w:p>
        </w:tc>
        <w:tc>
          <w:tcPr>
            <w:tcW w:w="1083" w:type="dxa"/>
          </w:tcPr>
          <w:p w14:paraId="253E923B" w14:textId="1A185003" w:rsidR="0050016D" w:rsidRPr="002D46FF" w:rsidRDefault="000F2343" w:rsidP="0050016D">
            <w:pPr>
              <w:tabs>
                <w:tab w:val="left" w:pos="567"/>
              </w:tabs>
              <w:rPr>
                <w:rFonts w:cs="Arial"/>
                <w:color w:val="000000" w:themeColor="text1"/>
                <w:sz w:val="22"/>
              </w:rPr>
            </w:pPr>
            <w:r>
              <w:rPr>
                <w:rFonts w:cs="Arial"/>
                <w:color w:val="000000" w:themeColor="text1"/>
                <w:sz w:val="22"/>
              </w:rPr>
              <w:t>1.7</w:t>
            </w:r>
          </w:p>
        </w:tc>
      </w:tr>
      <w:tr w:rsidR="0050016D" w14:paraId="0C66CE11" w14:textId="77777777" w:rsidTr="002D46FF">
        <w:tc>
          <w:tcPr>
            <w:tcW w:w="2972" w:type="dxa"/>
          </w:tcPr>
          <w:p w14:paraId="6F3BB7DF" w14:textId="77777777" w:rsidR="0050016D" w:rsidRDefault="0050016D" w:rsidP="0050016D">
            <w:pPr>
              <w:tabs>
                <w:tab w:val="left" w:pos="567"/>
              </w:tabs>
              <w:rPr>
                <w:rFonts w:cs="Arial"/>
                <w:color w:val="000000" w:themeColor="text1"/>
                <w:sz w:val="22"/>
              </w:rPr>
            </w:pPr>
          </w:p>
        </w:tc>
        <w:tc>
          <w:tcPr>
            <w:tcW w:w="3260" w:type="dxa"/>
          </w:tcPr>
          <w:p w14:paraId="6109CE16" w14:textId="5EFC0949"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5034075F" w14:textId="7FF74B4D" w:rsidR="0050016D" w:rsidRPr="002D46FF" w:rsidRDefault="000F2343" w:rsidP="0050016D">
            <w:pPr>
              <w:tabs>
                <w:tab w:val="left" w:pos="567"/>
              </w:tabs>
              <w:rPr>
                <w:rFonts w:cs="Arial"/>
                <w:color w:val="000000" w:themeColor="text1"/>
                <w:sz w:val="22"/>
              </w:rPr>
            </w:pPr>
            <w:r>
              <w:rPr>
                <w:rFonts w:cs="Arial"/>
                <w:color w:val="000000" w:themeColor="text1"/>
                <w:sz w:val="22"/>
              </w:rPr>
              <w:t>9.8</w:t>
            </w:r>
          </w:p>
        </w:tc>
        <w:tc>
          <w:tcPr>
            <w:tcW w:w="850" w:type="dxa"/>
          </w:tcPr>
          <w:p w14:paraId="770B9822" w14:textId="3C8DF4E9" w:rsidR="0050016D" w:rsidRPr="002D46FF" w:rsidRDefault="000F2343" w:rsidP="0050016D">
            <w:pPr>
              <w:tabs>
                <w:tab w:val="left" w:pos="567"/>
              </w:tabs>
              <w:rPr>
                <w:rFonts w:cs="Arial"/>
                <w:color w:val="000000" w:themeColor="text1"/>
                <w:sz w:val="22"/>
              </w:rPr>
            </w:pPr>
            <w:r>
              <w:rPr>
                <w:rFonts w:cs="Arial"/>
                <w:color w:val="000000" w:themeColor="text1"/>
                <w:sz w:val="22"/>
              </w:rPr>
              <w:t>8.6</w:t>
            </w:r>
          </w:p>
        </w:tc>
        <w:tc>
          <w:tcPr>
            <w:tcW w:w="1083" w:type="dxa"/>
          </w:tcPr>
          <w:p w14:paraId="12D83B47" w14:textId="69D6D510" w:rsidR="0050016D" w:rsidRPr="002D46FF" w:rsidRDefault="000F2343" w:rsidP="0050016D">
            <w:pPr>
              <w:tabs>
                <w:tab w:val="left" w:pos="567"/>
              </w:tabs>
              <w:rPr>
                <w:rFonts w:cs="Arial"/>
                <w:color w:val="000000" w:themeColor="text1"/>
                <w:sz w:val="22"/>
              </w:rPr>
            </w:pPr>
            <w:r>
              <w:rPr>
                <w:rFonts w:cs="Arial"/>
                <w:color w:val="000000" w:themeColor="text1"/>
                <w:sz w:val="22"/>
              </w:rPr>
              <w:t>19.8</w:t>
            </w:r>
          </w:p>
        </w:tc>
      </w:tr>
      <w:tr w:rsidR="0050016D" w14:paraId="6B7A4023" w14:textId="77777777" w:rsidTr="002D46FF">
        <w:tc>
          <w:tcPr>
            <w:tcW w:w="2972" w:type="dxa"/>
          </w:tcPr>
          <w:p w14:paraId="436BFC12" w14:textId="77777777" w:rsidR="0050016D" w:rsidRDefault="0050016D" w:rsidP="0050016D">
            <w:pPr>
              <w:tabs>
                <w:tab w:val="left" w:pos="567"/>
              </w:tabs>
              <w:rPr>
                <w:rFonts w:cs="Arial"/>
                <w:color w:val="000000" w:themeColor="text1"/>
                <w:sz w:val="22"/>
              </w:rPr>
            </w:pPr>
          </w:p>
        </w:tc>
        <w:tc>
          <w:tcPr>
            <w:tcW w:w="3260" w:type="dxa"/>
          </w:tcPr>
          <w:p w14:paraId="20B208CC" w14:textId="4BFB6644"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69082DCF" w14:textId="046C6D9D"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12.1</w:t>
            </w:r>
          </w:p>
        </w:tc>
        <w:tc>
          <w:tcPr>
            <w:tcW w:w="850" w:type="dxa"/>
          </w:tcPr>
          <w:p w14:paraId="79D244C6" w14:textId="64B14557"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10.2</w:t>
            </w:r>
          </w:p>
        </w:tc>
        <w:tc>
          <w:tcPr>
            <w:tcW w:w="1083" w:type="dxa"/>
          </w:tcPr>
          <w:p w14:paraId="12A55353" w14:textId="48D94426"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21.5</w:t>
            </w:r>
          </w:p>
        </w:tc>
      </w:tr>
      <w:tr w:rsidR="0050016D" w14:paraId="445DDCF2" w14:textId="77777777" w:rsidTr="002D46FF">
        <w:tc>
          <w:tcPr>
            <w:tcW w:w="2972" w:type="dxa"/>
          </w:tcPr>
          <w:p w14:paraId="05B9F032" w14:textId="556D19DB" w:rsidR="0050016D" w:rsidRDefault="0050016D" w:rsidP="0050016D">
            <w:pPr>
              <w:tabs>
                <w:tab w:val="left" w:pos="567"/>
              </w:tabs>
              <w:rPr>
                <w:rFonts w:cs="Arial"/>
                <w:color w:val="000000" w:themeColor="text1"/>
                <w:sz w:val="22"/>
              </w:rPr>
            </w:pPr>
            <w:r>
              <w:rPr>
                <w:rFonts w:cs="Arial"/>
                <w:color w:val="000000" w:themeColor="text1"/>
                <w:sz w:val="22"/>
              </w:rPr>
              <w:t xml:space="preserve">Fermanagh and Omagh District Council </w:t>
            </w:r>
          </w:p>
        </w:tc>
        <w:tc>
          <w:tcPr>
            <w:tcW w:w="3260" w:type="dxa"/>
          </w:tcPr>
          <w:p w14:paraId="4940604A" w14:textId="7AAE17EA"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45BAE494" w14:textId="061F4618" w:rsidR="0050016D" w:rsidRPr="002D46FF" w:rsidRDefault="000F2343" w:rsidP="0050016D">
            <w:pPr>
              <w:tabs>
                <w:tab w:val="left" w:pos="567"/>
              </w:tabs>
              <w:rPr>
                <w:rFonts w:cs="Arial"/>
                <w:color w:val="000000" w:themeColor="text1"/>
                <w:sz w:val="22"/>
              </w:rPr>
            </w:pPr>
            <w:r>
              <w:rPr>
                <w:rFonts w:cs="Arial"/>
                <w:color w:val="000000" w:themeColor="text1"/>
                <w:sz w:val="22"/>
              </w:rPr>
              <w:t>3.1</w:t>
            </w:r>
          </w:p>
        </w:tc>
        <w:tc>
          <w:tcPr>
            <w:tcW w:w="850" w:type="dxa"/>
          </w:tcPr>
          <w:p w14:paraId="2DDFD89C" w14:textId="6DFEA96E" w:rsidR="0050016D" w:rsidRPr="002D46FF" w:rsidRDefault="000F2343" w:rsidP="0050016D">
            <w:pPr>
              <w:tabs>
                <w:tab w:val="left" w:pos="567"/>
              </w:tabs>
              <w:rPr>
                <w:rFonts w:cs="Arial"/>
                <w:color w:val="000000" w:themeColor="text1"/>
                <w:sz w:val="22"/>
              </w:rPr>
            </w:pPr>
            <w:r>
              <w:rPr>
                <w:rFonts w:cs="Arial"/>
                <w:color w:val="000000" w:themeColor="text1"/>
                <w:sz w:val="22"/>
              </w:rPr>
              <w:t>1.7</w:t>
            </w:r>
          </w:p>
        </w:tc>
        <w:tc>
          <w:tcPr>
            <w:tcW w:w="1083" w:type="dxa"/>
          </w:tcPr>
          <w:p w14:paraId="7F85A026" w14:textId="456F938E" w:rsidR="0050016D" w:rsidRPr="002D46FF" w:rsidRDefault="000F2343" w:rsidP="0050016D">
            <w:pPr>
              <w:tabs>
                <w:tab w:val="left" w:pos="567"/>
              </w:tabs>
              <w:rPr>
                <w:rFonts w:cs="Arial"/>
                <w:color w:val="000000" w:themeColor="text1"/>
                <w:sz w:val="22"/>
              </w:rPr>
            </w:pPr>
            <w:r>
              <w:rPr>
                <w:rFonts w:cs="Arial"/>
                <w:color w:val="000000" w:themeColor="text1"/>
                <w:sz w:val="22"/>
              </w:rPr>
              <w:t>1.6</w:t>
            </w:r>
          </w:p>
        </w:tc>
      </w:tr>
      <w:tr w:rsidR="0050016D" w14:paraId="6CDE6D9E" w14:textId="77777777" w:rsidTr="002D46FF">
        <w:tc>
          <w:tcPr>
            <w:tcW w:w="2972" w:type="dxa"/>
          </w:tcPr>
          <w:p w14:paraId="4DAE3A6F" w14:textId="77777777" w:rsidR="0050016D" w:rsidRDefault="0050016D" w:rsidP="0050016D">
            <w:pPr>
              <w:tabs>
                <w:tab w:val="left" w:pos="567"/>
              </w:tabs>
              <w:rPr>
                <w:rFonts w:cs="Arial"/>
                <w:color w:val="000000" w:themeColor="text1"/>
                <w:sz w:val="22"/>
              </w:rPr>
            </w:pPr>
          </w:p>
        </w:tc>
        <w:tc>
          <w:tcPr>
            <w:tcW w:w="3260" w:type="dxa"/>
          </w:tcPr>
          <w:p w14:paraId="30048E17" w14:textId="2C202722"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39CBD30F" w14:textId="0FFDBCB3" w:rsidR="0050016D" w:rsidRPr="002D46FF" w:rsidRDefault="000F2343" w:rsidP="0050016D">
            <w:pPr>
              <w:tabs>
                <w:tab w:val="left" w:pos="567"/>
              </w:tabs>
              <w:rPr>
                <w:rFonts w:cs="Arial"/>
                <w:color w:val="000000" w:themeColor="text1"/>
                <w:sz w:val="22"/>
              </w:rPr>
            </w:pPr>
            <w:r>
              <w:rPr>
                <w:rFonts w:cs="Arial"/>
                <w:color w:val="000000" w:themeColor="text1"/>
                <w:sz w:val="22"/>
              </w:rPr>
              <w:t>11.0</w:t>
            </w:r>
          </w:p>
        </w:tc>
        <w:tc>
          <w:tcPr>
            <w:tcW w:w="850" w:type="dxa"/>
          </w:tcPr>
          <w:p w14:paraId="5B6CC3F5" w14:textId="04A6DDEB" w:rsidR="0050016D" w:rsidRPr="002D46FF" w:rsidRDefault="000F2343" w:rsidP="0050016D">
            <w:pPr>
              <w:tabs>
                <w:tab w:val="left" w:pos="567"/>
              </w:tabs>
              <w:rPr>
                <w:rFonts w:cs="Arial"/>
                <w:color w:val="000000" w:themeColor="text1"/>
                <w:sz w:val="22"/>
              </w:rPr>
            </w:pPr>
            <w:r>
              <w:rPr>
                <w:rFonts w:cs="Arial"/>
                <w:color w:val="000000" w:themeColor="text1"/>
                <w:sz w:val="22"/>
              </w:rPr>
              <w:t>9.7</w:t>
            </w:r>
          </w:p>
        </w:tc>
        <w:tc>
          <w:tcPr>
            <w:tcW w:w="1083" w:type="dxa"/>
          </w:tcPr>
          <w:p w14:paraId="76A68237" w14:textId="5B61D23B" w:rsidR="0050016D" w:rsidRPr="002D46FF" w:rsidRDefault="000F2343" w:rsidP="0050016D">
            <w:pPr>
              <w:tabs>
                <w:tab w:val="left" w:pos="567"/>
              </w:tabs>
              <w:rPr>
                <w:rFonts w:cs="Arial"/>
                <w:color w:val="000000" w:themeColor="text1"/>
                <w:sz w:val="22"/>
              </w:rPr>
            </w:pPr>
            <w:r>
              <w:rPr>
                <w:rFonts w:cs="Arial"/>
                <w:color w:val="000000" w:themeColor="text1"/>
                <w:sz w:val="22"/>
              </w:rPr>
              <w:t>11.1</w:t>
            </w:r>
          </w:p>
        </w:tc>
      </w:tr>
      <w:tr w:rsidR="0050016D" w14:paraId="030A15A5" w14:textId="77777777" w:rsidTr="002D46FF">
        <w:tc>
          <w:tcPr>
            <w:tcW w:w="2972" w:type="dxa"/>
          </w:tcPr>
          <w:p w14:paraId="74B40F51" w14:textId="77777777" w:rsidR="0050016D" w:rsidRDefault="0050016D" w:rsidP="0050016D">
            <w:pPr>
              <w:tabs>
                <w:tab w:val="left" w:pos="567"/>
              </w:tabs>
              <w:rPr>
                <w:rFonts w:cs="Arial"/>
                <w:color w:val="000000" w:themeColor="text1"/>
                <w:sz w:val="22"/>
              </w:rPr>
            </w:pPr>
          </w:p>
        </w:tc>
        <w:tc>
          <w:tcPr>
            <w:tcW w:w="3260" w:type="dxa"/>
          </w:tcPr>
          <w:p w14:paraId="3ABC8A7E" w14:textId="34ED0474"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6E19C52F" w14:textId="575AF2C0"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14.1</w:t>
            </w:r>
          </w:p>
        </w:tc>
        <w:tc>
          <w:tcPr>
            <w:tcW w:w="850" w:type="dxa"/>
          </w:tcPr>
          <w:p w14:paraId="6DAE8BDD" w14:textId="655BF717"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11.4</w:t>
            </w:r>
          </w:p>
        </w:tc>
        <w:tc>
          <w:tcPr>
            <w:tcW w:w="1083" w:type="dxa"/>
          </w:tcPr>
          <w:p w14:paraId="5C389DC9" w14:textId="654A0FFB"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12.7</w:t>
            </w:r>
          </w:p>
        </w:tc>
      </w:tr>
      <w:tr w:rsidR="0050016D" w14:paraId="6CE83A7D" w14:textId="77777777" w:rsidTr="002D46FF">
        <w:tc>
          <w:tcPr>
            <w:tcW w:w="2972" w:type="dxa"/>
          </w:tcPr>
          <w:p w14:paraId="11EEA638" w14:textId="3A0C6578" w:rsidR="0050016D" w:rsidRDefault="0050016D" w:rsidP="0050016D">
            <w:pPr>
              <w:tabs>
                <w:tab w:val="left" w:pos="567"/>
              </w:tabs>
              <w:rPr>
                <w:rFonts w:cs="Arial"/>
                <w:color w:val="000000" w:themeColor="text1"/>
                <w:sz w:val="22"/>
              </w:rPr>
            </w:pPr>
            <w:r>
              <w:rPr>
                <w:rFonts w:cs="Arial"/>
                <w:color w:val="000000" w:themeColor="text1"/>
                <w:sz w:val="22"/>
              </w:rPr>
              <w:lastRenderedPageBreak/>
              <w:t xml:space="preserve">Ards &amp; North Down Borough Council </w:t>
            </w:r>
          </w:p>
        </w:tc>
        <w:tc>
          <w:tcPr>
            <w:tcW w:w="3260" w:type="dxa"/>
          </w:tcPr>
          <w:p w14:paraId="0B6B6719" w14:textId="238B1036" w:rsidR="0050016D" w:rsidRPr="002D46FF" w:rsidRDefault="0050016D" w:rsidP="0050016D">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325ED8C3" w14:textId="243ADC70" w:rsidR="0050016D" w:rsidRPr="002D46FF" w:rsidRDefault="000F2343" w:rsidP="0050016D">
            <w:pPr>
              <w:tabs>
                <w:tab w:val="left" w:pos="567"/>
              </w:tabs>
              <w:rPr>
                <w:rFonts w:cs="Arial"/>
                <w:color w:val="000000" w:themeColor="text1"/>
                <w:sz w:val="22"/>
              </w:rPr>
            </w:pPr>
            <w:r>
              <w:rPr>
                <w:rFonts w:cs="Arial"/>
                <w:color w:val="000000" w:themeColor="text1"/>
                <w:sz w:val="22"/>
              </w:rPr>
              <w:t>0.5</w:t>
            </w:r>
          </w:p>
        </w:tc>
        <w:tc>
          <w:tcPr>
            <w:tcW w:w="850" w:type="dxa"/>
          </w:tcPr>
          <w:p w14:paraId="7BAE90E5" w14:textId="4D4117A8" w:rsidR="0050016D" w:rsidRPr="002D46FF" w:rsidRDefault="000F2343" w:rsidP="0050016D">
            <w:pPr>
              <w:tabs>
                <w:tab w:val="left" w:pos="567"/>
              </w:tabs>
              <w:rPr>
                <w:rFonts w:cs="Arial"/>
                <w:color w:val="000000" w:themeColor="text1"/>
                <w:sz w:val="22"/>
              </w:rPr>
            </w:pPr>
            <w:r>
              <w:rPr>
                <w:rFonts w:cs="Arial"/>
                <w:color w:val="000000" w:themeColor="text1"/>
                <w:sz w:val="22"/>
              </w:rPr>
              <w:t>0.5</w:t>
            </w:r>
          </w:p>
        </w:tc>
        <w:tc>
          <w:tcPr>
            <w:tcW w:w="1083" w:type="dxa"/>
          </w:tcPr>
          <w:p w14:paraId="72F99C25" w14:textId="28D8A4E4" w:rsidR="0050016D" w:rsidRPr="002D46FF" w:rsidRDefault="000F2343" w:rsidP="0050016D">
            <w:pPr>
              <w:tabs>
                <w:tab w:val="left" w:pos="567"/>
              </w:tabs>
              <w:rPr>
                <w:rFonts w:cs="Arial"/>
                <w:color w:val="000000" w:themeColor="text1"/>
                <w:sz w:val="22"/>
              </w:rPr>
            </w:pPr>
            <w:r>
              <w:rPr>
                <w:rFonts w:cs="Arial"/>
                <w:color w:val="000000" w:themeColor="text1"/>
                <w:sz w:val="22"/>
              </w:rPr>
              <w:t>0.7</w:t>
            </w:r>
          </w:p>
        </w:tc>
      </w:tr>
      <w:tr w:rsidR="0050016D" w14:paraId="17B6C224" w14:textId="77777777" w:rsidTr="002D46FF">
        <w:tc>
          <w:tcPr>
            <w:tcW w:w="2972" w:type="dxa"/>
          </w:tcPr>
          <w:p w14:paraId="3C6EB4CD" w14:textId="77777777" w:rsidR="0050016D" w:rsidRDefault="0050016D" w:rsidP="0050016D">
            <w:pPr>
              <w:tabs>
                <w:tab w:val="left" w:pos="567"/>
              </w:tabs>
              <w:rPr>
                <w:rFonts w:cs="Arial"/>
                <w:color w:val="000000" w:themeColor="text1"/>
                <w:sz w:val="22"/>
              </w:rPr>
            </w:pPr>
          </w:p>
        </w:tc>
        <w:tc>
          <w:tcPr>
            <w:tcW w:w="3260" w:type="dxa"/>
          </w:tcPr>
          <w:p w14:paraId="7E1AEB5E" w14:textId="594294BA" w:rsidR="0050016D" w:rsidRDefault="0050016D" w:rsidP="0050016D">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69C47F9D" w14:textId="209FC172" w:rsidR="0050016D" w:rsidRPr="002D46FF" w:rsidRDefault="000F2343" w:rsidP="0050016D">
            <w:pPr>
              <w:tabs>
                <w:tab w:val="left" w:pos="567"/>
              </w:tabs>
              <w:rPr>
                <w:rFonts w:cs="Arial"/>
                <w:color w:val="000000" w:themeColor="text1"/>
                <w:sz w:val="22"/>
              </w:rPr>
            </w:pPr>
            <w:r>
              <w:rPr>
                <w:rFonts w:cs="Arial"/>
                <w:color w:val="000000" w:themeColor="text1"/>
                <w:sz w:val="22"/>
              </w:rPr>
              <w:t>4.5</w:t>
            </w:r>
          </w:p>
        </w:tc>
        <w:tc>
          <w:tcPr>
            <w:tcW w:w="850" w:type="dxa"/>
          </w:tcPr>
          <w:p w14:paraId="32609DA7" w14:textId="45064869" w:rsidR="0050016D" w:rsidRPr="002D46FF" w:rsidRDefault="000F2343" w:rsidP="0050016D">
            <w:pPr>
              <w:tabs>
                <w:tab w:val="left" w:pos="567"/>
              </w:tabs>
              <w:rPr>
                <w:rFonts w:cs="Arial"/>
                <w:color w:val="000000" w:themeColor="text1"/>
                <w:sz w:val="22"/>
              </w:rPr>
            </w:pPr>
            <w:r>
              <w:rPr>
                <w:rFonts w:cs="Arial"/>
                <w:color w:val="000000" w:themeColor="text1"/>
                <w:sz w:val="22"/>
              </w:rPr>
              <w:t>5.4</w:t>
            </w:r>
          </w:p>
        </w:tc>
        <w:tc>
          <w:tcPr>
            <w:tcW w:w="1083" w:type="dxa"/>
          </w:tcPr>
          <w:p w14:paraId="3F8CCD8F" w14:textId="2FE7380E" w:rsidR="0050016D" w:rsidRPr="002D46FF" w:rsidRDefault="000F2343" w:rsidP="0050016D">
            <w:pPr>
              <w:tabs>
                <w:tab w:val="left" w:pos="567"/>
              </w:tabs>
              <w:rPr>
                <w:rFonts w:cs="Arial"/>
                <w:color w:val="000000" w:themeColor="text1"/>
                <w:sz w:val="22"/>
              </w:rPr>
            </w:pPr>
            <w:r>
              <w:rPr>
                <w:rFonts w:cs="Arial"/>
                <w:color w:val="000000" w:themeColor="text1"/>
                <w:sz w:val="22"/>
              </w:rPr>
              <w:t>2.3</w:t>
            </w:r>
          </w:p>
        </w:tc>
      </w:tr>
      <w:tr w:rsidR="0050016D" w14:paraId="760D64FA" w14:textId="77777777" w:rsidTr="002D46FF">
        <w:tc>
          <w:tcPr>
            <w:tcW w:w="2972" w:type="dxa"/>
          </w:tcPr>
          <w:p w14:paraId="37867CAB" w14:textId="77777777" w:rsidR="0050016D" w:rsidRDefault="0050016D" w:rsidP="0050016D">
            <w:pPr>
              <w:tabs>
                <w:tab w:val="left" w:pos="567"/>
              </w:tabs>
              <w:rPr>
                <w:rFonts w:cs="Arial"/>
                <w:color w:val="000000" w:themeColor="text1"/>
                <w:sz w:val="22"/>
              </w:rPr>
            </w:pPr>
          </w:p>
        </w:tc>
        <w:tc>
          <w:tcPr>
            <w:tcW w:w="3260" w:type="dxa"/>
          </w:tcPr>
          <w:p w14:paraId="3D697BB2" w14:textId="7AE7D390" w:rsidR="0050016D" w:rsidRPr="002D46FF" w:rsidRDefault="0050016D" w:rsidP="0050016D">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12BB31C2" w14:textId="0A43F277"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5.0</w:t>
            </w:r>
          </w:p>
        </w:tc>
        <w:tc>
          <w:tcPr>
            <w:tcW w:w="850" w:type="dxa"/>
          </w:tcPr>
          <w:p w14:paraId="3270AE01" w14:textId="7C36004C"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5.9</w:t>
            </w:r>
          </w:p>
        </w:tc>
        <w:tc>
          <w:tcPr>
            <w:tcW w:w="1083" w:type="dxa"/>
          </w:tcPr>
          <w:p w14:paraId="27D01DA1" w14:textId="2730FC55" w:rsidR="0050016D" w:rsidRPr="000F2343" w:rsidRDefault="000F2343" w:rsidP="0050016D">
            <w:pPr>
              <w:tabs>
                <w:tab w:val="left" w:pos="567"/>
              </w:tabs>
              <w:rPr>
                <w:rFonts w:cs="Arial"/>
                <w:b/>
                <w:bCs/>
                <w:color w:val="000000" w:themeColor="text1"/>
                <w:sz w:val="22"/>
              </w:rPr>
            </w:pPr>
            <w:r w:rsidRPr="000F2343">
              <w:rPr>
                <w:rFonts w:cs="Arial"/>
                <w:b/>
                <w:bCs/>
                <w:color w:val="000000" w:themeColor="text1"/>
                <w:sz w:val="22"/>
              </w:rPr>
              <w:t>3.0</w:t>
            </w:r>
          </w:p>
        </w:tc>
      </w:tr>
      <w:tr w:rsidR="00CC2010" w14:paraId="6C0672C3" w14:textId="77777777" w:rsidTr="002D46FF">
        <w:tc>
          <w:tcPr>
            <w:tcW w:w="2972" w:type="dxa"/>
          </w:tcPr>
          <w:p w14:paraId="5BDF8954" w14:textId="635AEBEF" w:rsidR="00CC2010" w:rsidRDefault="00CC2010" w:rsidP="00CC2010">
            <w:pPr>
              <w:tabs>
                <w:tab w:val="left" w:pos="567"/>
              </w:tabs>
              <w:rPr>
                <w:rFonts w:cs="Arial"/>
                <w:color w:val="000000" w:themeColor="text1"/>
                <w:sz w:val="22"/>
              </w:rPr>
            </w:pPr>
            <w:r>
              <w:rPr>
                <w:rFonts w:cs="Arial"/>
                <w:color w:val="000000" w:themeColor="text1"/>
                <w:sz w:val="22"/>
              </w:rPr>
              <w:t xml:space="preserve">Armagh City &amp; Banbridge and Craigavon Borough Council </w:t>
            </w:r>
          </w:p>
        </w:tc>
        <w:tc>
          <w:tcPr>
            <w:tcW w:w="3260" w:type="dxa"/>
          </w:tcPr>
          <w:p w14:paraId="29A4337C" w14:textId="279FFEFB" w:rsidR="00CC2010" w:rsidRPr="002D46FF" w:rsidRDefault="00CC2010" w:rsidP="00CC2010">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1B57D8F7" w14:textId="49CB1BC5" w:rsidR="00CC2010" w:rsidRPr="002D46FF" w:rsidRDefault="000F2343" w:rsidP="00CC2010">
            <w:pPr>
              <w:tabs>
                <w:tab w:val="left" w:pos="567"/>
              </w:tabs>
              <w:rPr>
                <w:rFonts w:cs="Arial"/>
                <w:color w:val="000000" w:themeColor="text1"/>
                <w:sz w:val="22"/>
              </w:rPr>
            </w:pPr>
            <w:r>
              <w:rPr>
                <w:rFonts w:cs="Arial"/>
                <w:color w:val="000000" w:themeColor="text1"/>
                <w:sz w:val="22"/>
              </w:rPr>
              <w:t>2.7</w:t>
            </w:r>
          </w:p>
        </w:tc>
        <w:tc>
          <w:tcPr>
            <w:tcW w:w="850" w:type="dxa"/>
          </w:tcPr>
          <w:p w14:paraId="142B490F" w14:textId="6C7845AC" w:rsidR="00CC2010" w:rsidRPr="002D46FF" w:rsidRDefault="000F2343" w:rsidP="00CC2010">
            <w:pPr>
              <w:tabs>
                <w:tab w:val="left" w:pos="567"/>
              </w:tabs>
              <w:rPr>
                <w:rFonts w:cs="Arial"/>
                <w:color w:val="000000" w:themeColor="text1"/>
                <w:sz w:val="22"/>
              </w:rPr>
            </w:pPr>
            <w:r>
              <w:rPr>
                <w:rFonts w:cs="Arial"/>
                <w:color w:val="000000" w:themeColor="text1"/>
                <w:sz w:val="22"/>
              </w:rPr>
              <w:t>2.5</w:t>
            </w:r>
          </w:p>
        </w:tc>
        <w:tc>
          <w:tcPr>
            <w:tcW w:w="1083" w:type="dxa"/>
          </w:tcPr>
          <w:p w14:paraId="5B9E894F" w14:textId="0C7A5695" w:rsidR="00CC2010" w:rsidRPr="002D46FF" w:rsidRDefault="000F2343" w:rsidP="00CC2010">
            <w:pPr>
              <w:tabs>
                <w:tab w:val="left" w:pos="567"/>
              </w:tabs>
              <w:rPr>
                <w:rFonts w:cs="Arial"/>
                <w:color w:val="000000" w:themeColor="text1"/>
                <w:sz w:val="22"/>
              </w:rPr>
            </w:pPr>
            <w:r>
              <w:rPr>
                <w:rFonts w:cs="Arial"/>
                <w:color w:val="000000" w:themeColor="text1"/>
                <w:sz w:val="22"/>
              </w:rPr>
              <w:t>2.4</w:t>
            </w:r>
          </w:p>
        </w:tc>
      </w:tr>
      <w:tr w:rsidR="00CC2010" w14:paraId="2B79CD31" w14:textId="77777777" w:rsidTr="002D46FF">
        <w:tc>
          <w:tcPr>
            <w:tcW w:w="2972" w:type="dxa"/>
          </w:tcPr>
          <w:p w14:paraId="5CD8B8C8" w14:textId="77777777" w:rsidR="00CC2010" w:rsidRDefault="00CC2010" w:rsidP="00CC2010">
            <w:pPr>
              <w:tabs>
                <w:tab w:val="left" w:pos="567"/>
              </w:tabs>
              <w:rPr>
                <w:rFonts w:cs="Arial"/>
                <w:color w:val="000000" w:themeColor="text1"/>
                <w:sz w:val="22"/>
              </w:rPr>
            </w:pPr>
          </w:p>
        </w:tc>
        <w:tc>
          <w:tcPr>
            <w:tcW w:w="3260" w:type="dxa"/>
          </w:tcPr>
          <w:p w14:paraId="0135BEBB" w14:textId="7AC19EDF" w:rsidR="00CC2010" w:rsidRDefault="00CC2010" w:rsidP="00CC2010">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05E2B8E5" w14:textId="4C9240D3" w:rsidR="00CC2010" w:rsidRPr="002D46FF" w:rsidRDefault="000F2343" w:rsidP="00CC2010">
            <w:pPr>
              <w:tabs>
                <w:tab w:val="left" w:pos="567"/>
              </w:tabs>
              <w:rPr>
                <w:rFonts w:cs="Arial"/>
                <w:color w:val="000000" w:themeColor="text1"/>
                <w:sz w:val="22"/>
              </w:rPr>
            </w:pPr>
            <w:r>
              <w:rPr>
                <w:rFonts w:cs="Arial"/>
                <w:color w:val="000000" w:themeColor="text1"/>
                <w:sz w:val="22"/>
              </w:rPr>
              <w:t>9.7</w:t>
            </w:r>
          </w:p>
        </w:tc>
        <w:tc>
          <w:tcPr>
            <w:tcW w:w="850" w:type="dxa"/>
          </w:tcPr>
          <w:p w14:paraId="65DBDC11" w14:textId="3B1F1722" w:rsidR="00CC2010" w:rsidRPr="002D46FF" w:rsidRDefault="000F2343" w:rsidP="00CC2010">
            <w:pPr>
              <w:tabs>
                <w:tab w:val="left" w:pos="567"/>
              </w:tabs>
              <w:rPr>
                <w:rFonts w:cs="Arial"/>
                <w:color w:val="000000" w:themeColor="text1"/>
                <w:sz w:val="22"/>
              </w:rPr>
            </w:pPr>
            <w:r>
              <w:rPr>
                <w:rFonts w:cs="Arial"/>
                <w:color w:val="000000" w:themeColor="text1"/>
                <w:sz w:val="22"/>
              </w:rPr>
              <w:t>10.9</w:t>
            </w:r>
          </w:p>
        </w:tc>
        <w:tc>
          <w:tcPr>
            <w:tcW w:w="1083" w:type="dxa"/>
          </w:tcPr>
          <w:p w14:paraId="3E966A53" w14:textId="3DD99B37" w:rsidR="00CC2010" w:rsidRPr="002D46FF" w:rsidRDefault="000F2343" w:rsidP="00CC2010">
            <w:pPr>
              <w:tabs>
                <w:tab w:val="left" w:pos="567"/>
              </w:tabs>
              <w:rPr>
                <w:rFonts w:cs="Arial"/>
                <w:color w:val="000000" w:themeColor="text1"/>
                <w:sz w:val="22"/>
              </w:rPr>
            </w:pPr>
            <w:r>
              <w:rPr>
                <w:rFonts w:cs="Arial"/>
                <w:color w:val="000000" w:themeColor="text1"/>
                <w:sz w:val="22"/>
              </w:rPr>
              <w:t>9.5</w:t>
            </w:r>
          </w:p>
        </w:tc>
      </w:tr>
      <w:tr w:rsidR="00CC2010" w14:paraId="48D6FC84" w14:textId="77777777" w:rsidTr="002D46FF">
        <w:tc>
          <w:tcPr>
            <w:tcW w:w="2972" w:type="dxa"/>
          </w:tcPr>
          <w:p w14:paraId="68C94195" w14:textId="77777777" w:rsidR="00CC2010" w:rsidRDefault="00CC2010" w:rsidP="00CC2010">
            <w:pPr>
              <w:tabs>
                <w:tab w:val="left" w:pos="567"/>
              </w:tabs>
              <w:rPr>
                <w:rFonts w:cs="Arial"/>
                <w:color w:val="000000" w:themeColor="text1"/>
                <w:sz w:val="22"/>
              </w:rPr>
            </w:pPr>
          </w:p>
        </w:tc>
        <w:tc>
          <w:tcPr>
            <w:tcW w:w="3260" w:type="dxa"/>
          </w:tcPr>
          <w:p w14:paraId="0BE5D636" w14:textId="7AA230A3" w:rsidR="00CC2010" w:rsidRPr="002D46FF" w:rsidRDefault="00CC2010" w:rsidP="00CC2010">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0B578A5F" w14:textId="0E40434B"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12.4</w:t>
            </w:r>
          </w:p>
        </w:tc>
        <w:tc>
          <w:tcPr>
            <w:tcW w:w="850" w:type="dxa"/>
          </w:tcPr>
          <w:p w14:paraId="38640D31" w14:textId="27E39C72"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13.4</w:t>
            </w:r>
          </w:p>
        </w:tc>
        <w:tc>
          <w:tcPr>
            <w:tcW w:w="1083" w:type="dxa"/>
          </w:tcPr>
          <w:p w14:paraId="715AF0DB" w14:textId="2A9AE4F1"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11.9</w:t>
            </w:r>
          </w:p>
        </w:tc>
      </w:tr>
      <w:tr w:rsidR="00CC2010" w14:paraId="24F0AF0A" w14:textId="77777777" w:rsidTr="002D46FF">
        <w:tc>
          <w:tcPr>
            <w:tcW w:w="2972" w:type="dxa"/>
          </w:tcPr>
          <w:p w14:paraId="3E69F6F1" w14:textId="475A45E5" w:rsidR="00CC2010" w:rsidRDefault="00CC2010" w:rsidP="00CC2010">
            <w:pPr>
              <w:tabs>
                <w:tab w:val="left" w:pos="567"/>
              </w:tabs>
              <w:rPr>
                <w:rFonts w:cs="Arial"/>
                <w:color w:val="000000" w:themeColor="text1"/>
                <w:sz w:val="22"/>
              </w:rPr>
            </w:pPr>
            <w:r>
              <w:rPr>
                <w:rFonts w:cs="Arial"/>
                <w:color w:val="000000" w:themeColor="text1"/>
                <w:sz w:val="22"/>
              </w:rPr>
              <w:t xml:space="preserve">Newry, Mourne &amp; Down District Council </w:t>
            </w:r>
          </w:p>
        </w:tc>
        <w:tc>
          <w:tcPr>
            <w:tcW w:w="3260" w:type="dxa"/>
          </w:tcPr>
          <w:p w14:paraId="02333F24" w14:textId="699196B6" w:rsidR="00CC2010" w:rsidRPr="002D46FF" w:rsidRDefault="00CC2010" w:rsidP="00CC2010">
            <w:pPr>
              <w:tabs>
                <w:tab w:val="left" w:pos="567"/>
              </w:tabs>
              <w:rPr>
                <w:rFonts w:cs="Arial"/>
                <w:b/>
                <w:bCs/>
                <w:color w:val="000000" w:themeColor="text1"/>
                <w:sz w:val="22"/>
              </w:rPr>
            </w:pPr>
            <w:r>
              <w:rPr>
                <w:rFonts w:cs="Arial"/>
                <w:color w:val="000000" w:themeColor="text1"/>
                <w:sz w:val="22"/>
              </w:rPr>
              <w:t xml:space="preserve">Resource </w:t>
            </w:r>
          </w:p>
        </w:tc>
        <w:tc>
          <w:tcPr>
            <w:tcW w:w="851" w:type="dxa"/>
          </w:tcPr>
          <w:p w14:paraId="0309F56A" w14:textId="7028E3EF" w:rsidR="00CC2010" w:rsidRPr="002D46FF" w:rsidRDefault="000F2343" w:rsidP="00CC2010">
            <w:pPr>
              <w:tabs>
                <w:tab w:val="left" w:pos="567"/>
              </w:tabs>
              <w:rPr>
                <w:rFonts w:cs="Arial"/>
                <w:color w:val="000000" w:themeColor="text1"/>
                <w:sz w:val="22"/>
              </w:rPr>
            </w:pPr>
            <w:r>
              <w:rPr>
                <w:rFonts w:cs="Arial"/>
                <w:color w:val="000000" w:themeColor="text1"/>
                <w:sz w:val="22"/>
              </w:rPr>
              <w:t>1.9</w:t>
            </w:r>
          </w:p>
        </w:tc>
        <w:tc>
          <w:tcPr>
            <w:tcW w:w="850" w:type="dxa"/>
          </w:tcPr>
          <w:p w14:paraId="301892DE" w14:textId="07EB6037" w:rsidR="00CC2010" w:rsidRPr="002D46FF" w:rsidRDefault="000F2343" w:rsidP="00CC2010">
            <w:pPr>
              <w:tabs>
                <w:tab w:val="left" w:pos="567"/>
              </w:tabs>
              <w:rPr>
                <w:rFonts w:cs="Arial"/>
                <w:color w:val="000000" w:themeColor="text1"/>
                <w:sz w:val="22"/>
              </w:rPr>
            </w:pPr>
            <w:r>
              <w:rPr>
                <w:rFonts w:cs="Arial"/>
                <w:color w:val="000000" w:themeColor="text1"/>
                <w:sz w:val="22"/>
              </w:rPr>
              <w:t>2.2</w:t>
            </w:r>
          </w:p>
        </w:tc>
        <w:tc>
          <w:tcPr>
            <w:tcW w:w="1083" w:type="dxa"/>
          </w:tcPr>
          <w:p w14:paraId="39C71155" w14:textId="3D6DE4C6" w:rsidR="00CC2010" w:rsidRPr="002D46FF" w:rsidRDefault="000F2343" w:rsidP="00CC2010">
            <w:pPr>
              <w:tabs>
                <w:tab w:val="left" w:pos="567"/>
              </w:tabs>
              <w:rPr>
                <w:rFonts w:cs="Arial"/>
                <w:color w:val="000000" w:themeColor="text1"/>
                <w:sz w:val="22"/>
              </w:rPr>
            </w:pPr>
            <w:r>
              <w:rPr>
                <w:rFonts w:cs="Arial"/>
                <w:color w:val="000000" w:themeColor="text1"/>
                <w:sz w:val="22"/>
              </w:rPr>
              <w:t>2.1</w:t>
            </w:r>
          </w:p>
        </w:tc>
      </w:tr>
      <w:tr w:rsidR="00CC2010" w14:paraId="6A9C0D19" w14:textId="77777777" w:rsidTr="002D46FF">
        <w:tc>
          <w:tcPr>
            <w:tcW w:w="2972" w:type="dxa"/>
          </w:tcPr>
          <w:p w14:paraId="47CD8A74" w14:textId="77777777" w:rsidR="00CC2010" w:rsidRDefault="00CC2010" w:rsidP="00CC2010">
            <w:pPr>
              <w:tabs>
                <w:tab w:val="left" w:pos="567"/>
              </w:tabs>
              <w:rPr>
                <w:rFonts w:cs="Arial"/>
                <w:color w:val="000000" w:themeColor="text1"/>
                <w:sz w:val="22"/>
              </w:rPr>
            </w:pPr>
          </w:p>
        </w:tc>
        <w:tc>
          <w:tcPr>
            <w:tcW w:w="3260" w:type="dxa"/>
          </w:tcPr>
          <w:p w14:paraId="334551B1" w14:textId="7FAF6DB7" w:rsidR="00CC2010" w:rsidRDefault="00CC2010" w:rsidP="00CC2010">
            <w:pPr>
              <w:tabs>
                <w:tab w:val="left" w:pos="567"/>
              </w:tabs>
              <w:rPr>
                <w:rFonts w:cs="Arial"/>
                <w:color w:val="000000" w:themeColor="text1"/>
                <w:sz w:val="22"/>
              </w:rPr>
            </w:pPr>
            <w:r w:rsidRPr="002D46FF">
              <w:rPr>
                <w:rFonts w:cs="Arial"/>
                <w:color w:val="000000" w:themeColor="text1"/>
                <w:sz w:val="22"/>
              </w:rPr>
              <w:t xml:space="preserve">Capital </w:t>
            </w:r>
          </w:p>
        </w:tc>
        <w:tc>
          <w:tcPr>
            <w:tcW w:w="851" w:type="dxa"/>
          </w:tcPr>
          <w:p w14:paraId="055BCD12" w14:textId="799AB2AC" w:rsidR="00CC2010" w:rsidRPr="002D46FF" w:rsidRDefault="000F2343" w:rsidP="00CC2010">
            <w:pPr>
              <w:tabs>
                <w:tab w:val="left" w:pos="567"/>
              </w:tabs>
              <w:rPr>
                <w:rFonts w:cs="Arial"/>
                <w:color w:val="000000" w:themeColor="text1"/>
                <w:sz w:val="22"/>
              </w:rPr>
            </w:pPr>
            <w:r>
              <w:rPr>
                <w:rFonts w:cs="Arial"/>
                <w:color w:val="000000" w:themeColor="text1"/>
                <w:sz w:val="22"/>
              </w:rPr>
              <w:t>9.9</w:t>
            </w:r>
          </w:p>
        </w:tc>
        <w:tc>
          <w:tcPr>
            <w:tcW w:w="850" w:type="dxa"/>
          </w:tcPr>
          <w:p w14:paraId="2DD6CFE1" w14:textId="6252D497" w:rsidR="00CC2010" w:rsidRPr="002D46FF" w:rsidRDefault="000F2343" w:rsidP="00CC2010">
            <w:pPr>
              <w:tabs>
                <w:tab w:val="left" w:pos="567"/>
              </w:tabs>
              <w:rPr>
                <w:rFonts w:cs="Arial"/>
                <w:color w:val="000000" w:themeColor="text1"/>
                <w:sz w:val="22"/>
              </w:rPr>
            </w:pPr>
            <w:r>
              <w:rPr>
                <w:rFonts w:cs="Arial"/>
                <w:color w:val="000000" w:themeColor="text1"/>
                <w:sz w:val="22"/>
              </w:rPr>
              <w:t>7.2</w:t>
            </w:r>
          </w:p>
        </w:tc>
        <w:tc>
          <w:tcPr>
            <w:tcW w:w="1083" w:type="dxa"/>
          </w:tcPr>
          <w:p w14:paraId="24F1C840" w14:textId="2F33D54D" w:rsidR="00CC2010" w:rsidRPr="002D46FF" w:rsidRDefault="000F2343" w:rsidP="00CC2010">
            <w:pPr>
              <w:tabs>
                <w:tab w:val="left" w:pos="567"/>
              </w:tabs>
              <w:rPr>
                <w:rFonts w:cs="Arial"/>
                <w:color w:val="000000" w:themeColor="text1"/>
                <w:sz w:val="22"/>
              </w:rPr>
            </w:pPr>
            <w:r>
              <w:rPr>
                <w:rFonts w:cs="Arial"/>
                <w:color w:val="000000" w:themeColor="text1"/>
                <w:sz w:val="22"/>
              </w:rPr>
              <w:t>17.4</w:t>
            </w:r>
          </w:p>
        </w:tc>
      </w:tr>
      <w:tr w:rsidR="00CC2010" w14:paraId="38D4DF1B" w14:textId="77777777" w:rsidTr="002D46FF">
        <w:tc>
          <w:tcPr>
            <w:tcW w:w="2972" w:type="dxa"/>
          </w:tcPr>
          <w:p w14:paraId="1BD118F8" w14:textId="77777777" w:rsidR="00CC2010" w:rsidRDefault="00CC2010" w:rsidP="00CC2010">
            <w:pPr>
              <w:tabs>
                <w:tab w:val="left" w:pos="567"/>
              </w:tabs>
              <w:rPr>
                <w:rFonts w:cs="Arial"/>
                <w:color w:val="000000" w:themeColor="text1"/>
                <w:sz w:val="22"/>
              </w:rPr>
            </w:pPr>
          </w:p>
        </w:tc>
        <w:tc>
          <w:tcPr>
            <w:tcW w:w="3260" w:type="dxa"/>
          </w:tcPr>
          <w:p w14:paraId="3FB79725" w14:textId="597FEE6A" w:rsidR="00CC2010" w:rsidRPr="002D46FF" w:rsidRDefault="00CC2010" w:rsidP="00CC2010">
            <w:pPr>
              <w:tabs>
                <w:tab w:val="left" w:pos="567"/>
              </w:tabs>
              <w:rPr>
                <w:rFonts w:cs="Arial"/>
                <w:color w:val="000000" w:themeColor="text1"/>
                <w:sz w:val="22"/>
              </w:rPr>
            </w:pPr>
            <w:r w:rsidRPr="002D46FF">
              <w:rPr>
                <w:rFonts w:cs="Arial"/>
                <w:b/>
                <w:bCs/>
                <w:color w:val="000000" w:themeColor="text1"/>
                <w:sz w:val="22"/>
              </w:rPr>
              <w:t xml:space="preserve">Total Structural Maintenance </w:t>
            </w:r>
          </w:p>
        </w:tc>
        <w:tc>
          <w:tcPr>
            <w:tcW w:w="851" w:type="dxa"/>
          </w:tcPr>
          <w:p w14:paraId="012E3100" w14:textId="43994999"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11.8</w:t>
            </w:r>
          </w:p>
        </w:tc>
        <w:tc>
          <w:tcPr>
            <w:tcW w:w="850" w:type="dxa"/>
          </w:tcPr>
          <w:p w14:paraId="641A7635" w14:textId="2719B713"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9.4</w:t>
            </w:r>
          </w:p>
        </w:tc>
        <w:tc>
          <w:tcPr>
            <w:tcW w:w="1083" w:type="dxa"/>
          </w:tcPr>
          <w:p w14:paraId="6635CBB5" w14:textId="12E301CA" w:rsidR="00CC2010" w:rsidRPr="000F2343" w:rsidRDefault="000F2343" w:rsidP="00CC2010">
            <w:pPr>
              <w:tabs>
                <w:tab w:val="left" w:pos="567"/>
              </w:tabs>
              <w:rPr>
                <w:rFonts w:cs="Arial"/>
                <w:b/>
                <w:bCs/>
                <w:color w:val="000000" w:themeColor="text1"/>
                <w:sz w:val="22"/>
              </w:rPr>
            </w:pPr>
            <w:r w:rsidRPr="000F2343">
              <w:rPr>
                <w:rFonts w:cs="Arial"/>
                <w:b/>
                <w:bCs/>
                <w:color w:val="000000" w:themeColor="text1"/>
                <w:sz w:val="22"/>
              </w:rPr>
              <w:t>19.5</w:t>
            </w:r>
          </w:p>
        </w:tc>
      </w:tr>
    </w:tbl>
    <w:p w14:paraId="5B950B38" w14:textId="77777777" w:rsidR="002D46FF" w:rsidRDefault="002D46FF" w:rsidP="00C94CF7">
      <w:pPr>
        <w:tabs>
          <w:tab w:val="left" w:pos="567"/>
        </w:tabs>
        <w:rPr>
          <w:rFonts w:cs="Arial"/>
          <w:color w:val="000000" w:themeColor="text1"/>
          <w:szCs w:val="24"/>
        </w:rPr>
      </w:pPr>
    </w:p>
    <w:p w14:paraId="12CAA1C5" w14:textId="0A2EA8BD" w:rsidR="0026017D" w:rsidRDefault="0026017D" w:rsidP="00C94CF7">
      <w:pPr>
        <w:tabs>
          <w:tab w:val="left" w:pos="567"/>
        </w:tabs>
        <w:rPr>
          <w:rFonts w:cs="Arial"/>
          <w:color w:val="000000" w:themeColor="text1"/>
          <w:szCs w:val="24"/>
        </w:rPr>
      </w:pPr>
      <w:r>
        <w:rPr>
          <w:rFonts w:cs="Arial"/>
          <w:color w:val="000000" w:themeColor="text1"/>
          <w:szCs w:val="24"/>
        </w:rPr>
        <w:t>Councillor Chamber</w:t>
      </w:r>
      <w:r w:rsidR="0006191C">
        <w:rPr>
          <w:rFonts w:cs="Arial"/>
          <w:color w:val="000000" w:themeColor="text1"/>
          <w:szCs w:val="24"/>
        </w:rPr>
        <w:t>s</w:t>
      </w:r>
      <w:r>
        <w:rPr>
          <w:rFonts w:cs="Arial"/>
          <w:color w:val="000000" w:themeColor="text1"/>
          <w:szCs w:val="24"/>
        </w:rPr>
        <w:t xml:space="preserve"> admired Alderman Smith’s tenacity </w:t>
      </w:r>
      <w:r w:rsidR="00C511E4">
        <w:rPr>
          <w:rFonts w:cs="Arial"/>
          <w:color w:val="000000" w:themeColor="text1"/>
          <w:szCs w:val="24"/>
        </w:rPr>
        <w:t xml:space="preserve">and expressed disappointment that the answers from the Minister were not being received. </w:t>
      </w:r>
    </w:p>
    <w:p w14:paraId="1F553402" w14:textId="77777777" w:rsidR="0026017D" w:rsidRPr="00C511E4" w:rsidRDefault="0026017D" w:rsidP="00C94CF7">
      <w:pPr>
        <w:tabs>
          <w:tab w:val="left" w:pos="567"/>
        </w:tabs>
        <w:rPr>
          <w:rFonts w:cs="Arial"/>
          <w:b/>
          <w:bCs/>
          <w:color w:val="000000" w:themeColor="text1"/>
          <w:szCs w:val="24"/>
        </w:rPr>
      </w:pPr>
    </w:p>
    <w:p w14:paraId="21EAF7B0" w14:textId="0326ACA7" w:rsidR="00C511E4" w:rsidRPr="00C511E4" w:rsidRDefault="00497F02" w:rsidP="00C511E4">
      <w:pPr>
        <w:tabs>
          <w:tab w:val="left" w:pos="567"/>
        </w:tabs>
        <w:rPr>
          <w:rFonts w:cs="Arial"/>
          <w:b/>
          <w:bCs/>
          <w:color w:val="000000" w:themeColor="text1"/>
          <w:szCs w:val="24"/>
        </w:rPr>
      </w:pPr>
      <w:r w:rsidRPr="00C511E4">
        <w:rPr>
          <w:rFonts w:cs="Arial"/>
          <w:b/>
          <w:bCs/>
          <w:color w:val="000000" w:themeColor="text1"/>
          <w:szCs w:val="24"/>
        </w:rPr>
        <w:t xml:space="preserve">AGREED TO RECOMMEND, on the proposal of </w:t>
      </w:r>
      <w:r w:rsidR="00C511E4">
        <w:rPr>
          <w:rFonts w:cs="Arial"/>
          <w:b/>
          <w:bCs/>
          <w:color w:val="000000" w:themeColor="text1"/>
          <w:szCs w:val="24"/>
        </w:rPr>
        <w:t>Alderman Smith</w:t>
      </w:r>
      <w:r w:rsidR="007A0584" w:rsidRPr="00C511E4">
        <w:rPr>
          <w:rFonts w:cs="Arial"/>
          <w:b/>
          <w:bCs/>
          <w:color w:val="000000" w:themeColor="text1"/>
          <w:szCs w:val="24"/>
        </w:rPr>
        <w:t xml:space="preserve">, seconded by </w:t>
      </w:r>
      <w:r w:rsidR="00C511E4">
        <w:rPr>
          <w:rFonts w:cs="Arial"/>
          <w:b/>
          <w:bCs/>
          <w:color w:val="000000" w:themeColor="text1"/>
          <w:szCs w:val="24"/>
        </w:rPr>
        <w:t>Alderman McIlveen</w:t>
      </w:r>
      <w:r w:rsidR="007A0584" w:rsidRPr="00C511E4">
        <w:rPr>
          <w:rFonts w:cs="Arial"/>
          <w:b/>
          <w:bCs/>
          <w:color w:val="000000" w:themeColor="text1"/>
          <w:szCs w:val="24"/>
        </w:rPr>
        <w:t xml:space="preserve">, </w:t>
      </w:r>
      <w:r w:rsidR="00C511E4" w:rsidRPr="00C511E4">
        <w:rPr>
          <w:rFonts w:cs="Arial"/>
          <w:b/>
          <w:bCs/>
          <w:color w:val="000000" w:themeColor="text1"/>
          <w:szCs w:val="24"/>
        </w:rPr>
        <w:t>that Council responds to the Minister thanking him for his response and ask again for non-commercially sensitive information to allow Council to benchmark against the comparator Councils previously indicated. Information requested would include the spend on road repairs by Council area by year over the past 5 years and the road length within the area.</w:t>
      </w:r>
    </w:p>
    <w:p w14:paraId="187C66E3" w14:textId="77777777" w:rsidR="004E5534" w:rsidRPr="007A0584" w:rsidRDefault="004E5534" w:rsidP="007A0584">
      <w:pPr>
        <w:tabs>
          <w:tab w:val="left" w:pos="567"/>
        </w:tabs>
        <w:rPr>
          <w:rFonts w:cs="Arial"/>
          <w:color w:val="000000" w:themeColor="text1"/>
          <w:szCs w:val="24"/>
        </w:rPr>
      </w:pPr>
    </w:p>
    <w:p w14:paraId="7783C916" w14:textId="1F9DC455" w:rsidR="004E5534" w:rsidRPr="000C2C68" w:rsidRDefault="00C94CF7" w:rsidP="000C2C68">
      <w:pPr>
        <w:pStyle w:val="Heading1"/>
        <w:ind w:left="720" w:hanging="720"/>
        <w:rPr>
          <w:rFonts w:eastAsia="Calibri"/>
          <w:u w:val="single"/>
        </w:rPr>
      </w:pPr>
      <w:r>
        <w:rPr>
          <w:rFonts w:eastAsia="Calibri"/>
        </w:rPr>
        <w:t>10.</w:t>
      </w:r>
      <w:r>
        <w:rPr>
          <w:rFonts w:eastAsia="Calibri"/>
        </w:rPr>
        <w:tab/>
      </w:r>
      <w:r w:rsidR="004E5534" w:rsidRPr="000C2C68">
        <w:rPr>
          <w:rFonts w:eastAsia="Calibri"/>
          <w:u w:val="single"/>
        </w:rPr>
        <w:t xml:space="preserve">Update to Performance Management Policy </w:t>
      </w:r>
      <w:r w:rsidR="000C2C68" w:rsidRPr="000C2C68">
        <w:rPr>
          <w:rFonts w:eastAsia="Calibri"/>
          <w:u w:val="single"/>
        </w:rPr>
        <w:t>(FILE 26051)</w:t>
      </w:r>
    </w:p>
    <w:p w14:paraId="188CA32B" w14:textId="364D5471" w:rsidR="00C94CF7" w:rsidRDefault="002F1D8D" w:rsidP="009D29E2">
      <w:pPr>
        <w:tabs>
          <w:tab w:val="left" w:pos="567"/>
        </w:tabs>
        <w:rPr>
          <w:rFonts w:eastAsia="Calibri" w:cs="Arial"/>
          <w:color w:val="000000" w:themeColor="text1"/>
          <w:szCs w:val="24"/>
        </w:rPr>
      </w:pPr>
      <w:r>
        <w:rPr>
          <w:rFonts w:eastAsia="Calibri" w:cs="Arial"/>
          <w:color w:val="000000" w:themeColor="text1"/>
          <w:szCs w:val="24"/>
        </w:rPr>
        <w:tab/>
      </w:r>
      <w:r>
        <w:rPr>
          <w:rFonts w:eastAsia="Calibri" w:cs="Arial"/>
          <w:color w:val="000000" w:themeColor="text1"/>
          <w:szCs w:val="24"/>
        </w:rPr>
        <w:tab/>
        <w:t>(Appendix IX)</w:t>
      </w:r>
    </w:p>
    <w:p w14:paraId="1BC3F571" w14:textId="77777777" w:rsidR="002F1D8D" w:rsidRPr="009D29E2" w:rsidRDefault="002F1D8D" w:rsidP="009D29E2">
      <w:pPr>
        <w:tabs>
          <w:tab w:val="left" w:pos="567"/>
        </w:tabs>
        <w:rPr>
          <w:rFonts w:eastAsia="Calibri" w:cs="Arial"/>
          <w:color w:val="000000" w:themeColor="text1"/>
          <w:szCs w:val="24"/>
        </w:rPr>
      </w:pPr>
    </w:p>
    <w:p w14:paraId="03ACF592" w14:textId="09EACC63" w:rsidR="00C94CF7" w:rsidRPr="009D29E2" w:rsidRDefault="000220C2" w:rsidP="009D29E2">
      <w:pPr>
        <w:tabs>
          <w:tab w:val="left" w:pos="567"/>
        </w:tabs>
        <w:rPr>
          <w:rFonts w:eastAsia="Calibri" w:cs="Arial"/>
          <w:noProof/>
          <w:szCs w:val="24"/>
        </w:rPr>
      </w:pPr>
      <w:r w:rsidRPr="009D29E2">
        <w:rPr>
          <w:rFonts w:eastAsia="Calibri" w:cs="Arial"/>
          <w:caps/>
          <w:color w:val="000000" w:themeColor="text1"/>
          <w:szCs w:val="24"/>
        </w:rPr>
        <w:t>Previously circulated:-</w:t>
      </w:r>
      <w:r w:rsidRPr="009D29E2">
        <w:rPr>
          <w:rFonts w:eastAsia="Calibri" w:cs="Arial"/>
          <w:color w:val="000000" w:themeColor="text1"/>
          <w:szCs w:val="24"/>
        </w:rPr>
        <w:t xml:space="preserve"> Report from the Director of Corporate Services</w:t>
      </w:r>
      <w:r w:rsidR="009D29E2" w:rsidRPr="009D29E2">
        <w:rPr>
          <w:rFonts w:eastAsia="Calibri" w:cs="Arial"/>
          <w:color w:val="000000" w:themeColor="text1"/>
          <w:szCs w:val="24"/>
        </w:rPr>
        <w:t xml:space="preserve"> attaching </w:t>
      </w:r>
      <w:r w:rsidR="009D29E2">
        <w:rPr>
          <w:rFonts w:eastAsia="Calibri" w:cs="Arial"/>
          <w:noProof/>
          <w:szCs w:val="24"/>
        </w:rPr>
        <w:t>u</w:t>
      </w:r>
      <w:r w:rsidR="009D29E2" w:rsidRPr="009D29E2">
        <w:rPr>
          <w:rFonts w:eastAsia="Calibri" w:cs="Arial"/>
          <w:noProof/>
          <w:szCs w:val="24"/>
        </w:rPr>
        <w:t xml:space="preserve">pdated Performance Management Policy. The report detailed </w:t>
      </w:r>
      <w:r w:rsidR="009D29E2">
        <w:rPr>
          <w:rFonts w:eastAsia="Calibri" w:cs="Arial"/>
          <w:noProof/>
          <w:szCs w:val="24"/>
        </w:rPr>
        <w:t xml:space="preserve">that </w:t>
      </w:r>
    </w:p>
    <w:p w14:paraId="17F6D738" w14:textId="4FE46F3E" w:rsidR="009D29E2" w:rsidRPr="009D29E2" w:rsidRDefault="009D29E2" w:rsidP="009D29E2">
      <w:pPr>
        <w:rPr>
          <w:rFonts w:cs="Arial"/>
          <w:szCs w:val="24"/>
        </w:rPr>
      </w:pPr>
      <w:r w:rsidRPr="009D29E2">
        <w:rPr>
          <w:rFonts w:cs="Arial"/>
          <w:szCs w:val="24"/>
        </w:rPr>
        <w:t xml:space="preserve">Members </w:t>
      </w:r>
      <w:r>
        <w:rPr>
          <w:rFonts w:cs="Arial"/>
          <w:szCs w:val="24"/>
        </w:rPr>
        <w:t>would</w:t>
      </w:r>
      <w:r w:rsidRPr="009D29E2">
        <w:rPr>
          <w:rFonts w:cs="Arial"/>
          <w:szCs w:val="24"/>
        </w:rPr>
        <w:t xml:space="preserve"> be aware that Council ha</w:t>
      </w:r>
      <w:r>
        <w:rPr>
          <w:rFonts w:cs="Arial"/>
          <w:szCs w:val="24"/>
        </w:rPr>
        <w:t>d</w:t>
      </w:r>
      <w:r w:rsidRPr="009D29E2">
        <w:rPr>
          <w:rFonts w:cs="Arial"/>
          <w:szCs w:val="24"/>
        </w:rPr>
        <w:t xml:space="preserve"> in place a Performance Management Policy and Handbook (PERFORM Toolkit).</w:t>
      </w:r>
    </w:p>
    <w:p w14:paraId="73AB4D7E" w14:textId="77777777" w:rsidR="009D29E2" w:rsidRPr="009D29E2" w:rsidRDefault="009D29E2" w:rsidP="009D29E2">
      <w:pPr>
        <w:rPr>
          <w:rFonts w:cs="Arial"/>
          <w:szCs w:val="24"/>
        </w:rPr>
      </w:pPr>
    </w:p>
    <w:p w14:paraId="0DC8C5ED" w14:textId="4092636C" w:rsidR="009D29E2" w:rsidRPr="009D29E2" w:rsidRDefault="009D29E2" w:rsidP="009D29E2">
      <w:pPr>
        <w:rPr>
          <w:rFonts w:cs="Arial"/>
          <w:spacing w:val="-2"/>
          <w:szCs w:val="24"/>
        </w:rPr>
      </w:pPr>
      <w:r w:rsidRPr="009D29E2">
        <w:rPr>
          <w:rFonts w:cs="Arial"/>
          <w:szCs w:val="24"/>
        </w:rPr>
        <w:t>The Performance Management Policy outline</w:t>
      </w:r>
      <w:r>
        <w:rPr>
          <w:rFonts w:cs="Arial"/>
          <w:szCs w:val="24"/>
        </w:rPr>
        <w:t xml:space="preserve">d </w:t>
      </w:r>
      <w:r w:rsidRPr="009D29E2">
        <w:rPr>
          <w:rFonts w:cs="Arial"/>
          <w:szCs w:val="24"/>
        </w:rPr>
        <w:t>the process in place to drive continuous service improvement</w:t>
      </w:r>
      <w:r w:rsidRPr="009D29E2">
        <w:rPr>
          <w:rFonts w:cs="Arial"/>
          <w:spacing w:val="-7"/>
          <w:szCs w:val="24"/>
        </w:rPr>
        <w:t xml:space="preserve"> </w:t>
      </w:r>
      <w:r w:rsidRPr="009D29E2">
        <w:rPr>
          <w:rFonts w:cs="Arial"/>
          <w:szCs w:val="24"/>
        </w:rPr>
        <w:t>and</w:t>
      </w:r>
      <w:r w:rsidRPr="009D29E2">
        <w:rPr>
          <w:rFonts w:cs="Arial"/>
          <w:spacing w:val="-3"/>
          <w:szCs w:val="24"/>
        </w:rPr>
        <w:t xml:space="preserve"> </w:t>
      </w:r>
      <w:r w:rsidRPr="009D29E2">
        <w:rPr>
          <w:rFonts w:cs="Arial"/>
          <w:szCs w:val="24"/>
        </w:rPr>
        <w:t>performance</w:t>
      </w:r>
      <w:r w:rsidRPr="009D29E2">
        <w:rPr>
          <w:rFonts w:cs="Arial"/>
          <w:spacing w:val="-3"/>
          <w:szCs w:val="24"/>
        </w:rPr>
        <w:t xml:space="preserve"> </w:t>
      </w:r>
      <w:r w:rsidRPr="009D29E2">
        <w:rPr>
          <w:rFonts w:cs="Arial"/>
          <w:szCs w:val="24"/>
        </w:rPr>
        <w:t>across</w:t>
      </w:r>
      <w:r w:rsidRPr="009D29E2">
        <w:rPr>
          <w:rFonts w:cs="Arial"/>
          <w:spacing w:val="-2"/>
          <w:szCs w:val="24"/>
        </w:rPr>
        <w:t xml:space="preserve"> </w:t>
      </w:r>
      <w:r w:rsidRPr="009D29E2">
        <w:rPr>
          <w:rFonts w:cs="Arial"/>
          <w:szCs w:val="24"/>
        </w:rPr>
        <w:t>all</w:t>
      </w:r>
      <w:r w:rsidRPr="009D29E2">
        <w:rPr>
          <w:rFonts w:cs="Arial"/>
          <w:spacing w:val="-2"/>
          <w:szCs w:val="24"/>
        </w:rPr>
        <w:t xml:space="preserve"> </w:t>
      </w:r>
      <w:r w:rsidRPr="009D29E2">
        <w:rPr>
          <w:rFonts w:cs="Arial"/>
          <w:szCs w:val="24"/>
        </w:rPr>
        <w:t>areas</w:t>
      </w:r>
      <w:r w:rsidRPr="009D29E2">
        <w:rPr>
          <w:rFonts w:cs="Arial"/>
          <w:spacing w:val="-2"/>
          <w:szCs w:val="24"/>
        </w:rPr>
        <w:t xml:space="preserve"> </w:t>
      </w:r>
      <w:r w:rsidRPr="009D29E2">
        <w:rPr>
          <w:rFonts w:cs="Arial"/>
          <w:szCs w:val="24"/>
        </w:rPr>
        <w:t>of</w:t>
      </w:r>
      <w:r w:rsidRPr="009D29E2">
        <w:rPr>
          <w:rFonts w:cs="Arial"/>
          <w:spacing w:val="-1"/>
          <w:szCs w:val="24"/>
        </w:rPr>
        <w:t xml:space="preserve"> </w:t>
      </w:r>
      <w:r w:rsidRPr="009D29E2">
        <w:rPr>
          <w:rFonts w:cs="Arial"/>
          <w:szCs w:val="24"/>
        </w:rPr>
        <w:t>the</w:t>
      </w:r>
      <w:r w:rsidRPr="009D29E2">
        <w:rPr>
          <w:rFonts w:cs="Arial"/>
          <w:spacing w:val="-3"/>
          <w:szCs w:val="24"/>
        </w:rPr>
        <w:t xml:space="preserve"> </w:t>
      </w:r>
      <w:r w:rsidRPr="009D29E2">
        <w:rPr>
          <w:rFonts w:cs="Arial"/>
          <w:spacing w:val="-2"/>
          <w:szCs w:val="24"/>
        </w:rPr>
        <w:t>organisation.</w:t>
      </w:r>
    </w:p>
    <w:p w14:paraId="6A5DBEFB" w14:textId="77777777" w:rsidR="009D29E2" w:rsidRPr="009D29E2" w:rsidRDefault="009D29E2" w:rsidP="009D29E2">
      <w:pPr>
        <w:rPr>
          <w:rFonts w:cs="Arial"/>
          <w:spacing w:val="-2"/>
          <w:szCs w:val="24"/>
        </w:rPr>
      </w:pPr>
    </w:p>
    <w:p w14:paraId="297491A1" w14:textId="5F7CA625" w:rsidR="009D29E2" w:rsidRPr="009D29E2" w:rsidRDefault="009D29E2" w:rsidP="009D29E2">
      <w:pPr>
        <w:rPr>
          <w:rFonts w:cs="Arial"/>
          <w:szCs w:val="24"/>
        </w:rPr>
      </w:pPr>
      <w:r w:rsidRPr="009D29E2">
        <w:rPr>
          <w:rFonts w:cs="Arial"/>
          <w:spacing w:val="-2"/>
          <w:szCs w:val="24"/>
        </w:rPr>
        <w:t>The Per</w:t>
      </w:r>
      <w:r w:rsidRPr="009D29E2">
        <w:rPr>
          <w:rFonts w:cs="Arial"/>
          <w:szCs w:val="24"/>
        </w:rPr>
        <w:t>formance Management Policy ha</w:t>
      </w:r>
      <w:r>
        <w:rPr>
          <w:rFonts w:cs="Arial"/>
          <w:szCs w:val="24"/>
        </w:rPr>
        <w:t>d</w:t>
      </w:r>
      <w:r w:rsidRPr="009D29E2">
        <w:rPr>
          <w:rFonts w:cs="Arial"/>
          <w:szCs w:val="24"/>
        </w:rPr>
        <w:t xml:space="preserve"> been updated to reflect changes in the performance management process (changes have already been agreed by Council). The updates to the Policy </w:t>
      </w:r>
      <w:r>
        <w:rPr>
          <w:rFonts w:cs="Arial"/>
          <w:szCs w:val="24"/>
        </w:rPr>
        <w:t>were</w:t>
      </w:r>
      <w:r w:rsidRPr="009D29E2">
        <w:rPr>
          <w:rFonts w:cs="Arial"/>
          <w:szCs w:val="24"/>
        </w:rPr>
        <w:t xml:space="preserve"> as follows:</w:t>
      </w:r>
    </w:p>
    <w:p w14:paraId="78039D49" w14:textId="77777777" w:rsidR="009D29E2" w:rsidRPr="009D29E2" w:rsidRDefault="009D29E2" w:rsidP="009D29E2">
      <w:pPr>
        <w:rPr>
          <w:rFonts w:cs="Arial"/>
          <w:szCs w:val="24"/>
        </w:rPr>
      </w:pPr>
    </w:p>
    <w:p w14:paraId="3DB5E485" w14:textId="0A28C413" w:rsidR="009D29E2" w:rsidRPr="009D29E2" w:rsidRDefault="009D29E2" w:rsidP="009D29E2">
      <w:pPr>
        <w:pStyle w:val="ListParagraph"/>
        <w:numPr>
          <w:ilvl w:val="0"/>
          <w:numId w:val="19"/>
        </w:numPr>
        <w:spacing w:after="0" w:line="240" w:lineRule="auto"/>
        <w:rPr>
          <w:rFonts w:cs="Arial"/>
          <w:szCs w:val="24"/>
        </w:rPr>
      </w:pPr>
      <w:r w:rsidRPr="009D29E2">
        <w:rPr>
          <w:rFonts w:cs="Arial"/>
          <w:szCs w:val="24"/>
        </w:rPr>
        <w:t>Heads</w:t>
      </w:r>
      <w:r w:rsidRPr="009D29E2">
        <w:rPr>
          <w:rFonts w:cs="Arial"/>
          <w:spacing w:val="-6"/>
          <w:szCs w:val="24"/>
        </w:rPr>
        <w:t xml:space="preserve"> </w:t>
      </w:r>
      <w:r w:rsidRPr="009D29E2">
        <w:rPr>
          <w:rFonts w:cs="Arial"/>
          <w:szCs w:val="24"/>
        </w:rPr>
        <w:t>of</w:t>
      </w:r>
      <w:r w:rsidRPr="009D29E2">
        <w:rPr>
          <w:rFonts w:cs="Arial"/>
          <w:spacing w:val="-2"/>
          <w:szCs w:val="24"/>
        </w:rPr>
        <w:t xml:space="preserve"> </w:t>
      </w:r>
      <w:r w:rsidRPr="009D29E2">
        <w:rPr>
          <w:rFonts w:cs="Arial"/>
          <w:szCs w:val="24"/>
        </w:rPr>
        <w:t>Service</w:t>
      </w:r>
      <w:r w:rsidRPr="009D29E2">
        <w:rPr>
          <w:rFonts w:cs="Arial"/>
          <w:spacing w:val="-2"/>
          <w:szCs w:val="24"/>
        </w:rPr>
        <w:t xml:space="preserve"> </w:t>
      </w:r>
      <w:r>
        <w:rPr>
          <w:rFonts w:cs="Arial"/>
          <w:szCs w:val="24"/>
        </w:rPr>
        <w:t xml:space="preserve">would </w:t>
      </w:r>
      <w:r w:rsidRPr="009D29E2">
        <w:rPr>
          <w:rFonts w:cs="Arial"/>
          <w:szCs w:val="24"/>
        </w:rPr>
        <w:t>report</w:t>
      </w:r>
      <w:r w:rsidRPr="009D29E2">
        <w:rPr>
          <w:rFonts w:cs="Arial"/>
          <w:spacing w:val="-6"/>
          <w:szCs w:val="24"/>
        </w:rPr>
        <w:t xml:space="preserve"> </w:t>
      </w:r>
      <w:r w:rsidRPr="009D29E2">
        <w:rPr>
          <w:rFonts w:cs="Arial"/>
          <w:szCs w:val="24"/>
        </w:rPr>
        <w:t>on</w:t>
      </w:r>
      <w:r w:rsidRPr="009D29E2">
        <w:rPr>
          <w:rFonts w:cs="Arial"/>
          <w:spacing w:val="-5"/>
          <w:szCs w:val="24"/>
        </w:rPr>
        <w:t xml:space="preserve"> </w:t>
      </w:r>
      <w:r w:rsidRPr="009D29E2">
        <w:rPr>
          <w:rFonts w:cs="Arial"/>
          <w:szCs w:val="24"/>
        </w:rPr>
        <w:t>performance</w:t>
      </w:r>
      <w:r w:rsidRPr="009D29E2">
        <w:rPr>
          <w:rFonts w:cs="Arial"/>
          <w:spacing w:val="-5"/>
          <w:szCs w:val="24"/>
        </w:rPr>
        <w:t xml:space="preserve"> </w:t>
      </w:r>
      <w:r w:rsidRPr="009D29E2">
        <w:rPr>
          <w:rFonts w:cs="Arial"/>
          <w:szCs w:val="24"/>
        </w:rPr>
        <w:t>against</w:t>
      </w:r>
      <w:r w:rsidRPr="009D29E2">
        <w:rPr>
          <w:rFonts w:cs="Arial"/>
          <w:spacing w:val="-4"/>
          <w:szCs w:val="24"/>
        </w:rPr>
        <w:t xml:space="preserve"> </w:t>
      </w:r>
      <w:r w:rsidRPr="009D29E2">
        <w:rPr>
          <w:rFonts w:cs="Arial"/>
          <w:szCs w:val="24"/>
        </w:rPr>
        <w:t>Service</w:t>
      </w:r>
      <w:r w:rsidRPr="009D29E2">
        <w:rPr>
          <w:rFonts w:cs="Arial"/>
          <w:spacing w:val="-4"/>
          <w:szCs w:val="24"/>
        </w:rPr>
        <w:t xml:space="preserve"> </w:t>
      </w:r>
      <w:r w:rsidRPr="009D29E2">
        <w:rPr>
          <w:rFonts w:cs="Arial"/>
          <w:szCs w:val="24"/>
        </w:rPr>
        <w:t>Plan KPIs biannually to the relevant Standing Committee instead of quarterly (New process included in Performance Improvement Plan approved by Council in June 2024); and</w:t>
      </w:r>
    </w:p>
    <w:p w14:paraId="060C847B" w14:textId="77777777" w:rsidR="009D29E2" w:rsidRPr="009D29E2" w:rsidRDefault="009D29E2" w:rsidP="009D29E2">
      <w:pPr>
        <w:pStyle w:val="ListParagraph"/>
        <w:spacing w:after="0" w:line="240" w:lineRule="auto"/>
        <w:rPr>
          <w:rFonts w:cs="Arial"/>
          <w:szCs w:val="24"/>
        </w:rPr>
      </w:pPr>
    </w:p>
    <w:p w14:paraId="29432512" w14:textId="49EA0B51" w:rsidR="009D29E2" w:rsidRPr="009D29E2" w:rsidRDefault="009D29E2" w:rsidP="009D29E2">
      <w:pPr>
        <w:pStyle w:val="ListParagraph"/>
        <w:numPr>
          <w:ilvl w:val="0"/>
          <w:numId w:val="18"/>
        </w:numPr>
        <w:spacing w:after="0" w:line="240" w:lineRule="auto"/>
        <w:rPr>
          <w:rFonts w:cs="Arial"/>
          <w:szCs w:val="24"/>
        </w:rPr>
      </w:pPr>
      <w:r w:rsidRPr="009D29E2">
        <w:rPr>
          <w:rFonts w:cs="Arial"/>
          <w:szCs w:val="24"/>
        </w:rPr>
        <w:t xml:space="preserve">Progress against Council’s Performance Improvement Plan </w:t>
      </w:r>
      <w:r>
        <w:rPr>
          <w:rFonts w:cs="Arial"/>
          <w:szCs w:val="24"/>
        </w:rPr>
        <w:t>would</w:t>
      </w:r>
      <w:r w:rsidRPr="009D29E2">
        <w:rPr>
          <w:rFonts w:cs="Arial"/>
          <w:szCs w:val="24"/>
        </w:rPr>
        <w:t xml:space="preserve"> be reported biannually to the Corporate Services Committee; instead of quarterly to Audit Committee (New process included in Scheme of Delegation approved by Council in June 2024).</w:t>
      </w:r>
    </w:p>
    <w:p w14:paraId="0FF1FAD5" w14:textId="77777777" w:rsidR="009D29E2" w:rsidRPr="009D29E2" w:rsidRDefault="009D29E2" w:rsidP="009D29E2">
      <w:pPr>
        <w:rPr>
          <w:rFonts w:cs="Arial"/>
          <w:szCs w:val="24"/>
        </w:rPr>
      </w:pPr>
    </w:p>
    <w:p w14:paraId="5130884E" w14:textId="619D3BA8" w:rsidR="009D29E2" w:rsidRPr="009D29E2" w:rsidRDefault="009D29E2" w:rsidP="009D29E2">
      <w:pPr>
        <w:rPr>
          <w:rFonts w:cs="Arial"/>
          <w:szCs w:val="24"/>
        </w:rPr>
      </w:pPr>
      <w:r w:rsidRPr="009D29E2">
        <w:rPr>
          <w:rFonts w:cs="Arial"/>
          <w:szCs w:val="24"/>
        </w:rPr>
        <w:t>The operational Performance Management Handbook (PERFORM Toolkit) ha</w:t>
      </w:r>
      <w:r>
        <w:rPr>
          <w:rFonts w:cs="Arial"/>
          <w:szCs w:val="24"/>
        </w:rPr>
        <w:t>d</w:t>
      </w:r>
      <w:r w:rsidRPr="009D29E2">
        <w:rPr>
          <w:rFonts w:cs="Arial"/>
          <w:szCs w:val="24"/>
        </w:rPr>
        <w:t xml:space="preserve"> been updated to reflect above changes. </w:t>
      </w:r>
    </w:p>
    <w:p w14:paraId="15199759" w14:textId="77777777" w:rsidR="009D29E2" w:rsidRPr="009D29E2" w:rsidRDefault="009D29E2" w:rsidP="009D29E2">
      <w:pPr>
        <w:rPr>
          <w:rFonts w:cs="Arial"/>
          <w:szCs w:val="24"/>
        </w:rPr>
      </w:pPr>
    </w:p>
    <w:p w14:paraId="11CFE0FD" w14:textId="0CC8A8F7" w:rsidR="009D29E2" w:rsidRPr="009D29E2" w:rsidRDefault="009D29E2" w:rsidP="009D29E2">
      <w:pPr>
        <w:rPr>
          <w:rFonts w:cs="Arial"/>
          <w:szCs w:val="24"/>
        </w:rPr>
      </w:pPr>
      <w:r w:rsidRPr="009D29E2">
        <w:rPr>
          <w:rFonts w:cs="Arial"/>
          <w:caps/>
          <w:szCs w:val="24"/>
        </w:rPr>
        <w:t>Recommended</w:t>
      </w:r>
      <w:r w:rsidRPr="009D29E2">
        <w:rPr>
          <w:rFonts w:cs="Arial"/>
          <w:szCs w:val="24"/>
        </w:rPr>
        <w:t xml:space="preserve"> that the Council note above update and updated Performance Management Policy.</w:t>
      </w:r>
    </w:p>
    <w:p w14:paraId="6EF71177" w14:textId="77777777" w:rsidR="009D29E2" w:rsidRDefault="009D29E2" w:rsidP="009D29E2"/>
    <w:p w14:paraId="1C416510" w14:textId="5372C492" w:rsidR="009D29E2" w:rsidRDefault="00255BD1" w:rsidP="00C94CF7">
      <w:pPr>
        <w:tabs>
          <w:tab w:val="left" w:pos="567"/>
        </w:tabs>
        <w:rPr>
          <w:rFonts w:eastAsia="Calibri" w:cs="Arial"/>
          <w:noProof/>
          <w:szCs w:val="24"/>
        </w:rPr>
      </w:pPr>
      <w:r>
        <w:rPr>
          <w:rFonts w:eastAsia="Calibri" w:cs="Arial"/>
          <w:noProof/>
          <w:szCs w:val="24"/>
        </w:rPr>
        <w:t xml:space="preserve">Proposed by Councillor W Irvine, seconded by Alderman Smith, that the recommendation be adopted. </w:t>
      </w:r>
    </w:p>
    <w:p w14:paraId="73727F1E" w14:textId="77777777" w:rsidR="009D29E2" w:rsidRDefault="009D29E2" w:rsidP="00C94CF7">
      <w:pPr>
        <w:tabs>
          <w:tab w:val="left" w:pos="567"/>
        </w:tabs>
        <w:rPr>
          <w:rFonts w:eastAsia="Calibri" w:cs="Arial"/>
          <w:noProof/>
          <w:szCs w:val="24"/>
        </w:rPr>
      </w:pPr>
    </w:p>
    <w:p w14:paraId="7B622194" w14:textId="3B0BFE7A" w:rsidR="00255BD1" w:rsidRDefault="00255BD1" w:rsidP="00C94CF7">
      <w:pPr>
        <w:tabs>
          <w:tab w:val="left" w:pos="567"/>
        </w:tabs>
        <w:rPr>
          <w:rFonts w:eastAsia="Calibri" w:cs="Arial"/>
          <w:noProof/>
          <w:szCs w:val="24"/>
        </w:rPr>
      </w:pPr>
      <w:r>
        <w:rPr>
          <w:rFonts w:eastAsia="Calibri" w:cs="Arial"/>
          <w:noProof/>
          <w:szCs w:val="24"/>
        </w:rPr>
        <w:t xml:space="preserve">Alderman McIlveen asked what changes had been made to the policy noting that he </w:t>
      </w:r>
      <w:r w:rsidR="003C7B4C">
        <w:rPr>
          <w:rFonts w:eastAsia="Calibri" w:cs="Arial"/>
          <w:noProof/>
          <w:szCs w:val="24"/>
        </w:rPr>
        <w:t xml:space="preserve">would have </w:t>
      </w:r>
      <w:r>
        <w:rPr>
          <w:rFonts w:eastAsia="Calibri" w:cs="Arial"/>
          <w:noProof/>
          <w:szCs w:val="24"/>
        </w:rPr>
        <w:t xml:space="preserve">liked to see those highlighted.  </w:t>
      </w:r>
      <w:r w:rsidR="00297658">
        <w:rPr>
          <w:rFonts w:eastAsia="Calibri" w:cs="Arial"/>
          <w:noProof/>
          <w:szCs w:val="24"/>
        </w:rPr>
        <w:t xml:space="preserve">The Director took on board the comments to highlight changes in future policies. He advised that some of the changes made had been due to the updates to the scheme of delegation. </w:t>
      </w:r>
    </w:p>
    <w:p w14:paraId="79DC7D86" w14:textId="77777777" w:rsidR="00C94CF7" w:rsidRPr="00C94CF7" w:rsidRDefault="00C94CF7" w:rsidP="00C94CF7">
      <w:pPr>
        <w:tabs>
          <w:tab w:val="left" w:pos="567"/>
        </w:tabs>
        <w:rPr>
          <w:rFonts w:cs="Arial"/>
          <w:color w:val="000000" w:themeColor="text1"/>
          <w:szCs w:val="24"/>
        </w:rPr>
      </w:pPr>
    </w:p>
    <w:p w14:paraId="15C63ACB" w14:textId="43AB1092" w:rsidR="004E5534" w:rsidRPr="007A0584" w:rsidRDefault="007A0584" w:rsidP="007A0584">
      <w:pPr>
        <w:tabs>
          <w:tab w:val="left" w:pos="567"/>
        </w:tabs>
        <w:rPr>
          <w:rFonts w:cs="Arial"/>
          <w:b/>
          <w:bCs/>
          <w:color w:val="000000" w:themeColor="text1"/>
          <w:szCs w:val="24"/>
        </w:rPr>
      </w:pPr>
      <w:r w:rsidRPr="007A0584">
        <w:rPr>
          <w:rFonts w:cs="Arial"/>
          <w:b/>
          <w:bCs/>
          <w:color w:val="000000" w:themeColor="text1"/>
          <w:szCs w:val="24"/>
        </w:rPr>
        <w:t xml:space="preserve">AGREED TO RECOMMEND, on the proposal of </w:t>
      </w:r>
      <w:r w:rsidR="00255BD1">
        <w:rPr>
          <w:rFonts w:cs="Arial"/>
          <w:b/>
          <w:bCs/>
          <w:color w:val="000000" w:themeColor="text1"/>
          <w:szCs w:val="24"/>
        </w:rPr>
        <w:t>Councillor W Irvine</w:t>
      </w:r>
      <w:r w:rsidRPr="007A0584">
        <w:rPr>
          <w:rFonts w:cs="Arial"/>
          <w:b/>
          <w:bCs/>
          <w:color w:val="000000" w:themeColor="text1"/>
          <w:szCs w:val="24"/>
        </w:rPr>
        <w:t xml:space="preserve">, seconded by </w:t>
      </w:r>
      <w:r w:rsidR="00255BD1">
        <w:rPr>
          <w:rFonts w:cs="Arial"/>
          <w:b/>
          <w:bCs/>
          <w:color w:val="000000" w:themeColor="text1"/>
          <w:szCs w:val="24"/>
        </w:rPr>
        <w:t>Alderman Smith</w:t>
      </w:r>
      <w:r w:rsidRPr="007A0584">
        <w:rPr>
          <w:rFonts w:cs="Arial"/>
          <w:b/>
          <w:bCs/>
          <w:color w:val="000000" w:themeColor="text1"/>
          <w:szCs w:val="24"/>
        </w:rPr>
        <w:t xml:space="preserve">, that the recommendation be adopted. </w:t>
      </w:r>
    </w:p>
    <w:p w14:paraId="78C05663" w14:textId="77777777" w:rsidR="007A0584" w:rsidRPr="007A0584" w:rsidRDefault="007A0584" w:rsidP="007A0584">
      <w:pPr>
        <w:tabs>
          <w:tab w:val="left" w:pos="567"/>
        </w:tabs>
        <w:rPr>
          <w:rFonts w:cs="Arial"/>
          <w:color w:val="000000" w:themeColor="text1"/>
          <w:szCs w:val="24"/>
        </w:rPr>
      </w:pPr>
    </w:p>
    <w:p w14:paraId="70CA4380" w14:textId="027873FB" w:rsidR="004E5534" w:rsidRPr="00C94CF7" w:rsidRDefault="00C94CF7" w:rsidP="00C94CF7">
      <w:pPr>
        <w:pStyle w:val="Heading1"/>
        <w:ind w:left="720" w:hanging="720"/>
        <w:rPr>
          <w:u w:val="single"/>
        </w:rPr>
      </w:pPr>
      <w:r>
        <w:t>11.</w:t>
      </w:r>
      <w:r>
        <w:tab/>
      </w:r>
      <w:r w:rsidR="004E5534" w:rsidRPr="00C94CF7">
        <w:rPr>
          <w:u w:val="single"/>
        </w:rPr>
        <w:t xml:space="preserve">Impact of Local Government reform on service delivery and cost effectiveness </w:t>
      </w:r>
    </w:p>
    <w:p w14:paraId="1D790F13" w14:textId="06E48167" w:rsidR="00C94CF7" w:rsidRDefault="000C2C68" w:rsidP="00C94CF7">
      <w:pPr>
        <w:tabs>
          <w:tab w:val="left" w:pos="567"/>
        </w:tabs>
        <w:rPr>
          <w:rFonts w:cs="Arial"/>
          <w:color w:val="000000" w:themeColor="text1"/>
          <w:szCs w:val="24"/>
        </w:rPr>
      </w:pPr>
      <w:r>
        <w:rPr>
          <w:rFonts w:cs="Arial"/>
          <w:color w:val="000000" w:themeColor="text1"/>
          <w:szCs w:val="24"/>
        </w:rPr>
        <w:tab/>
      </w:r>
      <w:r>
        <w:rPr>
          <w:rFonts w:cs="Arial"/>
          <w:color w:val="000000" w:themeColor="text1"/>
          <w:szCs w:val="24"/>
        </w:rPr>
        <w:tab/>
        <w:t xml:space="preserve">(Appendices </w:t>
      </w:r>
      <w:r w:rsidR="002F1D8D">
        <w:rPr>
          <w:rFonts w:cs="Arial"/>
          <w:color w:val="000000" w:themeColor="text1"/>
          <w:szCs w:val="24"/>
        </w:rPr>
        <w:t>X, XI</w:t>
      </w:r>
      <w:r>
        <w:rPr>
          <w:rFonts w:cs="Arial"/>
          <w:color w:val="000000" w:themeColor="text1"/>
          <w:szCs w:val="24"/>
        </w:rPr>
        <w:t>)</w:t>
      </w:r>
    </w:p>
    <w:p w14:paraId="7FF446CB" w14:textId="77777777" w:rsidR="000C2C68" w:rsidRPr="00D252C3" w:rsidRDefault="000C2C68" w:rsidP="00D252C3">
      <w:pPr>
        <w:tabs>
          <w:tab w:val="left" w:pos="567"/>
        </w:tabs>
        <w:rPr>
          <w:rFonts w:cs="Arial"/>
          <w:color w:val="000000" w:themeColor="text1"/>
          <w:szCs w:val="24"/>
        </w:rPr>
      </w:pPr>
    </w:p>
    <w:p w14:paraId="22D73505" w14:textId="255E05F6" w:rsidR="00D252C3" w:rsidRDefault="000C2C68" w:rsidP="00D252C3">
      <w:pPr>
        <w:rPr>
          <w:rFonts w:eastAsia="Calibri" w:cs="Arial"/>
          <w:noProof/>
          <w:szCs w:val="24"/>
        </w:rPr>
      </w:pPr>
      <w:r w:rsidRPr="00D252C3">
        <w:rPr>
          <w:rFonts w:cs="Arial"/>
          <w:caps/>
          <w:color w:val="000000" w:themeColor="text1"/>
          <w:szCs w:val="24"/>
        </w:rPr>
        <w:t>Previously circulated:-</w:t>
      </w:r>
      <w:r w:rsidRPr="00D252C3">
        <w:rPr>
          <w:rFonts w:cs="Arial"/>
          <w:color w:val="000000" w:themeColor="text1"/>
          <w:szCs w:val="24"/>
        </w:rPr>
        <w:t xml:space="preserve"> Report from Director of Corporate Services attaching </w:t>
      </w:r>
      <w:r w:rsidRPr="00D252C3">
        <w:rPr>
          <w:rFonts w:eastAsia="Calibri" w:cs="Arial"/>
          <w:szCs w:val="24"/>
        </w:rPr>
        <w:t xml:space="preserve">letter from DfC and corresponding report. </w:t>
      </w:r>
      <w:r w:rsidR="00D252C3" w:rsidRPr="00D252C3">
        <w:rPr>
          <w:rFonts w:eastAsia="Calibri" w:cs="Arial"/>
          <w:szCs w:val="24"/>
        </w:rPr>
        <w:t xml:space="preserve">The report detailed that </w:t>
      </w:r>
      <w:r w:rsidR="00D252C3">
        <w:rPr>
          <w:rFonts w:cs="Arial"/>
          <w:szCs w:val="24"/>
        </w:rPr>
        <w:t>a</w:t>
      </w:r>
      <w:r w:rsidR="00D252C3" w:rsidRPr="00D252C3">
        <w:rPr>
          <w:rFonts w:cs="Arial"/>
          <w:szCs w:val="24"/>
        </w:rPr>
        <w:t xml:space="preserve"> letter was issued on 3 October 2024 to the Chief Executive by the Director of Local Government and Housing Regulation Division, DfC relating to the </w:t>
      </w:r>
      <w:r w:rsidR="00D252C3" w:rsidRPr="00D252C3">
        <w:rPr>
          <w:rFonts w:eastAsia="Calibri" w:cs="Arial"/>
          <w:noProof/>
          <w:szCs w:val="24"/>
        </w:rPr>
        <w:t xml:space="preserve">Impact of Local Government reform on service delivery and cost effectiveness.  A copy of the letter and resulting report </w:t>
      </w:r>
      <w:r w:rsidR="00F64633">
        <w:rPr>
          <w:rFonts w:eastAsia="Calibri" w:cs="Arial"/>
          <w:noProof/>
          <w:szCs w:val="24"/>
        </w:rPr>
        <w:t>were</w:t>
      </w:r>
      <w:r w:rsidR="00D252C3" w:rsidRPr="00D252C3">
        <w:rPr>
          <w:rFonts w:eastAsia="Calibri" w:cs="Arial"/>
          <w:noProof/>
          <w:szCs w:val="24"/>
        </w:rPr>
        <w:t xml:space="preserve"> attached</w:t>
      </w:r>
      <w:r w:rsidR="00F64633">
        <w:rPr>
          <w:rFonts w:eastAsia="Calibri" w:cs="Arial"/>
          <w:noProof/>
          <w:szCs w:val="24"/>
        </w:rPr>
        <w:t xml:space="preserve"> to the report. </w:t>
      </w:r>
    </w:p>
    <w:p w14:paraId="1173701A" w14:textId="77777777" w:rsidR="00D252C3" w:rsidRPr="00D252C3" w:rsidRDefault="00D252C3" w:rsidP="00D252C3">
      <w:pPr>
        <w:rPr>
          <w:rFonts w:cs="Arial"/>
          <w:szCs w:val="24"/>
        </w:rPr>
      </w:pPr>
    </w:p>
    <w:p w14:paraId="3519C3F4" w14:textId="3CB0DC6C" w:rsidR="00D252C3" w:rsidRPr="00D252C3" w:rsidRDefault="00D252C3" w:rsidP="00D252C3">
      <w:pPr>
        <w:rPr>
          <w:rFonts w:cs="Arial"/>
          <w:szCs w:val="24"/>
        </w:rPr>
      </w:pPr>
      <w:r w:rsidRPr="00D252C3">
        <w:rPr>
          <w:rFonts w:cs="Arial"/>
          <w:caps/>
          <w:szCs w:val="24"/>
        </w:rPr>
        <w:t xml:space="preserve">Recommended </w:t>
      </w:r>
      <w:r w:rsidRPr="00D252C3">
        <w:rPr>
          <w:rFonts w:cs="Arial"/>
          <w:szCs w:val="24"/>
        </w:rPr>
        <w:t xml:space="preserve">that Council notes this report. </w:t>
      </w:r>
    </w:p>
    <w:p w14:paraId="387F37E4" w14:textId="77777777" w:rsidR="00D252C3" w:rsidRDefault="00D252C3" w:rsidP="00D252C3"/>
    <w:p w14:paraId="038FEDEA" w14:textId="419C2D78" w:rsidR="00D252C3" w:rsidRPr="004146DB" w:rsidRDefault="00362769" w:rsidP="00D252C3">
      <w:r>
        <w:t xml:space="preserve">Proposed by Alderman McIlveen, seconded by Alderman Smith, that the recommendation be adopted. </w:t>
      </w:r>
    </w:p>
    <w:p w14:paraId="2CA447AB" w14:textId="43A6D371" w:rsidR="006C0BAB" w:rsidRPr="000C2C68" w:rsidRDefault="006C0BAB" w:rsidP="000C2C68">
      <w:pPr>
        <w:rPr>
          <w:rFonts w:eastAsia="Calibri" w:cs="Arial"/>
          <w:szCs w:val="24"/>
        </w:rPr>
      </w:pPr>
    </w:p>
    <w:p w14:paraId="2FF3D5E1" w14:textId="397F80DB" w:rsidR="009D29E2" w:rsidRDefault="00362769" w:rsidP="00C94CF7">
      <w:pPr>
        <w:tabs>
          <w:tab w:val="left" w:pos="567"/>
        </w:tabs>
        <w:rPr>
          <w:rFonts w:cs="Arial"/>
          <w:color w:val="000000" w:themeColor="text1"/>
          <w:szCs w:val="24"/>
        </w:rPr>
      </w:pPr>
      <w:r>
        <w:rPr>
          <w:rFonts w:cs="Arial"/>
          <w:color w:val="000000" w:themeColor="text1"/>
          <w:szCs w:val="24"/>
        </w:rPr>
        <w:t xml:space="preserve">Alderman McIlveen expressed his disappointment that after all the years the outcomes and cost </w:t>
      </w:r>
      <w:r w:rsidR="001A6E5A">
        <w:rPr>
          <w:rFonts w:cs="Arial"/>
          <w:color w:val="000000" w:themeColor="text1"/>
          <w:szCs w:val="24"/>
        </w:rPr>
        <w:t>efficiencies</w:t>
      </w:r>
      <w:r>
        <w:rPr>
          <w:rFonts w:cs="Arial"/>
          <w:color w:val="000000" w:themeColor="text1"/>
          <w:szCs w:val="24"/>
        </w:rPr>
        <w:t xml:space="preserve"> of local government reform had not </w:t>
      </w:r>
      <w:r w:rsidR="001A6E5A">
        <w:rPr>
          <w:rFonts w:cs="Arial"/>
          <w:color w:val="000000" w:themeColor="text1"/>
          <w:szCs w:val="24"/>
        </w:rPr>
        <w:t xml:space="preserve">yet been seen. He had highlighted his views and believed there to be too many Councillors for the size of the population. More efficiencies could be made, and things done more effectively. He expressed the view that the Council involved itself in too many things rather than focusing on </w:t>
      </w:r>
      <w:r w:rsidR="003C7B4C">
        <w:rPr>
          <w:rFonts w:cs="Arial"/>
          <w:color w:val="000000" w:themeColor="text1"/>
          <w:szCs w:val="24"/>
        </w:rPr>
        <w:t>its</w:t>
      </w:r>
      <w:r w:rsidR="001A6E5A">
        <w:rPr>
          <w:rFonts w:cs="Arial"/>
          <w:color w:val="000000" w:themeColor="text1"/>
          <w:szCs w:val="24"/>
        </w:rPr>
        <w:t xml:space="preserve"> core services.  </w:t>
      </w:r>
    </w:p>
    <w:p w14:paraId="68AF086C" w14:textId="77777777" w:rsidR="00377497" w:rsidRDefault="00377497" w:rsidP="00C94CF7">
      <w:pPr>
        <w:tabs>
          <w:tab w:val="left" w:pos="567"/>
        </w:tabs>
        <w:rPr>
          <w:rFonts w:cs="Arial"/>
          <w:color w:val="000000" w:themeColor="text1"/>
          <w:szCs w:val="24"/>
        </w:rPr>
      </w:pPr>
    </w:p>
    <w:p w14:paraId="2A94260B" w14:textId="16143A74" w:rsidR="00377497" w:rsidRDefault="00377497" w:rsidP="00C94CF7">
      <w:pPr>
        <w:tabs>
          <w:tab w:val="left" w:pos="567"/>
        </w:tabs>
        <w:rPr>
          <w:rFonts w:cs="Arial"/>
          <w:color w:val="000000" w:themeColor="text1"/>
          <w:szCs w:val="24"/>
        </w:rPr>
      </w:pPr>
      <w:r>
        <w:rPr>
          <w:rFonts w:cs="Arial"/>
          <w:color w:val="000000" w:themeColor="text1"/>
          <w:szCs w:val="24"/>
        </w:rPr>
        <w:t xml:space="preserve">Alderman Smith </w:t>
      </w:r>
      <w:r w:rsidR="001A6E5A">
        <w:rPr>
          <w:rFonts w:cs="Arial"/>
          <w:color w:val="000000" w:themeColor="text1"/>
          <w:szCs w:val="24"/>
        </w:rPr>
        <w:t xml:space="preserve">noted that when local government reform was being sold </w:t>
      </w:r>
      <w:r w:rsidR="003C7B4C">
        <w:rPr>
          <w:rFonts w:cs="Arial"/>
          <w:color w:val="000000" w:themeColor="text1"/>
          <w:szCs w:val="24"/>
        </w:rPr>
        <w:t xml:space="preserve">many </w:t>
      </w:r>
      <w:r w:rsidR="001A6E5A">
        <w:rPr>
          <w:rFonts w:cs="Arial"/>
          <w:color w:val="000000" w:themeColor="text1"/>
          <w:szCs w:val="24"/>
        </w:rPr>
        <w:t xml:space="preserve"> more savings were promised and that amongst other items had unfortunately not been delivered.  He expressed his disappointment with the </w:t>
      </w:r>
      <w:r w:rsidR="003C7B4C">
        <w:rPr>
          <w:rFonts w:cs="Arial"/>
          <w:color w:val="000000" w:themeColor="text1"/>
          <w:szCs w:val="24"/>
        </w:rPr>
        <w:t xml:space="preserve">content of the </w:t>
      </w:r>
      <w:r w:rsidR="001A6E5A">
        <w:rPr>
          <w:rFonts w:cs="Arial"/>
          <w:color w:val="000000" w:themeColor="text1"/>
          <w:szCs w:val="24"/>
        </w:rPr>
        <w:t xml:space="preserve">report </w:t>
      </w:r>
      <w:r w:rsidR="003C7B4C">
        <w:rPr>
          <w:rFonts w:cs="Arial"/>
          <w:color w:val="000000" w:themeColor="text1"/>
          <w:szCs w:val="24"/>
        </w:rPr>
        <w:t xml:space="preserve">believing that it was missing some aspects.  </w:t>
      </w:r>
    </w:p>
    <w:p w14:paraId="73F0DAAD" w14:textId="77777777" w:rsidR="00C94CF7" w:rsidRDefault="00C94CF7" w:rsidP="00C94CF7">
      <w:pPr>
        <w:tabs>
          <w:tab w:val="left" w:pos="567"/>
        </w:tabs>
        <w:rPr>
          <w:rFonts w:cs="Arial"/>
          <w:color w:val="000000" w:themeColor="text1"/>
          <w:szCs w:val="24"/>
        </w:rPr>
      </w:pPr>
    </w:p>
    <w:p w14:paraId="3A6BD5B7" w14:textId="00E63B8E" w:rsidR="00C94CF7" w:rsidRPr="007A0584" w:rsidRDefault="007A0584" w:rsidP="00C94CF7">
      <w:pPr>
        <w:tabs>
          <w:tab w:val="left" w:pos="567"/>
        </w:tabs>
        <w:rPr>
          <w:rFonts w:cs="Arial"/>
          <w:b/>
          <w:bCs/>
          <w:color w:val="000000" w:themeColor="text1"/>
          <w:szCs w:val="24"/>
        </w:rPr>
      </w:pPr>
      <w:r w:rsidRPr="007A0584">
        <w:rPr>
          <w:rFonts w:cs="Arial"/>
          <w:b/>
          <w:bCs/>
          <w:color w:val="000000" w:themeColor="text1"/>
          <w:szCs w:val="24"/>
        </w:rPr>
        <w:t xml:space="preserve">AGREED TO RECOMMEND, on the proposal of </w:t>
      </w:r>
      <w:r w:rsidR="00362769">
        <w:rPr>
          <w:rFonts w:cs="Arial"/>
          <w:b/>
          <w:bCs/>
          <w:color w:val="000000" w:themeColor="text1"/>
          <w:szCs w:val="24"/>
        </w:rPr>
        <w:t>Alderman McIlveen</w:t>
      </w:r>
      <w:r w:rsidRPr="007A0584">
        <w:rPr>
          <w:rFonts w:cs="Arial"/>
          <w:b/>
          <w:bCs/>
          <w:color w:val="000000" w:themeColor="text1"/>
          <w:szCs w:val="24"/>
        </w:rPr>
        <w:t xml:space="preserve">, seconded by </w:t>
      </w:r>
      <w:r w:rsidR="00362769">
        <w:rPr>
          <w:rFonts w:cs="Arial"/>
          <w:b/>
          <w:bCs/>
          <w:color w:val="000000" w:themeColor="text1"/>
          <w:szCs w:val="24"/>
        </w:rPr>
        <w:t>Alderman Smith</w:t>
      </w:r>
      <w:r w:rsidRPr="007A0584">
        <w:rPr>
          <w:rFonts w:cs="Arial"/>
          <w:b/>
          <w:bCs/>
          <w:color w:val="000000" w:themeColor="text1"/>
          <w:szCs w:val="24"/>
        </w:rPr>
        <w:t xml:space="preserve">, that the recommendation be adopted. </w:t>
      </w:r>
    </w:p>
    <w:p w14:paraId="1A8C89D3" w14:textId="77777777" w:rsidR="004E5534" w:rsidRPr="00540198" w:rsidRDefault="004E5534" w:rsidP="00497F02"/>
    <w:p w14:paraId="1C90351A" w14:textId="0C72C723" w:rsidR="004E5534" w:rsidRDefault="00C94CF7" w:rsidP="00C94CF7">
      <w:pPr>
        <w:pStyle w:val="Heading1"/>
        <w:ind w:left="720" w:hanging="720"/>
        <w:rPr>
          <w:rFonts w:eastAsia="Calibri"/>
        </w:rPr>
      </w:pPr>
      <w:r>
        <w:rPr>
          <w:rFonts w:eastAsia="Calibri"/>
        </w:rPr>
        <w:lastRenderedPageBreak/>
        <w:t>12.</w:t>
      </w:r>
      <w:r>
        <w:rPr>
          <w:rFonts w:eastAsia="Calibri"/>
        </w:rPr>
        <w:tab/>
      </w:r>
      <w:r w:rsidR="004E5534" w:rsidRPr="00C94CF7">
        <w:rPr>
          <w:rFonts w:eastAsia="Calibri"/>
          <w:u w:val="single"/>
        </w:rPr>
        <w:t>Prudential Indicators &amp; Treasury Management – 2024/25 Qtr 2 Report</w:t>
      </w:r>
      <w:r w:rsidR="004E5534" w:rsidRPr="00C94CF7">
        <w:rPr>
          <w:rFonts w:eastAsia="Calibri"/>
        </w:rPr>
        <w:t xml:space="preserve"> </w:t>
      </w:r>
    </w:p>
    <w:p w14:paraId="175D492A" w14:textId="77777777" w:rsidR="00C94CF7" w:rsidRPr="00F64633" w:rsidRDefault="00C94CF7" w:rsidP="00C94CF7">
      <w:pPr>
        <w:tabs>
          <w:tab w:val="left" w:pos="567"/>
        </w:tabs>
        <w:rPr>
          <w:rFonts w:eastAsia="Calibri" w:cs="Arial"/>
          <w:color w:val="000000" w:themeColor="text1"/>
          <w:szCs w:val="24"/>
        </w:rPr>
      </w:pPr>
    </w:p>
    <w:p w14:paraId="4AA3BC9A" w14:textId="5C964048" w:rsidR="00F64633" w:rsidRPr="00F64633" w:rsidRDefault="00F64633" w:rsidP="00F64633">
      <w:pPr>
        <w:pStyle w:val="Header"/>
        <w:rPr>
          <w:rFonts w:cs="Arial"/>
          <w:szCs w:val="24"/>
        </w:rPr>
      </w:pPr>
      <w:r w:rsidRPr="00F64633">
        <w:rPr>
          <w:rFonts w:cs="Arial"/>
          <w:caps/>
          <w:color w:val="000000" w:themeColor="text1"/>
          <w:szCs w:val="24"/>
        </w:rPr>
        <w:t>Previously circulated</w:t>
      </w:r>
      <w:r w:rsidRPr="00F64633">
        <w:rPr>
          <w:rFonts w:cs="Arial"/>
          <w:color w:val="000000" w:themeColor="text1"/>
          <w:szCs w:val="24"/>
        </w:rPr>
        <w:t xml:space="preserve">:- Report from the Director of Corporate Services detailing </w:t>
      </w:r>
      <w:r w:rsidRPr="00F64633">
        <w:rPr>
          <w:rFonts w:cs="Arial"/>
          <w:szCs w:val="24"/>
        </w:rPr>
        <w:t>that in February 2024, Council approved its annual Capital and Treasury Management Strategies, including the setting of Prudential Indicators (PIs) for the current financial year ending 31 March 2025.  Th</w:t>
      </w:r>
      <w:r>
        <w:rPr>
          <w:rFonts w:cs="Arial"/>
          <w:szCs w:val="24"/>
        </w:rPr>
        <w:t>o</w:t>
      </w:r>
      <w:r w:rsidRPr="00F64633">
        <w:rPr>
          <w:rFonts w:cs="Arial"/>
          <w:szCs w:val="24"/>
        </w:rPr>
        <w:t xml:space="preserve">se </w:t>
      </w:r>
      <w:r>
        <w:rPr>
          <w:rFonts w:cs="Arial"/>
          <w:szCs w:val="24"/>
        </w:rPr>
        <w:t xml:space="preserve">were </w:t>
      </w:r>
      <w:r w:rsidRPr="00F64633">
        <w:rPr>
          <w:rFonts w:cs="Arial"/>
          <w:szCs w:val="24"/>
        </w:rPr>
        <w:t xml:space="preserve">statutory requirements in accordance with the Local Government Finance Act (NI) 2011, the CIPFA Prudential Code and the CIPFA Treasury Management Code.  </w:t>
      </w:r>
    </w:p>
    <w:p w14:paraId="06874FE4" w14:textId="77777777" w:rsidR="00F64633" w:rsidRPr="00F64633" w:rsidRDefault="00F64633" w:rsidP="00F64633">
      <w:pPr>
        <w:jc w:val="both"/>
        <w:rPr>
          <w:rFonts w:cs="Arial"/>
          <w:color w:val="000000"/>
          <w:szCs w:val="24"/>
        </w:rPr>
      </w:pPr>
    </w:p>
    <w:p w14:paraId="10109F8B" w14:textId="16D87D66" w:rsidR="00F64633" w:rsidRPr="00F64633" w:rsidRDefault="00F64633" w:rsidP="00F64633">
      <w:pPr>
        <w:pStyle w:val="Header"/>
        <w:rPr>
          <w:rFonts w:cs="Arial"/>
          <w:bCs/>
          <w:szCs w:val="24"/>
        </w:rPr>
      </w:pPr>
      <w:r w:rsidRPr="00F64633">
        <w:rPr>
          <w:rFonts w:cs="Arial"/>
          <w:bCs/>
          <w:szCs w:val="24"/>
        </w:rPr>
        <w:t xml:space="preserve">The purpose of this report </w:t>
      </w:r>
      <w:r w:rsidR="007A0584">
        <w:rPr>
          <w:rFonts w:cs="Arial"/>
          <w:bCs/>
          <w:szCs w:val="24"/>
        </w:rPr>
        <w:t>was</w:t>
      </w:r>
      <w:r w:rsidRPr="00F64633">
        <w:rPr>
          <w:rFonts w:cs="Arial"/>
          <w:bCs/>
          <w:szCs w:val="24"/>
        </w:rPr>
        <w:t xml:space="preserve"> to provide Members with an update on the PIs and treasury management activity as required by the CIPFA Codes, at the end of September 2024. </w:t>
      </w:r>
    </w:p>
    <w:p w14:paraId="68C5566F" w14:textId="77777777" w:rsidR="00F64633" w:rsidRPr="00F64633" w:rsidRDefault="00F64633" w:rsidP="00F64633">
      <w:pPr>
        <w:pStyle w:val="Header"/>
        <w:rPr>
          <w:rFonts w:cs="Arial"/>
          <w:b/>
          <w:bCs/>
          <w:szCs w:val="24"/>
          <w:u w:val="single"/>
        </w:rPr>
      </w:pPr>
    </w:p>
    <w:p w14:paraId="7591D057" w14:textId="77777777" w:rsidR="00F64633" w:rsidRPr="00F64633" w:rsidRDefault="00F64633" w:rsidP="00F64633">
      <w:pPr>
        <w:pStyle w:val="Header"/>
        <w:rPr>
          <w:rFonts w:cs="Arial"/>
          <w:b/>
          <w:bCs/>
          <w:szCs w:val="24"/>
        </w:rPr>
      </w:pPr>
      <w:r w:rsidRPr="00F64633">
        <w:rPr>
          <w:rFonts w:cs="Arial"/>
          <w:b/>
          <w:bCs/>
          <w:szCs w:val="24"/>
        </w:rPr>
        <w:t>1.1 Capital - Expenditure &amp; Financing</w:t>
      </w:r>
    </w:p>
    <w:p w14:paraId="75F288A5" w14:textId="796EE35B" w:rsidR="00F64633" w:rsidRDefault="00F64633" w:rsidP="00F64633">
      <w:pPr>
        <w:pStyle w:val="Header"/>
        <w:rPr>
          <w:rFonts w:cs="Arial"/>
          <w:bCs/>
          <w:szCs w:val="24"/>
        </w:rPr>
      </w:pPr>
      <w:r w:rsidRPr="00F64633">
        <w:rPr>
          <w:rFonts w:cs="Arial"/>
          <w:bCs/>
          <w:szCs w:val="24"/>
        </w:rPr>
        <w:t xml:space="preserve">The PIs for capital expenditure and financing should ensure that, within a clear framework, the capital investment plans of the Council </w:t>
      </w:r>
      <w:r w:rsidR="007A0584">
        <w:rPr>
          <w:rFonts w:cs="Arial"/>
          <w:bCs/>
          <w:szCs w:val="24"/>
        </w:rPr>
        <w:t>were</w:t>
      </w:r>
      <w:r w:rsidRPr="00F64633">
        <w:rPr>
          <w:rFonts w:cs="Arial"/>
          <w:bCs/>
          <w:szCs w:val="24"/>
        </w:rPr>
        <w:t xml:space="preserve"> affordable, prudent and sustainable.  Updates to th</w:t>
      </w:r>
      <w:r w:rsidR="007A0584">
        <w:rPr>
          <w:rFonts w:cs="Arial"/>
          <w:bCs/>
          <w:szCs w:val="24"/>
        </w:rPr>
        <w:t>o</w:t>
      </w:r>
      <w:r w:rsidRPr="00F64633">
        <w:rPr>
          <w:rFonts w:cs="Arial"/>
          <w:bCs/>
          <w:szCs w:val="24"/>
        </w:rPr>
        <w:t xml:space="preserve">se PIs </w:t>
      </w:r>
      <w:r w:rsidR="007A0584">
        <w:rPr>
          <w:rFonts w:cs="Arial"/>
          <w:bCs/>
          <w:szCs w:val="24"/>
        </w:rPr>
        <w:t>were</w:t>
      </w:r>
      <w:r w:rsidRPr="00F64633">
        <w:rPr>
          <w:rFonts w:cs="Arial"/>
          <w:bCs/>
          <w:szCs w:val="24"/>
        </w:rPr>
        <w:t xml:space="preserve"> set out below.</w:t>
      </w:r>
    </w:p>
    <w:p w14:paraId="269CC780" w14:textId="77777777" w:rsidR="00F64633" w:rsidRPr="00F64633" w:rsidRDefault="00F64633" w:rsidP="00F64633">
      <w:pPr>
        <w:pStyle w:val="Header"/>
        <w:rPr>
          <w:rFonts w:cs="Arial"/>
          <w:bCs/>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F64633" w:rsidRPr="006B1B84" w14:paraId="17A76C5D" w14:textId="77777777" w:rsidTr="00BD112E">
        <w:trPr>
          <w:trHeight w:val="567"/>
        </w:trPr>
        <w:tc>
          <w:tcPr>
            <w:tcW w:w="5670" w:type="dxa"/>
            <w:tcBorders>
              <w:top w:val="nil"/>
              <w:left w:val="nil"/>
              <w:bottom w:val="single" w:sz="4" w:space="0" w:color="auto"/>
              <w:right w:val="nil"/>
            </w:tcBorders>
            <w:vAlign w:val="center"/>
          </w:tcPr>
          <w:p w14:paraId="747129A2" w14:textId="77777777" w:rsidR="00F64633" w:rsidRPr="006B1B84" w:rsidRDefault="00F64633" w:rsidP="00BD112E">
            <w:pPr>
              <w:pStyle w:val="ListParagraph"/>
              <w:ind w:left="0"/>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tcPr>
          <w:p w14:paraId="34572A42"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0EFCE9F1"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Revised Forecast</w:t>
            </w:r>
          </w:p>
        </w:tc>
      </w:tr>
      <w:tr w:rsidR="00F64633" w:rsidRPr="006B1B84" w14:paraId="65DBF4CF" w14:textId="77777777" w:rsidTr="00BD112E">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tcPr>
          <w:p w14:paraId="0CF4ECE7" w14:textId="77777777" w:rsidR="00F64633" w:rsidRPr="009F7193" w:rsidRDefault="00F64633" w:rsidP="00BD112E">
            <w:pPr>
              <w:pStyle w:val="ListParagraph"/>
              <w:ind w:left="0"/>
              <w:rPr>
                <w:rFonts w:cs="Arial"/>
                <w:b/>
                <w:color w:val="FFFFFF" w:themeColor="background1"/>
                <w:szCs w:val="24"/>
              </w:rPr>
            </w:pPr>
            <w:r w:rsidRPr="00C81460">
              <w:rPr>
                <w:rFonts w:cs="Arial"/>
                <w:b/>
                <w:color w:val="FFFFFF" w:themeColor="background1"/>
              </w:rPr>
              <w:t>Table 1.11</w:t>
            </w:r>
          </w:p>
        </w:tc>
        <w:tc>
          <w:tcPr>
            <w:tcW w:w="1418" w:type="dxa"/>
            <w:tcBorders>
              <w:top w:val="single" w:sz="4" w:space="0" w:color="auto"/>
              <w:left w:val="single" w:sz="4" w:space="0" w:color="auto"/>
              <w:right w:val="single" w:sz="4" w:space="0" w:color="auto"/>
            </w:tcBorders>
            <w:shd w:val="clear" w:color="auto" w:fill="0070C0"/>
            <w:vAlign w:val="center"/>
          </w:tcPr>
          <w:p w14:paraId="2B31077A"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c>
          <w:tcPr>
            <w:tcW w:w="1417" w:type="dxa"/>
            <w:tcBorders>
              <w:top w:val="single" w:sz="4" w:space="0" w:color="auto"/>
              <w:left w:val="single" w:sz="4" w:space="0" w:color="auto"/>
            </w:tcBorders>
            <w:shd w:val="clear" w:color="auto" w:fill="0070C0"/>
            <w:vAlign w:val="center"/>
          </w:tcPr>
          <w:p w14:paraId="12F89795"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r>
      <w:tr w:rsidR="00F64633" w:rsidRPr="00645626" w14:paraId="34911AFC" w14:textId="77777777" w:rsidTr="00BD112E">
        <w:trPr>
          <w:trHeight w:val="454"/>
        </w:trPr>
        <w:tc>
          <w:tcPr>
            <w:tcW w:w="5670" w:type="dxa"/>
            <w:tcBorders>
              <w:top w:val="single" w:sz="4" w:space="0" w:color="auto"/>
              <w:bottom w:val="single" w:sz="4" w:space="0" w:color="auto"/>
            </w:tcBorders>
            <w:vAlign w:val="center"/>
          </w:tcPr>
          <w:p w14:paraId="424BA68E" w14:textId="77777777" w:rsidR="00F64633" w:rsidRPr="00645626" w:rsidRDefault="00F64633" w:rsidP="00BD112E">
            <w:pPr>
              <w:pStyle w:val="ListParagraph"/>
              <w:ind w:left="0"/>
              <w:rPr>
                <w:rFonts w:cs="Arial"/>
                <w:szCs w:val="24"/>
              </w:rPr>
            </w:pPr>
            <w:r w:rsidRPr="00645626">
              <w:rPr>
                <w:rFonts w:cs="Arial"/>
                <w:szCs w:val="24"/>
              </w:rPr>
              <w:t>Capital Expenditure 20</w:t>
            </w:r>
            <w:r>
              <w:rPr>
                <w:rFonts w:cs="Arial"/>
                <w:szCs w:val="24"/>
              </w:rPr>
              <w:t>24</w:t>
            </w:r>
            <w:r w:rsidRPr="00645626">
              <w:rPr>
                <w:rFonts w:cs="Arial"/>
                <w:szCs w:val="24"/>
              </w:rPr>
              <w:t>/</w:t>
            </w:r>
            <w:r>
              <w:rPr>
                <w:rFonts w:cs="Arial"/>
                <w:szCs w:val="24"/>
              </w:rPr>
              <w:t>25</w:t>
            </w:r>
            <w:r w:rsidRPr="00645626">
              <w:rPr>
                <w:rFonts w:cs="Arial"/>
                <w:szCs w:val="24"/>
              </w:rPr>
              <w:t xml:space="preserve"> (Current Year)</w:t>
            </w:r>
          </w:p>
        </w:tc>
        <w:tc>
          <w:tcPr>
            <w:tcW w:w="1418" w:type="dxa"/>
            <w:vAlign w:val="center"/>
          </w:tcPr>
          <w:p w14:paraId="6B416B00" w14:textId="77777777" w:rsidR="00F64633" w:rsidRPr="00645626" w:rsidRDefault="00F64633" w:rsidP="00BD112E">
            <w:pPr>
              <w:pStyle w:val="ListParagraph"/>
              <w:ind w:left="0"/>
              <w:jc w:val="right"/>
              <w:rPr>
                <w:rFonts w:cs="Arial"/>
                <w:szCs w:val="24"/>
              </w:rPr>
            </w:pPr>
            <w:r>
              <w:rPr>
                <w:rFonts w:cs="Arial"/>
                <w:szCs w:val="24"/>
              </w:rPr>
              <w:t>19.41</w:t>
            </w:r>
          </w:p>
        </w:tc>
        <w:tc>
          <w:tcPr>
            <w:tcW w:w="1417" w:type="dxa"/>
            <w:shd w:val="clear" w:color="auto" w:fill="F2CEED" w:themeFill="accent5" w:themeFillTint="33"/>
            <w:vAlign w:val="center"/>
          </w:tcPr>
          <w:p w14:paraId="47B2E1E6" w14:textId="77777777" w:rsidR="00F64633" w:rsidRPr="00645626" w:rsidRDefault="00F64633" w:rsidP="00BD112E">
            <w:pPr>
              <w:pStyle w:val="ListParagraph"/>
              <w:ind w:left="0"/>
              <w:jc w:val="right"/>
              <w:rPr>
                <w:rFonts w:cs="Arial"/>
                <w:szCs w:val="24"/>
              </w:rPr>
            </w:pPr>
            <w:r>
              <w:rPr>
                <w:rFonts w:cs="Arial"/>
                <w:szCs w:val="24"/>
              </w:rPr>
              <w:t>13.39</w:t>
            </w:r>
          </w:p>
        </w:tc>
      </w:tr>
    </w:tbl>
    <w:p w14:paraId="3DC4F4A3" w14:textId="77777777" w:rsidR="00F64633" w:rsidRPr="00C24B47" w:rsidRDefault="00F64633" w:rsidP="00C24B47">
      <w:pPr>
        <w:pStyle w:val="Header"/>
        <w:rPr>
          <w:rFonts w:cs="Arial"/>
          <w:bCs/>
          <w:szCs w:val="24"/>
        </w:rPr>
      </w:pPr>
    </w:p>
    <w:p w14:paraId="47E9E8CE" w14:textId="2F102751" w:rsidR="00F64633" w:rsidRPr="00C24B47" w:rsidRDefault="00F64633" w:rsidP="00C24B47">
      <w:pPr>
        <w:pStyle w:val="Header"/>
        <w:rPr>
          <w:rFonts w:cs="Arial"/>
          <w:bCs/>
          <w:color w:val="FF0000"/>
          <w:szCs w:val="24"/>
        </w:rPr>
      </w:pPr>
      <w:r w:rsidRPr="00C24B47">
        <w:rPr>
          <w:rFonts w:cs="Arial"/>
          <w:bCs/>
          <w:szCs w:val="24"/>
        </w:rPr>
        <w:t>The original estimate of £19.41M ha</w:t>
      </w:r>
      <w:r w:rsidR="007A0584">
        <w:rPr>
          <w:rFonts w:cs="Arial"/>
          <w:bCs/>
          <w:szCs w:val="24"/>
        </w:rPr>
        <w:t>d</w:t>
      </w:r>
      <w:r w:rsidRPr="00C24B47">
        <w:rPr>
          <w:rFonts w:cs="Arial"/>
          <w:bCs/>
          <w:szCs w:val="24"/>
        </w:rPr>
        <w:t xml:space="preserve"> been revised to </w:t>
      </w:r>
      <w:r w:rsidRPr="00C24B47">
        <w:rPr>
          <w:rFonts w:cs="Arial"/>
          <w:bCs/>
          <w:color w:val="000000" w:themeColor="text1"/>
          <w:szCs w:val="24"/>
        </w:rPr>
        <w:t>£13.39M</w:t>
      </w:r>
      <w:r w:rsidRPr="00C24B47">
        <w:rPr>
          <w:rFonts w:cs="Arial"/>
          <w:bCs/>
          <w:szCs w:val="24"/>
        </w:rPr>
        <w:t xml:space="preserve">, reflecting the capital expenditure that </w:t>
      </w:r>
      <w:r w:rsidR="007A0584">
        <w:rPr>
          <w:rFonts w:cs="Arial"/>
          <w:bCs/>
          <w:szCs w:val="24"/>
        </w:rPr>
        <w:t>was</w:t>
      </w:r>
      <w:r w:rsidRPr="00C24B47">
        <w:rPr>
          <w:rFonts w:cs="Arial"/>
          <w:bCs/>
          <w:szCs w:val="24"/>
        </w:rPr>
        <w:t xml:space="preserve"> now expected to be incurred by 31 March 2025. Th</w:t>
      </w:r>
      <w:r w:rsidR="007A0584">
        <w:rPr>
          <w:rFonts w:cs="Arial"/>
          <w:bCs/>
          <w:szCs w:val="24"/>
        </w:rPr>
        <w:t>at was</w:t>
      </w:r>
      <w:r w:rsidRPr="00C24B47">
        <w:rPr>
          <w:rFonts w:cs="Arial"/>
          <w:bCs/>
          <w:szCs w:val="24"/>
        </w:rPr>
        <w:t xml:space="preserve"> consistent with the deliverability risks outlined in the 2024/25 budget strategy, where it was reported that capital ambition </w:t>
      </w:r>
      <w:r w:rsidR="007A0584">
        <w:rPr>
          <w:rFonts w:cs="Arial"/>
          <w:bCs/>
          <w:szCs w:val="24"/>
        </w:rPr>
        <w:t>was</w:t>
      </w:r>
      <w:r w:rsidRPr="00C24B47">
        <w:rPr>
          <w:rFonts w:cs="Arial"/>
          <w:bCs/>
          <w:szCs w:val="24"/>
        </w:rPr>
        <w:t xml:space="preserve"> not being matched by delivery due to reasons including Officer resource, business readiness and planning and funding delays. The main schemes impacted by such risks for this reporting period </w:t>
      </w:r>
      <w:r w:rsidR="007A0584">
        <w:rPr>
          <w:rFonts w:cs="Arial"/>
          <w:bCs/>
          <w:szCs w:val="24"/>
        </w:rPr>
        <w:t xml:space="preserve">were </w:t>
      </w:r>
      <w:r w:rsidRPr="00C24B47">
        <w:rPr>
          <w:rFonts w:cs="Arial"/>
          <w:bCs/>
          <w:szCs w:val="24"/>
        </w:rPr>
        <w:t>Bangor Waterfront, Greenways, Ward Park Redevelopment, 3G Pitches and the Digital Innovation Hub.</w:t>
      </w:r>
    </w:p>
    <w:p w14:paraId="73950DA2" w14:textId="77777777" w:rsidR="00F64633" w:rsidRPr="00C24B47" w:rsidRDefault="00F64633" w:rsidP="00C24B47">
      <w:pPr>
        <w:pStyle w:val="Header"/>
        <w:rPr>
          <w:rFonts w:cs="Arial"/>
          <w:bCs/>
          <w:szCs w:val="24"/>
        </w:rPr>
      </w:pPr>
    </w:p>
    <w:p w14:paraId="38390826" w14:textId="7FEA7348" w:rsidR="00F64633" w:rsidRPr="00C24B47" w:rsidRDefault="00F64633" w:rsidP="00C24B47">
      <w:pPr>
        <w:pStyle w:val="Header"/>
        <w:rPr>
          <w:rFonts w:cs="Arial"/>
          <w:bCs/>
          <w:szCs w:val="24"/>
        </w:rPr>
      </w:pPr>
      <w:r w:rsidRPr="00C24B47">
        <w:rPr>
          <w:rFonts w:cs="Arial"/>
          <w:bCs/>
          <w:szCs w:val="24"/>
        </w:rPr>
        <w:t xml:space="preserve">The revised capital expenditure forecasts for the three-year plan, together with the capital financing implications and previous year activity </w:t>
      </w:r>
      <w:r w:rsidR="007A0584">
        <w:rPr>
          <w:rFonts w:cs="Arial"/>
          <w:bCs/>
          <w:szCs w:val="24"/>
        </w:rPr>
        <w:t>were</w:t>
      </w:r>
      <w:r w:rsidRPr="00C24B47">
        <w:rPr>
          <w:rFonts w:cs="Arial"/>
          <w:bCs/>
          <w:szCs w:val="24"/>
        </w:rPr>
        <w:t xml:space="preserve"> summarised below.</w:t>
      </w:r>
    </w:p>
    <w:p w14:paraId="7EFA5CDD" w14:textId="77777777" w:rsidR="00F64633" w:rsidRPr="00470D2F" w:rsidRDefault="00F64633" w:rsidP="00F64633">
      <w:pPr>
        <w:pStyle w:val="Header"/>
        <w:jc w:val="both"/>
        <w:rPr>
          <w:rFonts w:cs="Arial"/>
          <w:bCs/>
          <w:sz w:val="20"/>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F64633" w:rsidRPr="00162383" w14:paraId="4C012F29" w14:textId="77777777" w:rsidTr="00BD112E">
        <w:trPr>
          <w:trHeight w:val="340"/>
        </w:trPr>
        <w:tc>
          <w:tcPr>
            <w:tcW w:w="3082" w:type="dxa"/>
            <w:tcBorders>
              <w:top w:val="nil"/>
              <w:left w:val="nil"/>
              <w:bottom w:val="nil"/>
              <w:right w:val="nil"/>
            </w:tcBorders>
            <w:vAlign w:val="center"/>
          </w:tcPr>
          <w:p w14:paraId="65C979ED" w14:textId="77777777" w:rsidR="00F64633" w:rsidRPr="006B1B84" w:rsidRDefault="00F64633" w:rsidP="00BD112E">
            <w:pPr>
              <w:pStyle w:val="ListParagraph"/>
              <w:ind w:left="0"/>
              <w:rPr>
                <w:rFonts w:cs="Arial"/>
                <w:szCs w:val="24"/>
              </w:rPr>
            </w:pPr>
          </w:p>
        </w:tc>
        <w:tc>
          <w:tcPr>
            <w:tcW w:w="1562" w:type="dxa"/>
            <w:tcBorders>
              <w:top w:val="single" w:sz="4" w:space="0" w:color="auto"/>
              <w:left w:val="single" w:sz="4" w:space="0" w:color="auto"/>
              <w:bottom w:val="single" w:sz="4" w:space="0" w:color="auto"/>
            </w:tcBorders>
            <w:shd w:val="clear" w:color="auto" w:fill="0070C0"/>
            <w:vAlign w:val="center"/>
          </w:tcPr>
          <w:p w14:paraId="7D576BCF"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Actual</w:t>
            </w:r>
          </w:p>
        </w:tc>
        <w:tc>
          <w:tcPr>
            <w:tcW w:w="3969" w:type="dxa"/>
            <w:gridSpan w:val="3"/>
            <w:tcBorders>
              <w:top w:val="single" w:sz="4" w:space="0" w:color="auto"/>
              <w:left w:val="single" w:sz="4" w:space="0" w:color="auto"/>
              <w:bottom w:val="single" w:sz="4" w:space="0" w:color="auto"/>
            </w:tcBorders>
            <w:shd w:val="clear" w:color="auto" w:fill="0070C0"/>
            <w:vAlign w:val="center"/>
          </w:tcPr>
          <w:p w14:paraId="1DCFE7ED"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Revised Forecast</w:t>
            </w:r>
          </w:p>
        </w:tc>
      </w:tr>
      <w:tr w:rsidR="00F64633" w:rsidRPr="00162383" w14:paraId="6403F28C" w14:textId="77777777" w:rsidTr="00BD112E">
        <w:trPr>
          <w:trHeight w:val="340"/>
        </w:trPr>
        <w:tc>
          <w:tcPr>
            <w:tcW w:w="3082" w:type="dxa"/>
            <w:tcBorders>
              <w:top w:val="nil"/>
              <w:left w:val="nil"/>
              <w:bottom w:val="nil"/>
              <w:right w:val="single" w:sz="4" w:space="0" w:color="auto"/>
            </w:tcBorders>
            <w:vAlign w:val="center"/>
          </w:tcPr>
          <w:p w14:paraId="647B1D58" w14:textId="77777777" w:rsidR="00F64633" w:rsidRPr="006B1B84" w:rsidRDefault="00F64633" w:rsidP="00BD112E">
            <w:pPr>
              <w:pStyle w:val="ListParagraph"/>
              <w:ind w:left="0"/>
              <w:rPr>
                <w:rFonts w:cs="Arial"/>
                <w:b/>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tcPr>
          <w:p w14:paraId="6221B6EC"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202</w:t>
            </w:r>
            <w:r>
              <w:rPr>
                <w:rFonts w:cs="Arial"/>
                <w:b/>
                <w:color w:val="FFFFFF" w:themeColor="background1"/>
              </w:rPr>
              <w:t>3</w:t>
            </w:r>
            <w:r w:rsidRPr="00C81460">
              <w:rPr>
                <w:rFonts w:cs="Arial"/>
                <w:b/>
                <w:color w:val="FFFFFF" w:themeColor="background1"/>
              </w:rPr>
              <w:t>/2</w:t>
            </w:r>
            <w:r>
              <w:rPr>
                <w:rFonts w:cs="Arial"/>
                <w:b/>
                <w:color w:val="FFFFFF" w:themeColor="background1"/>
              </w:rPr>
              <w:t>4</w:t>
            </w:r>
          </w:p>
        </w:tc>
        <w:tc>
          <w:tcPr>
            <w:tcW w:w="1276" w:type="dxa"/>
            <w:tcBorders>
              <w:top w:val="single" w:sz="4" w:space="0" w:color="auto"/>
              <w:left w:val="single" w:sz="4" w:space="0" w:color="auto"/>
            </w:tcBorders>
            <w:shd w:val="clear" w:color="auto" w:fill="0070C0"/>
            <w:vAlign w:val="center"/>
          </w:tcPr>
          <w:p w14:paraId="42736289" w14:textId="77777777" w:rsidR="00F64633" w:rsidRPr="001B5A65" w:rsidRDefault="00F64633" w:rsidP="00BD112E">
            <w:pPr>
              <w:pStyle w:val="ListParagraph"/>
              <w:ind w:left="0"/>
              <w:jc w:val="center"/>
              <w:rPr>
                <w:rFonts w:cs="Arial"/>
                <w:b/>
                <w:color w:val="FFFFFF" w:themeColor="background1"/>
              </w:rPr>
            </w:pPr>
            <w:r w:rsidRPr="001B5A65">
              <w:rPr>
                <w:rFonts w:cs="Arial"/>
                <w:b/>
                <w:color w:val="FFFFFF" w:themeColor="background1"/>
              </w:rPr>
              <w:t>2024/25</w:t>
            </w:r>
          </w:p>
        </w:tc>
        <w:tc>
          <w:tcPr>
            <w:tcW w:w="1417" w:type="dxa"/>
            <w:shd w:val="clear" w:color="auto" w:fill="0070C0"/>
            <w:vAlign w:val="center"/>
          </w:tcPr>
          <w:p w14:paraId="5F9803B3"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202</w:t>
            </w:r>
            <w:r>
              <w:rPr>
                <w:rFonts w:cs="Arial"/>
                <w:b/>
                <w:color w:val="FFFFFF" w:themeColor="background1"/>
              </w:rPr>
              <w:t>5</w:t>
            </w:r>
            <w:r w:rsidRPr="00C81460">
              <w:rPr>
                <w:rFonts w:cs="Arial"/>
                <w:b/>
                <w:color w:val="FFFFFF" w:themeColor="background1"/>
              </w:rPr>
              <w:t>/2</w:t>
            </w:r>
            <w:r>
              <w:rPr>
                <w:rFonts w:cs="Arial"/>
                <w:b/>
                <w:color w:val="FFFFFF" w:themeColor="background1"/>
              </w:rPr>
              <w:t>6</w:t>
            </w:r>
          </w:p>
        </w:tc>
        <w:tc>
          <w:tcPr>
            <w:tcW w:w="1276" w:type="dxa"/>
            <w:shd w:val="clear" w:color="auto" w:fill="0070C0"/>
            <w:vAlign w:val="center"/>
          </w:tcPr>
          <w:p w14:paraId="65D2D360"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202</w:t>
            </w:r>
            <w:r>
              <w:rPr>
                <w:rFonts w:cs="Arial"/>
                <w:b/>
                <w:color w:val="FFFFFF" w:themeColor="background1"/>
              </w:rPr>
              <w:t>6</w:t>
            </w:r>
            <w:r w:rsidRPr="00C81460">
              <w:rPr>
                <w:rFonts w:cs="Arial"/>
                <w:b/>
                <w:color w:val="FFFFFF" w:themeColor="background1"/>
              </w:rPr>
              <w:t>/2</w:t>
            </w:r>
            <w:r>
              <w:rPr>
                <w:rFonts w:cs="Arial"/>
                <w:b/>
                <w:color w:val="FFFFFF" w:themeColor="background1"/>
              </w:rPr>
              <w:t>7</w:t>
            </w:r>
          </w:p>
        </w:tc>
      </w:tr>
      <w:tr w:rsidR="00F64633" w:rsidRPr="00162383" w14:paraId="49E567A1" w14:textId="77777777" w:rsidTr="00BD112E">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tcPr>
          <w:p w14:paraId="067CDB8D" w14:textId="77777777" w:rsidR="00F64633" w:rsidRPr="006B1B84" w:rsidRDefault="00F64633" w:rsidP="00BD112E">
            <w:pPr>
              <w:pStyle w:val="ListParagraph"/>
              <w:ind w:left="0"/>
              <w:rPr>
                <w:rFonts w:cs="Arial"/>
                <w:b/>
                <w:szCs w:val="24"/>
              </w:rPr>
            </w:pPr>
            <w:r w:rsidRPr="00C81460">
              <w:rPr>
                <w:rFonts w:cs="Arial"/>
                <w:b/>
                <w:color w:val="FFFFFF" w:themeColor="background1"/>
              </w:rPr>
              <w:t>Table 1.12</w:t>
            </w:r>
          </w:p>
        </w:tc>
        <w:tc>
          <w:tcPr>
            <w:tcW w:w="1562" w:type="dxa"/>
            <w:tcBorders>
              <w:top w:val="single" w:sz="4" w:space="0" w:color="auto"/>
              <w:left w:val="single" w:sz="4" w:space="0" w:color="auto"/>
              <w:right w:val="single" w:sz="4" w:space="0" w:color="auto"/>
            </w:tcBorders>
            <w:shd w:val="clear" w:color="auto" w:fill="0070C0"/>
            <w:vAlign w:val="center"/>
          </w:tcPr>
          <w:p w14:paraId="7EFF58E8"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c>
          <w:tcPr>
            <w:tcW w:w="1276" w:type="dxa"/>
            <w:tcBorders>
              <w:top w:val="single" w:sz="4" w:space="0" w:color="auto"/>
              <w:left w:val="single" w:sz="4" w:space="0" w:color="auto"/>
            </w:tcBorders>
            <w:shd w:val="clear" w:color="auto" w:fill="0070C0"/>
            <w:vAlign w:val="center"/>
          </w:tcPr>
          <w:p w14:paraId="2502AE53" w14:textId="77777777" w:rsidR="00F64633" w:rsidRPr="001B5A65" w:rsidRDefault="00F64633" w:rsidP="00BD112E">
            <w:pPr>
              <w:pStyle w:val="ListParagraph"/>
              <w:ind w:left="0"/>
              <w:jc w:val="center"/>
              <w:rPr>
                <w:rFonts w:cs="Arial"/>
                <w:b/>
                <w:color w:val="FFFFFF" w:themeColor="background1"/>
              </w:rPr>
            </w:pPr>
            <w:r w:rsidRPr="001B5A65">
              <w:rPr>
                <w:rFonts w:cs="Arial"/>
                <w:b/>
                <w:color w:val="FFFFFF" w:themeColor="background1"/>
              </w:rPr>
              <w:t>£</w:t>
            </w:r>
            <w:r>
              <w:rPr>
                <w:rFonts w:cs="Arial"/>
                <w:b/>
                <w:color w:val="FFFFFF" w:themeColor="background1"/>
              </w:rPr>
              <w:t>M</w:t>
            </w:r>
          </w:p>
        </w:tc>
        <w:tc>
          <w:tcPr>
            <w:tcW w:w="1417" w:type="dxa"/>
            <w:shd w:val="clear" w:color="auto" w:fill="0070C0"/>
            <w:vAlign w:val="center"/>
          </w:tcPr>
          <w:p w14:paraId="72E66B4F"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c>
          <w:tcPr>
            <w:tcW w:w="1276" w:type="dxa"/>
            <w:shd w:val="clear" w:color="auto" w:fill="0070C0"/>
            <w:vAlign w:val="center"/>
          </w:tcPr>
          <w:p w14:paraId="0CAFA8A5"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r>
      <w:tr w:rsidR="00F64633" w:rsidRPr="006B1B84" w14:paraId="3F8C215F" w14:textId="77777777" w:rsidTr="00BD112E">
        <w:trPr>
          <w:trHeight w:val="397"/>
        </w:trPr>
        <w:tc>
          <w:tcPr>
            <w:tcW w:w="3082" w:type="dxa"/>
            <w:tcBorders>
              <w:top w:val="single" w:sz="4" w:space="0" w:color="auto"/>
              <w:bottom w:val="single" w:sz="4" w:space="0" w:color="auto"/>
            </w:tcBorders>
            <w:vAlign w:val="center"/>
          </w:tcPr>
          <w:p w14:paraId="00C57358" w14:textId="77777777" w:rsidR="00F64633" w:rsidRPr="006B1B84" w:rsidRDefault="00F64633" w:rsidP="00BD112E">
            <w:pPr>
              <w:pStyle w:val="ListParagraph"/>
              <w:ind w:left="0"/>
              <w:rPr>
                <w:rFonts w:cs="Arial"/>
                <w:szCs w:val="24"/>
              </w:rPr>
            </w:pPr>
            <w:r>
              <w:rPr>
                <w:rFonts w:cs="Arial"/>
                <w:szCs w:val="24"/>
              </w:rPr>
              <w:t>Capital Expenditure</w:t>
            </w:r>
          </w:p>
        </w:tc>
        <w:tc>
          <w:tcPr>
            <w:tcW w:w="1562" w:type="dxa"/>
            <w:vAlign w:val="center"/>
          </w:tcPr>
          <w:p w14:paraId="31E6A101" w14:textId="77777777" w:rsidR="00F64633" w:rsidRPr="00307CA8" w:rsidRDefault="00F64633" w:rsidP="00BD112E">
            <w:pPr>
              <w:pStyle w:val="ListParagraph"/>
              <w:ind w:left="0"/>
              <w:jc w:val="right"/>
              <w:rPr>
                <w:rFonts w:cs="Arial"/>
                <w:szCs w:val="24"/>
              </w:rPr>
            </w:pPr>
            <w:r>
              <w:rPr>
                <w:rFonts w:cs="Arial"/>
                <w:szCs w:val="24"/>
              </w:rPr>
              <w:t>6.51</w:t>
            </w:r>
          </w:p>
        </w:tc>
        <w:tc>
          <w:tcPr>
            <w:tcW w:w="1276" w:type="dxa"/>
            <w:shd w:val="clear" w:color="auto" w:fill="F2CEED" w:themeFill="accent5" w:themeFillTint="33"/>
            <w:vAlign w:val="center"/>
          </w:tcPr>
          <w:p w14:paraId="77BB7961" w14:textId="77777777" w:rsidR="00F64633" w:rsidRPr="001B5A65" w:rsidRDefault="00F64633" w:rsidP="00BD112E">
            <w:pPr>
              <w:pStyle w:val="ListParagraph"/>
              <w:ind w:left="0"/>
              <w:jc w:val="right"/>
              <w:rPr>
                <w:rFonts w:cs="Arial"/>
                <w:szCs w:val="24"/>
              </w:rPr>
            </w:pPr>
            <w:r w:rsidRPr="001B5A65">
              <w:rPr>
                <w:rFonts w:cs="Arial"/>
                <w:szCs w:val="24"/>
              </w:rPr>
              <w:t>13.39</w:t>
            </w:r>
          </w:p>
        </w:tc>
        <w:tc>
          <w:tcPr>
            <w:tcW w:w="1417" w:type="dxa"/>
            <w:vAlign w:val="center"/>
          </w:tcPr>
          <w:p w14:paraId="6E2C77A8" w14:textId="77777777" w:rsidR="00F64633" w:rsidRPr="00307CA8" w:rsidRDefault="00F64633" w:rsidP="00BD112E">
            <w:pPr>
              <w:pStyle w:val="ListParagraph"/>
              <w:ind w:left="0"/>
              <w:jc w:val="right"/>
              <w:rPr>
                <w:rFonts w:cs="Arial"/>
                <w:szCs w:val="24"/>
              </w:rPr>
            </w:pPr>
            <w:r>
              <w:rPr>
                <w:rFonts w:cs="Arial"/>
                <w:szCs w:val="24"/>
              </w:rPr>
              <w:t>23.54</w:t>
            </w:r>
          </w:p>
        </w:tc>
        <w:tc>
          <w:tcPr>
            <w:tcW w:w="1276" w:type="dxa"/>
            <w:vAlign w:val="center"/>
          </w:tcPr>
          <w:p w14:paraId="3AF7628A" w14:textId="77777777" w:rsidR="00F64633" w:rsidRPr="006925FD" w:rsidRDefault="00F64633" w:rsidP="00BD112E">
            <w:pPr>
              <w:pStyle w:val="ListParagraph"/>
              <w:ind w:left="0"/>
              <w:jc w:val="right"/>
              <w:rPr>
                <w:rFonts w:cs="Arial"/>
                <w:bCs/>
                <w:szCs w:val="24"/>
              </w:rPr>
            </w:pPr>
            <w:r>
              <w:rPr>
                <w:rFonts w:cs="Arial"/>
                <w:bCs/>
                <w:szCs w:val="24"/>
              </w:rPr>
              <w:t>35.50</w:t>
            </w:r>
          </w:p>
        </w:tc>
      </w:tr>
      <w:tr w:rsidR="00F64633" w14:paraId="6766626B" w14:textId="77777777" w:rsidTr="00BD112E">
        <w:trPr>
          <w:trHeight w:val="340"/>
        </w:trPr>
        <w:tc>
          <w:tcPr>
            <w:tcW w:w="3082" w:type="dxa"/>
            <w:tcBorders>
              <w:top w:val="single" w:sz="4" w:space="0" w:color="auto"/>
              <w:bottom w:val="single" w:sz="4" w:space="0" w:color="auto"/>
            </w:tcBorders>
            <w:shd w:val="clear" w:color="auto" w:fill="D9D9D9" w:themeFill="background1" w:themeFillShade="D9"/>
            <w:vAlign w:val="center"/>
          </w:tcPr>
          <w:p w14:paraId="7DE92029" w14:textId="77777777" w:rsidR="00F64633" w:rsidRPr="004A3A14" w:rsidRDefault="00F64633" w:rsidP="00BD112E">
            <w:pPr>
              <w:pStyle w:val="ListParagraph"/>
              <w:ind w:left="0"/>
              <w:rPr>
                <w:rFonts w:cs="Arial"/>
                <w:b/>
                <w:szCs w:val="24"/>
              </w:rPr>
            </w:pPr>
            <w:r w:rsidRPr="004A3A14">
              <w:rPr>
                <w:rFonts w:cs="Arial"/>
                <w:b/>
                <w:szCs w:val="24"/>
              </w:rPr>
              <w:t>Financed by:</w:t>
            </w:r>
          </w:p>
        </w:tc>
        <w:tc>
          <w:tcPr>
            <w:tcW w:w="1562" w:type="dxa"/>
            <w:shd w:val="clear" w:color="auto" w:fill="D9D9D9" w:themeFill="background1" w:themeFillShade="D9"/>
            <w:vAlign w:val="center"/>
          </w:tcPr>
          <w:p w14:paraId="7383BF40" w14:textId="77777777" w:rsidR="00F64633" w:rsidRPr="004A3A14" w:rsidRDefault="00F64633" w:rsidP="00BD112E">
            <w:pPr>
              <w:pStyle w:val="ListParagraph"/>
              <w:ind w:left="0"/>
              <w:jc w:val="right"/>
              <w:rPr>
                <w:rFonts w:cs="Arial"/>
                <w:szCs w:val="24"/>
              </w:rPr>
            </w:pPr>
          </w:p>
        </w:tc>
        <w:tc>
          <w:tcPr>
            <w:tcW w:w="1276" w:type="dxa"/>
            <w:shd w:val="clear" w:color="auto" w:fill="D9D9D9" w:themeFill="background1" w:themeFillShade="D9"/>
            <w:vAlign w:val="center"/>
          </w:tcPr>
          <w:p w14:paraId="204CEBEB" w14:textId="77777777" w:rsidR="00F64633" w:rsidRPr="001B5A65" w:rsidRDefault="00F64633" w:rsidP="00BD112E">
            <w:pPr>
              <w:pStyle w:val="ListParagraph"/>
              <w:ind w:left="0"/>
              <w:jc w:val="right"/>
              <w:rPr>
                <w:rFonts w:cs="Arial"/>
                <w:szCs w:val="24"/>
              </w:rPr>
            </w:pPr>
          </w:p>
        </w:tc>
        <w:tc>
          <w:tcPr>
            <w:tcW w:w="1417" w:type="dxa"/>
            <w:shd w:val="clear" w:color="auto" w:fill="D9D9D9" w:themeFill="background1" w:themeFillShade="D9"/>
            <w:vAlign w:val="center"/>
          </w:tcPr>
          <w:p w14:paraId="42035EFA" w14:textId="77777777" w:rsidR="00F64633" w:rsidRPr="004A3A14" w:rsidRDefault="00F64633" w:rsidP="00BD112E">
            <w:pPr>
              <w:pStyle w:val="ListParagraph"/>
              <w:ind w:left="0"/>
              <w:jc w:val="right"/>
              <w:rPr>
                <w:rFonts w:cs="Arial"/>
                <w:szCs w:val="24"/>
              </w:rPr>
            </w:pPr>
          </w:p>
        </w:tc>
        <w:tc>
          <w:tcPr>
            <w:tcW w:w="1276" w:type="dxa"/>
            <w:shd w:val="clear" w:color="auto" w:fill="D9D9D9" w:themeFill="background1" w:themeFillShade="D9"/>
            <w:vAlign w:val="center"/>
          </w:tcPr>
          <w:p w14:paraId="165F7709" w14:textId="77777777" w:rsidR="00F64633" w:rsidRPr="004A3A14" w:rsidRDefault="00F64633" w:rsidP="00BD112E">
            <w:pPr>
              <w:pStyle w:val="ListParagraph"/>
              <w:ind w:left="0"/>
              <w:jc w:val="right"/>
              <w:rPr>
                <w:rFonts w:cs="Arial"/>
                <w:bCs/>
                <w:szCs w:val="24"/>
              </w:rPr>
            </w:pPr>
          </w:p>
        </w:tc>
      </w:tr>
      <w:tr w:rsidR="00F64633" w14:paraId="023450C2" w14:textId="77777777" w:rsidTr="00BD112E">
        <w:trPr>
          <w:trHeight w:val="397"/>
        </w:trPr>
        <w:tc>
          <w:tcPr>
            <w:tcW w:w="3082" w:type="dxa"/>
            <w:tcBorders>
              <w:top w:val="single" w:sz="4" w:space="0" w:color="auto"/>
              <w:bottom w:val="single" w:sz="4" w:space="0" w:color="auto"/>
            </w:tcBorders>
            <w:vAlign w:val="center"/>
          </w:tcPr>
          <w:p w14:paraId="5DDA8E04" w14:textId="77777777" w:rsidR="00F64633" w:rsidRDefault="00F64633" w:rsidP="00BD112E">
            <w:pPr>
              <w:pStyle w:val="ListParagraph"/>
              <w:ind w:left="0"/>
              <w:rPr>
                <w:rFonts w:cs="Arial"/>
                <w:szCs w:val="24"/>
              </w:rPr>
            </w:pPr>
            <w:r>
              <w:rPr>
                <w:rFonts w:cs="Arial"/>
                <w:szCs w:val="24"/>
              </w:rPr>
              <w:t>Loans</w:t>
            </w:r>
          </w:p>
        </w:tc>
        <w:tc>
          <w:tcPr>
            <w:tcW w:w="1562" w:type="dxa"/>
            <w:vAlign w:val="center"/>
          </w:tcPr>
          <w:p w14:paraId="248725EB" w14:textId="77777777" w:rsidR="00F64633" w:rsidRDefault="00F64633" w:rsidP="00BD112E">
            <w:pPr>
              <w:pStyle w:val="ListParagraph"/>
              <w:ind w:left="0"/>
              <w:jc w:val="right"/>
              <w:rPr>
                <w:rFonts w:cs="Arial"/>
                <w:szCs w:val="24"/>
              </w:rPr>
            </w:pPr>
            <w:r>
              <w:rPr>
                <w:rFonts w:cs="Arial"/>
                <w:szCs w:val="24"/>
              </w:rPr>
              <w:t xml:space="preserve"> 4.20</w:t>
            </w:r>
          </w:p>
        </w:tc>
        <w:tc>
          <w:tcPr>
            <w:tcW w:w="1276" w:type="dxa"/>
            <w:shd w:val="clear" w:color="auto" w:fill="F2CEED" w:themeFill="accent5" w:themeFillTint="33"/>
            <w:vAlign w:val="center"/>
          </w:tcPr>
          <w:p w14:paraId="6FC66283" w14:textId="77777777" w:rsidR="00F64633" w:rsidRPr="001B5A65" w:rsidRDefault="00F64633" w:rsidP="00BD112E">
            <w:pPr>
              <w:pStyle w:val="ListParagraph"/>
              <w:ind w:left="0"/>
              <w:jc w:val="right"/>
              <w:rPr>
                <w:rFonts w:cs="Arial"/>
                <w:szCs w:val="24"/>
              </w:rPr>
            </w:pPr>
            <w:r w:rsidRPr="001B5A65">
              <w:rPr>
                <w:rFonts w:cs="Arial"/>
                <w:szCs w:val="24"/>
              </w:rPr>
              <w:t>5.89</w:t>
            </w:r>
          </w:p>
        </w:tc>
        <w:tc>
          <w:tcPr>
            <w:tcW w:w="1417" w:type="dxa"/>
            <w:vAlign w:val="center"/>
          </w:tcPr>
          <w:p w14:paraId="28BE39FF" w14:textId="77777777" w:rsidR="00F64633" w:rsidRDefault="00F64633" w:rsidP="00BD112E">
            <w:pPr>
              <w:pStyle w:val="ListParagraph"/>
              <w:ind w:left="0"/>
              <w:jc w:val="right"/>
              <w:rPr>
                <w:rFonts w:cs="Arial"/>
                <w:szCs w:val="24"/>
              </w:rPr>
            </w:pPr>
            <w:r>
              <w:rPr>
                <w:rFonts w:cs="Arial"/>
                <w:szCs w:val="24"/>
              </w:rPr>
              <w:t>14.13</w:t>
            </w:r>
          </w:p>
        </w:tc>
        <w:tc>
          <w:tcPr>
            <w:tcW w:w="1276" w:type="dxa"/>
            <w:vAlign w:val="center"/>
          </w:tcPr>
          <w:p w14:paraId="24C3AF99" w14:textId="77777777" w:rsidR="00F64633" w:rsidRPr="006925FD" w:rsidRDefault="00F64633" w:rsidP="00BD112E">
            <w:pPr>
              <w:pStyle w:val="ListParagraph"/>
              <w:ind w:left="0"/>
              <w:jc w:val="right"/>
              <w:rPr>
                <w:rFonts w:cs="Arial"/>
                <w:bCs/>
                <w:szCs w:val="24"/>
              </w:rPr>
            </w:pPr>
            <w:r>
              <w:rPr>
                <w:rFonts w:cs="Arial"/>
                <w:bCs/>
                <w:szCs w:val="24"/>
              </w:rPr>
              <w:t>21.09</w:t>
            </w:r>
          </w:p>
        </w:tc>
      </w:tr>
      <w:tr w:rsidR="00F64633" w14:paraId="6592F71D" w14:textId="77777777" w:rsidTr="00BD112E">
        <w:trPr>
          <w:trHeight w:val="397"/>
        </w:trPr>
        <w:tc>
          <w:tcPr>
            <w:tcW w:w="3082" w:type="dxa"/>
            <w:tcBorders>
              <w:top w:val="single" w:sz="4" w:space="0" w:color="auto"/>
              <w:bottom w:val="single" w:sz="4" w:space="0" w:color="auto"/>
            </w:tcBorders>
            <w:vAlign w:val="center"/>
          </w:tcPr>
          <w:p w14:paraId="2C0AE397" w14:textId="77777777" w:rsidR="00F64633" w:rsidRDefault="00F64633" w:rsidP="00BD112E">
            <w:pPr>
              <w:pStyle w:val="ListParagraph"/>
              <w:ind w:left="0"/>
              <w:rPr>
                <w:rFonts w:cs="Arial"/>
                <w:szCs w:val="24"/>
              </w:rPr>
            </w:pPr>
            <w:r>
              <w:rPr>
                <w:rFonts w:cs="Arial"/>
                <w:szCs w:val="24"/>
              </w:rPr>
              <w:t>Grants</w:t>
            </w:r>
          </w:p>
        </w:tc>
        <w:tc>
          <w:tcPr>
            <w:tcW w:w="1562" w:type="dxa"/>
            <w:vAlign w:val="center"/>
          </w:tcPr>
          <w:p w14:paraId="38C9EBC7" w14:textId="77777777" w:rsidR="00F64633" w:rsidRDefault="00F64633" w:rsidP="00BD112E">
            <w:pPr>
              <w:pStyle w:val="ListParagraph"/>
              <w:ind w:left="0"/>
              <w:jc w:val="center"/>
              <w:rPr>
                <w:rFonts w:cs="Arial"/>
                <w:szCs w:val="24"/>
              </w:rPr>
            </w:pPr>
            <w:r>
              <w:rPr>
                <w:rFonts w:cs="Arial"/>
                <w:szCs w:val="24"/>
              </w:rPr>
              <w:t xml:space="preserve">             1.36</w:t>
            </w:r>
          </w:p>
        </w:tc>
        <w:tc>
          <w:tcPr>
            <w:tcW w:w="1276" w:type="dxa"/>
            <w:shd w:val="clear" w:color="auto" w:fill="F2CEED" w:themeFill="accent5" w:themeFillTint="33"/>
            <w:vAlign w:val="center"/>
          </w:tcPr>
          <w:p w14:paraId="35670C8E" w14:textId="77777777" w:rsidR="00F64633" w:rsidRPr="001B5A65" w:rsidRDefault="00F64633" w:rsidP="00BD112E">
            <w:pPr>
              <w:pStyle w:val="ListParagraph"/>
              <w:ind w:left="0"/>
              <w:jc w:val="right"/>
              <w:rPr>
                <w:rFonts w:cs="Arial"/>
                <w:szCs w:val="24"/>
              </w:rPr>
            </w:pPr>
            <w:r w:rsidRPr="001B5A65">
              <w:rPr>
                <w:rFonts w:cs="Arial"/>
                <w:szCs w:val="24"/>
              </w:rPr>
              <w:t>5.5</w:t>
            </w:r>
            <w:r>
              <w:rPr>
                <w:rFonts w:cs="Arial"/>
                <w:szCs w:val="24"/>
              </w:rPr>
              <w:t>1</w:t>
            </w:r>
          </w:p>
        </w:tc>
        <w:tc>
          <w:tcPr>
            <w:tcW w:w="1417" w:type="dxa"/>
            <w:vAlign w:val="center"/>
          </w:tcPr>
          <w:p w14:paraId="4D598691" w14:textId="77777777" w:rsidR="00F64633" w:rsidRDefault="00F64633" w:rsidP="00BD112E">
            <w:pPr>
              <w:pStyle w:val="ListParagraph"/>
              <w:ind w:left="0"/>
              <w:jc w:val="right"/>
              <w:rPr>
                <w:rFonts w:cs="Arial"/>
                <w:szCs w:val="24"/>
              </w:rPr>
            </w:pPr>
            <w:r>
              <w:rPr>
                <w:rFonts w:cs="Arial"/>
                <w:szCs w:val="24"/>
              </w:rPr>
              <w:t>7.87</w:t>
            </w:r>
          </w:p>
        </w:tc>
        <w:tc>
          <w:tcPr>
            <w:tcW w:w="1276" w:type="dxa"/>
            <w:vAlign w:val="center"/>
          </w:tcPr>
          <w:p w14:paraId="7E8C407D" w14:textId="77777777" w:rsidR="00F64633" w:rsidRPr="006925FD" w:rsidRDefault="00F64633" w:rsidP="00BD112E">
            <w:pPr>
              <w:pStyle w:val="ListParagraph"/>
              <w:ind w:left="0"/>
              <w:jc w:val="right"/>
              <w:rPr>
                <w:rFonts w:cs="Arial"/>
                <w:bCs/>
                <w:szCs w:val="24"/>
              </w:rPr>
            </w:pPr>
            <w:r>
              <w:rPr>
                <w:rFonts w:cs="Arial"/>
                <w:bCs/>
                <w:szCs w:val="24"/>
              </w:rPr>
              <w:t>13.86</w:t>
            </w:r>
          </w:p>
        </w:tc>
      </w:tr>
      <w:tr w:rsidR="00F64633" w14:paraId="47B76437" w14:textId="77777777" w:rsidTr="00BD112E">
        <w:trPr>
          <w:trHeight w:val="397"/>
        </w:trPr>
        <w:tc>
          <w:tcPr>
            <w:tcW w:w="3082" w:type="dxa"/>
            <w:tcBorders>
              <w:top w:val="single" w:sz="4" w:space="0" w:color="auto"/>
              <w:bottom w:val="single" w:sz="4" w:space="0" w:color="auto"/>
            </w:tcBorders>
            <w:vAlign w:val="center"/>
          </w:tcPr>
          <w:p w14:paraId="521F0F8A" w14:textId="77777777" w:rsidR="00F64633" w:rsidRDefault="00F64633" w:rsidP="00BD112E">
            <w:pPr>
              <w:pStyle w:val="ListParagraph"/>
              <w:ind w:left="0"/>
              <w:rPr>
                <w:rFonts w:cs="Arial"/>
                <w:szCs w:val="24"/>
              </w:rPr>
            </w:pPr>
            <w:r>
              <w:rPr>
                <w:rFonts w:cs="Arial"/>
                <w:szCs w:val="24"/>
              </w:rPr>
              <w:lastRenderedPageBreak/>
              <w:t>Capital Receipts</w:t>
            </w:r>
          </w:p>
        </w:tc>
        <w:tc>
          <w:tcPr>
            <w:tcW w:w="1562" w:type="dxa"/>
            <w:vAlign w:val="center"/>
          </w:tcPr>
          <w:p w14:paraId="0CA41294" w14:textId="77777777" w:rsidR="00F64633" w:rsidRDefault="00F64633" w:rsidP="00BD112E">
            <w:pPr>
              <w:pStyle w:val="ListParagraph"/>
              <w:ind w:left="0"/>
              <w:jc w:val="right"/>
              <w:rPr>
                <w:rFonts w:cs="Arial"/>
                <w:szCs w:val="24"/>
              </w:rPr>
            </w:pPr>
            <w:r>
              <w:rPr>
                <w:rFonts w:cs="Arial"/>
                <w:szCs w:val="24"/>
              </w:rPr>
              <w:t xml:space="preserve"> 0.62</w:t>
            </w:r>
          </w:p>
        </w:tc>
        <w:tc>
          <w:tcPr>
            <w:tcW w:w="1276" w:type="dxa"/>
            <w:shd w:val="clear" w:color="auto" w:fill="F2CEED" w:themeFill="accent5" w:themeFillTint="33"/>
            <w:vAlign w:val="center"/>
          </w:tcPr>
          <w:p w14:paraId="0D696B65" w14:textId="77777777" w:rsidR="00F64633" w:rsidRPr="001B5A65" w:rsidRDefault="00F64633" w:rsidP="00BD112E">
            <w:pPr>
              <w:pStyle w:val="ListParagraph"/>
              <w:ind w:left="0"/>
              <w:jc w:val="right"/>
              <w:rPr>
                <w:rFonts w:cs="Arial"/>
                <w:szCs w:val="24"/>
              </w:rPr>
            </w:pPr>
            <w:r w:rsidRPr="001B5A65">
              <w:rPr>
                <w:rFonts w:cs="Arial"/>
                <w:szCs w:val="24"/>
              </w:rPr>
              <w:t>1.55</w:t>
            </w:r>
          </w:p>
        </w:tc>
        <w:tc>
          <w:tcPr>
            <w:tcW w:w="1417" w:type="dxa"/>
            <w:vAlign w:val="center"/>
          </w:tcPr>
          <w:p w14:paraId="2049BAF0" w14:textId="77777777" w:rsidR="00F64633" w:rsidRPr="00776E02" w:rsidRDefault="00F64633" w:rsidP="00BD112E">
            <w:pPr>
              <w:jc w:val="right"/>
              <w:rPr>
                <w:rFonts w:cs="Arial"/>
                <w:szCs w:val="24"/>
              </w:rPr>
            </w:pPr>
            <w:r>
              <w:rPr>
                <w:rFonts w:cs="Arial"/>
                <w:szCs w:val="24"/>
              </w:rPr>
              <w:t>1.14</w:t>
            </w:r>
          </w:p>
        </w:tc>
        <w:tc>
          <w:tcPr>
            <w:tcW w:w="1276" w:type="dxa"/>
            <w:vAlign w:val="center"/>
          </w:tcPr>
          <w:p w14:paraId="47955A56" w14:textId="77777777" w:rsidR="00F64633" w:rsidRPr="006925FD" w:rsidRDefault="00F64633" w:rsidP="00BD112E">
            <w:pPr>
              <w:pStyle w:val="ListParagraph"/>
              <w:ind w:left="0"/>
              <w:jc w:val="right"/>
              <w:rPr>
                <w:rFonts w:cs="Arial"/>
                <w:bCs/>
                <w:szCs w:val="24"/>
              </w:rPr>
            </w:pPr>
            <w:r>
              <w:rPr>
                <w:rFonts w:cs="Arial"/>
                <w:bCs/>
                <w:szCs w:val="24"/>
              </w:rPr>
              <w:t>0.55</w:t>
            </w:r>
          </w:p>
        </w:tc>
      </w:tr>
      <w:tr w:rsidR="00F64633" w14:paraId="72261AE6" w14:textId="77777777" w:rsidTr="00BD112E">
        <w:trPr>
          <w:trHeight w:val="397"/>
        </w:trPr>
        <w:tc>
          <w:tcPr>
            <w:tcW w:w="3082" w:type="dxa"/>
            <w:tcBorders>
              <w:top w:val="single" w:sz="4" w:space="0" w:color="auto"/>
              <w:bottom w:val="single" w:sz="4" w:space="0" w:color="auto"/>
            </w:tcBorders>
            <w:vAlign w:val="center"/>
          </w:tcPr>
          <w:p w14:paraId="618C7D0D" w14:textId="77777777" w:rsidR="00F64633" w:rsidRDefault="00F64633" w:rsidP="00BD112E">
            <w:pPr>
              <w:pStyle w:val="ListParagraph"/>
              <w:ind w:left="0"/>
              <w:rPr>
                <w:rFonts w:cs="Arial"/>
                <w:szCs w:val="24"/>
              </w:rPr>
            </w:pPr>
            <w:r>
              <w:rPr>
                <w:rFonts w:cs="Arial"/>
                <w:szCs w:val="24"/>
              </w:rPr>
              <w:t>Revenue/Reserves</w:t>
            </w:r>
          </w:p>
        </w:tc>
        <w:tc>
          <w:tcPr>
            <w:tcW w:w="1562" w:type="dxa"/>
            <w:vAlign w:val="center"/>
          </w:tcPr>
          <w:p w14:paraId="65A64B37" w14:textId="77777777" w:rsidR="00F64633" w:rsidRDefault="00F64633" w:rsidP="00BD112E">
            <w:pPr>
              <w:pStyle w:val="ListParagraph"/>
              <w:ind w:left="0"/>
              <w:jc w:val="right"/>
              <w:rPr>
                <w:rFonts w:cs="Arial"/>
                <w:szCs w:val="24"/>
              </w:rPr>
            </w:pPr>
            <w:r>
              <w:rPr>
                <w:rFonts w:cs="Arial"/>
                <w:szCs w:val="24"/>
              </w:rPr>
              <w:t xml:space="preserve"> 0.33</w:t>
            </w:r>
          </w:p>
        </w:tc>
        <w:tc>
          <w:tcPr>
            <w:tcW w:w="1276" w:type="dxa"/>
            <w:shd w:val="clear" w:color="auto" w:fill="F2CEED" w:themeFill="accent5" w:themeFillTint="33"/>
            <w:vAlign w:val="center"/>
          </w:tcPr>
          <w:p w14:paraId="37A0619C" w14:textId="77777777" w:rsidR="00F64633" w:rsidRPr="001B5A65" w:rsidRDefault="00F64633" w:rsidP="00BD112E">
            <w:pPr>
              <w:pStyle w:val="ListParagraph"/>
              <w:ind w:left="0"/>
              <w:jc w:val="right"/>
              <w:rPr>
                <w:rFonts w:cs="Arial"/>
                <w:szCs w:val="24"/>
              </w:rPr>
            </w:pPr>
            <w:r w:rsidRPr="001B5A65">
              <w:rPr>
                <w:rFonts w:cs="Arial"/>
                <w:szCs w:val="24"/>
              </w:rPr>
              <w:t>0.4</w:t>
            </w:r>
            <w:r>
              <w:rPr>
                <w:rFonts w:cs="Arial"/>
                <w:szCs w:val="24"/>
              </w:rPr>
              <w:t>4</w:t>
            </w:r>
          </w:p>
        </w:tc>
        <w:tc>
          <w:tcPr>
            <w:tcW w:w="1417" w:type="dxa"/>
            <w:vAlign w:val="center"/>
          </w:tcPr>
          <w:p w14:paraId="1ECD7557" w14:textId="77777777" w:rsidR="00F64633" w:rsidRDefault="00F64633" w:rsidP="00BD112E">
            <w:pPr>
              <w:jc w:val="right"/>
              <w:rPr>
                <w:rFonts w:cs="Arial"/>
                <w:szCs w:val="24"/>
              </w:rPr>
            </w:pPr>
            <w:r>
              <w:rPr>
                <w:rFonts w:cs="Arial"/>
                <w:szCs w:val="24"/>
              </w:rPr>
              <w:t>0.40</w:t>
            </w:r>
          </w:p>
        </w:tc>
        <w:tc>
          <w:tcPr>
            <w:tcW w:w="1276" w:type="dxa"/>
            <w:vAlign w:val="center"/>
          </w:tcPr>
          <w:p w14:paraId="4B1B5203" w14:textId="77777777" w:rsidR="00F64633" w:rsidRPr="006925FD" w:rsidRDefault="00F64633" w:rsidP="00BD112E">
            <w:pPr>
              <w:pStyle w:val="ListParagraph"/>
              <w:ind w:left="0"/>
              <w:jc w:val="right"/>
              <w:rPr>
                <w:rFonts w:cs="Arial"/>
                <w:bCs/>
                <w:szCs w:val="24"/>
              </w:rPr>
            </w:pPr>
            <w:r>
              <w:rPr>
                <w:rFonts w:cs="Arial"/>
                <w:bCs/>
                <w:szCs w:val="24"/>
              </w:rPr>
              <w:t>-</w:t>
            </w:r>
          </w:p>
        </w:tc>
      </w:tr>
    </w:tbl>
    <w:p w14:paraId="3AE2D347" w14:textId="77777777" w:rsidR="00F64633" w:rsidRPr="00470D2F" w:rsidRDefault="00F64633" w:rsidP="00F64633">
      <w:pPr>
        <w:pStyle w:val="Header"/>
        <w:jc w:val="both"/>
        <w:rPr>
          <w:rFonts w:cs="Arial"/>
          <w:bCs/>
          <w:sz w:val="16"/>
          <w:szCs w:val="16"/>
        </w:rPr>
      </w:pPr>
    </w:p>
    <w:p w14:paraId="2AD03006" w14:textId="77777777" w:rsidR="00F64633" w:rsidRPr="00C24B47" w:rsidRDefault="00F64633" w:rsidP="00F64633">
      <w:pPr>
        <w:pStyle w:val="Header"/>
        <w:rPr>
          <w:rFonts w:cs="Arial"/>
          <w:bCs/>
          <w:szCs w:val="24"/>
        </w:rPr>
      </w:pPr>
    </w:p>
    <w:p w14:paraId="0FCF18DE" w14:textId="77777777" w:rsidR="00F64633" w:rsidRPr="00C24B47" w:rsidRDefault="00F64633" w:rsidP="00F64633">
      <w:pPr>
        <w:pStyle w:val="Header"/>
        <w:rPr>
          <w:rFonts w:cs="Arial"/>
          <w:b/>
          <w:bCs/>
          <w:szCs w:val="24"/>
        </w:rPr>
      </w:pPr>
      <w:r w:rsidRPr="00C24B47">
        <w:rPr>
          <w:rFonts w:cs="Arial"/>
          <w:b/>
          <w:bCs/>
          <w:szCs w:val="24"/>
        </w:rPr>
        <w:t>1.2 Capital – Capital Financing Requirement and External Borrowings</w:t>
      </w:r>
    </w:p>
    <w:p w14:paraId="16F9C974" w14:textId="344F6CC4" w:rsidR="00F64633" w:rsidRPr="00C24B47" w:rsidRDefault="00F64633" w:rsidP="007A0584">
      <w:pPr>
        <w:pStyle w:val="BodyText"/>
        <w:spacing w:after="0" w:line="240" w:lineRule="auto"/>
        <w:jc w:val="left"/>
        <w:rPr>
          <w:rFonts w:ascii="Arial" w:hAnsi="Arial" w:cs="Arial"/>
          <w:szCs w:val="24"/>
        </w:rPr>
      </w:pPr>
      <w:r w:rsidRPr="00C24B47">
        <w:rPr>
          <w:rFonts w:ascii="Arial" w:hAnsi="Arial" w:cs="Arial"/>
          <w:szCs w:val="24"/>
        </w:rPr>
        <w:t xml:space="preserve">The Council’s cumulative outstanding amount of debt finance </w:t>
      </w:r>
      <w:r w:rsidR="007A0584">
        <w:rPr>
          <w:rFonts w:ascii="Arial" w:hAnsi="Arial" w:cs="Arial"/>
          <w:szCs w:val="24"/>
        </w:rPr>
        <w:t>was</w:t>
      </w:r>
      <w:r w:rsidRPr="00C24B47">
        <w:rPr>
          <w:rFonts w:ascii="Arial" w:hAnsi="Arial" w:cs="Arial"/>
          <w:szCs w:val="24"/>
        </w:rPr>
        <w:t xml:space="preserve"> measured by the Capital Financing Requirement (CFR).  Th</w:t>
      </w:r>
      <w:r w:rsidR="007A0584">
        <w:rPr>
          <w:rFonts w:ascii="Arial" w:hAnsi="Arial" w:cs="Arial"/>
          <w:szCs w:val="24"/>
        </w:rPr>
        <w:t>at</w:t>
      </w:r>
      <w:r w:rsidRPr="00C24B47">
        <w:rPr>
          <w:rFonts w:ascii="Arial" w:hAnsi="Arial" w:cs="Arial"/>
          <w:szCs w:val="24"/>
        </w:rPr>
        <w:t xml:space="preserve"> increase</w:t>
      </w:r>
      <w:r w:rsidR="007A0584">
        <w:rPr>
          <w:rFonts w:ascii="Arial" w:hAnsi="Arial" w:cs="Arial"/>
          <w:szCs w:val="24"/>
        </w:rPr>
        <w:t>d</w:t>
      </w:r>
      <w:r w:rsidRPr="00C24B47">
        <w:rPr>
          <w:rFonts w:ascii="Arial" w:hAnsi="Arial" w:cs="Arial"/>
          <w:szCs w:val="24"/>
        </w:rPr>
        <w:t xml:space="preserve"> with new debt-financed capital expenditure and reduce</w:t>
      </w:r>
      <w:r w:rsidR="007A0584">
        <w:rPr>
          <w:rFonts w:ascii="Arial" w:hAnsi="Arial" w:cs="Arial"/>
          <w:szCs w:val="24"/>
        </w:rPr>
        <w:t>d</w:t>
      </w:r>
      <w:r w:rsidRPr="00C24B47">
        <w:rPr>
          <w:rFonts w:ascii="Arial" w:hAnsi="Arial" w:cs="Arial"/>
          <w:szCs w:val="24"/>
        </w:rPr>
        <w:t xml:space="preserve"> with MRP (minimum revenue provision).  See section 1.4 for further information on MRP. </w:t>
      </w:r>
    </w:p>
    <w:p w14:paraId="07B22197" w14:textId="77777777" w:rsidR="00F64633" w:rsidRDefault="00F64633" w:rsidP="00C24B47">
      <w:pPr>
        <w:pStyle w:val="BodyText"/>
        <w:spacing w:after="0" w:line="240" w:lineRule="auto"/>
        <w:jc w:val="left"/>
        <w:rPr>
          <w:rFonts w:ascii="Arial" w:hAnsi="Arial" w:cs="Arial"/>
          <w:szCs w:val="24"/>
        </w:rPr>
      </w:pPr>
    </w:p>
    <w:p w14:paraId="57BF450B" w14:textId="282A580F" w:rsidR="00F64633" w:rsidRDefault="00F64633" w:rsidP="00C24B47">
      <w:pPr>
        <w:pStyle w:val="BodyText"/>
        <w:spacing w:after="0" w:line="240" w:lineRule="auto"/>
        <w:jc w:val="left"/>
        <w:rPr>
          <w:rFonts w:ascii="Arial" w:hAnsi="Arial" w:cs="Arial"/>
          <w:szCs w:val="24"/>
        </w:rPr>
      </w:pPr>
      <w:r>
        <w:rPr>
          <w:rFonts w:ascii="Arial" w:hAnsi="Arial" w:cs="Arial"/>
          <w:szCs w:val="24"/>
        </w:rPr>
        <w:t xml:space="preserve">Statutory guidance </w:t>
      </w:r>
      <w:r w:rsidR="007A0584">
        <w:rPr>
          <w:rFonts w:ascii="Arial" w:hAnsi="Arial" w:cs="Arial"/>
          <w:szCs w:val="24"/>
        </w:rPr>
        <w:t>was</w:t>
      </w:r>
      <w:r>
        <w:rPr>
          <w:rFonts w:ascii="Arial" w:hAnsi="Arial" w:cs="Arial"/>
          <w:szCs w:val="24"/>
        </w:rPr>
        <w:t xml:space="preserve"> that debt should remain below the capital financing requirement, except in the short term.  The Council ha</w:t>
      </w:r>
      <w:r w:rsidR="007A0584">
        <w:rPr>
          <w:rFonts w:ascii="Arial" w:hAnsi="Arial" w:cs="Arial"/>
          <w:szCs w:val="24"/>
        </w:rPr>
        <w:t>d</w:t>
      </w:r>
      <w:r>
        <w:rPr>
          <w:rFonts w:ascii="Arial" w:hAnsi="Arial" w:cs="Arial"/>
          <w:szCs w:val="24"/>
        </w:rPr>
        <w:t xml:space="preserve"> complied and expect</w:t>
      </w:r>
      <w:r w:rsidR="007A0584">
        <w:rPr>
          <w:rFonts w:ascii="Arial" w:hAnsi="Arial" w:cs="Arial"/>
          <w:szCs w:val="24"/>
        </w:rPr>
        <w:t>ed</w:t>
      </w:r>
      <w:r>
        <w:rPr>
          <w:rFonts w:ascii="Arial" w:hAnsi="Arial" w:cs="Arial"/>
          <w:szCs w:val="24"/>
        </w:rPr>
        <w:t xml:space="preserve"> to continue to comply with this requirement in the medium term as shown below.</w:t>
      </w:r>
    </w:p>
    <w:p w14:paraId="5FC890C2" w14:textId="77777777" w:rsidR="00F64633" w:rsidRDefault="00F64633" w:rsidP="00F64633">
      <w:pPr>
        <w:pStyle w:val="BodyText"/>
        <w:spacing w:after="0" w:line="240" w:lineRule="auto"/>
        <w:rPr>
          <w:rFonts w:ascii="Arial" w:hAnsi="Arial" w:cs="Arial"/>
          <w:szCs w:val="24"/>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1134"/>
        <w:gridCol w:w="1134"/>
        <w:gridCol w:w="1134"/>
        <w:gridCol w:w="1134"/>
      </w:tblGrid>
      <w:tr w:rsidR="00F64633" w:rsidRPr="00162383" w14:paraId="1477D01E" w14:textId="77777777" w:rsidTr="00BD112E">
        <w:trPr>
          <w:trHeight w:val="340"/>
        </w:trPr>
        <w:tc>
          <w:tcPr>
            <w:tcW w:w="4570" w:type="dxa"/>
            <w:tcBorders>
              <w:top w:val="nil"/>
              <w:left w:val="nil"/>
              <w:bottom w:val="nil"/>
              <w:right w:val="nil"/>
            </w:tcBorders>
            <w:vAlign w:val="center"/>
          </w:tcPr>
          <w:p w14:paraId="2C66538B" w14:textId="77777777" w:rsidR="00F64633" w:rsidRPr="006B1B84" w:rsidRDefault="00F64633" w:rsidP="00BD112E">
            <w:pPr>
              <w:pStyle w:val="ListParagraph"/>
              <w:ind w:left="0"/>
              <w:rPr>
                <w:rFonts w:cs="Arial"/>
                <w:szCs w:val="24"/>
              </w:rPr>
            </w:pPr>
          </w:p>
        </w:tc>
        <w:tc>
          <w:tcPr>
            <w:tcW w:w="1134" w:type="dxa"/>
            <w:tcBorders>
              <w:top w:val="single" w:sz="4" w:space="0" w:color="auto"/>
              <w:left w:val="single" w:sz="4" w:space="0" w:color="auto"/>
              <w:bottom w:val="single" w:sz="4" w:space="0" w:color="auto"/>
            </w:tcBorders>
            <w:shd w:val="clear" w:color="auto" w:fill="0070C0"/>
            <w:vAlign w:val="center"/>
          </w:tcPr>
          <w:p w14:paraId="6C9FD901"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Actual</w:t>
            </w:r>
          </w:p>
        </w:tc>
        <w:tc>
          <w:tcPr>
            <w:tcW w:w="3402" w:type="dxa"/>
            <w:gridSpan w:val="3"/>
            <w:tcBorders>
              <w:top w:val="single" w:sz="4" w:space="0" w:color="auto"/>
              <w:left w:val="single" w:sz="4" w:space="0" w:color="auto"/>
              <w:bottom w:val="single" w:sz="4" w:space="0" w:color="auto"/>
            </w:tcBorders>
            <w:shd w:val="clear" w:color="auto" w:fill="0070C0"/>
            <w:vAlign w:val="center"/>
          </w:tcPr>
          <w:p w14:paraId="4B54EF94"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Revised Forecast</w:t>
            </w:r>
          </w:p>
        </w:tc>
      </w:tr>
      <w:tr w:rsidR="00F64633" w:rsidRPr="00162383" w14:paraId="545352C3" w14:textId="77777777" w:rsidTr="00BD112E">
        <w:trPr>
          <w:trHeight w:val="340"/>
        </w:trPr>
        <w:tc>
          <w:tcPr>
            <w:tcW w:w="4570" w:type="dxa"/>
            <w:tcBorders>
              <w:top w:val="nil"/>
              <w:left w:val="nil"/>
              <w:bottom w:val="nil"/>
              <w:right w:val="single" w:sz="4" w:space="0" w:color="auto"/>
            </w:tcBorders>
            <w:vAlign w:val="center"/>
          </w:tcPr>
          <w:p w14:paraId="5377D016" w14:textId="77777777" w:rsidR="00F64633" w:rsidRPr="006B1B84" w:rsidRDefault="00F64633" w:rsidP="00BD112E">
            <w:pPr>
              <w:pStyle w:val="ListParagraph"/>
              <w:ind w:left="0"/>
              <w:rPr>
                <w:rFonts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3676B6E2" w14:textId="77777777" w:rsidR="00F64633" w:rsidRPr="00C81460" w:rsidRDefault="00F64633" w:rsidP="00BD112E">
            <w:pPr>
              <w:pStyle w:val="ListParagraph"/>
              <w:ind w:left="0"/>
              <w:jc w:val="center"/>
              <w:rPr>
                <w:rFonts w:cs="Arial"/>
                <w:b/>
                <w:color w:val="FFFFFF" w:themeColor="background1"/>
              </w:rPr>
            </w:pPr>
            <w:r>
              <w:rPr>
                <w:rFonts w:cs="Arial"/>
                <w:b/>
                <w:color w:val="FFFFFF" w:themeColor="background1"/>
              </w:rPr>
              <w:t>31/03/24</w:t>
            </w:r>
          </w:p>
        </w:tc>
        <w:tc>
          <w:tcPr>
            <w:tcW w:w="1134" w:type="dxa"/>
            <w:tcBorders>
              <w:top w:val="single" w:sz="4" w:space="0" w:color="auto"/>
              <w:left w:val="single" w:sz="4" w:space="0" w:color="auto"/>
            </w:tcBorders>
            <w:shd w:val="clear" w:color="auto" w:fill="0070C0"/>
            <w:vAlign w:val="center"/>
          </w:tcPr>
          <w:p w14:paraId="0352BC3F" w14:textId="77777777" w:rsidR="00F64633" w:rsidRPr="001B5A65" w:rsidRDefault="00F64633" w:rsidP="00BD112E">
            <w:pPr>
              <w:pStyle w:val="ListParagraph"/>
              <w:ind w:left="0"/>
              <w:jc w:val="center"/>
              <w:rPr>
                <w:rFonts w:cs="Arial"/>
                <w:b/>
                <w:color w:val="FFFFFF" w:themeColor="background1"/>
              </w:rPr>
            </w:pPr>
            <w:r>
              <w:rPr>
                <w:rFonts w:cs="Arial"/>
                <w:b/>
                <w:color w:val="FFFFFF" w:themeColor="background1"/>
              </w:rPr>
              <w:t>31/03/25</w:t>
            </w:r>
          </w:p>
        </w:tc>
        <w:tc>
          <w:tcPr>
            <w:tcW w:w="1134" w:type="dxa"/>
            <w:shd w:val="clear" w:color="auto" w:fill="0070C0"/>
            <w:vAlign w:val="center"/>
          </w:tcPr>
          <w:p w14:paraId="180C5C96" w14:textId="77777777" w:rsidR="00F64633" w:rsidRPr="00C81460" w:rsidRDefault="00F64633" w:rsidP="00BD112E">
            <w:pPr>
              <w:pStyle w:val="ListParagraph"/>
              <w:ind w:left="0"/>
              <w:jc w:val="center"/>
              <w:rPr>
                <w:rFonts w:cs="Arial"/>
                <w:b/>
                <w:color w:val="FFFFFF" w:themeColor="background1"/>
              </w:rPr>
            </w:pPr>
            <w:r>
              <w:rPr>
                <w:rFonts w:cs="Arial"/>
                <w:b/>
                <w:color w:val="FFFFFF" w:themeColor="background1"/>
              </w:rPr>
              <w:t>31/03/26</w:t>
            </w:r>
          </w:p>
        </w:tc>
        <w:tc>
          <w:tcPr>
            <w:tcW w:w="1134" w:type="dxa"/>
            <w:shd w:val="clear" w:color="auto" w:fill="0070C0"/>
            <w:vAlign w:val="center"/>
          </w:tcPr>
          <w:p w14:paraId="2D48939A" w14:textId="77777777" w:rsidR="00F64633" w:rsidRPr="00C81460" w:rsidRDefault="00F64633" w:rsidP="00BD112E">
            <w:pPr>
              <w:pStyle w:val="ListParagraph"/>
              <w:ind w:left="0"/>
              <w:jc w:val="center"/>
              <w:rPr>
                <w:rFonts w:cs="Arial"/>
                <w:b/>
                <w:color w:val="FFFFFF" w:themeColor="background1"/>
              </w:rPr>
            </w:pPr>
            <w:r>
              <w:rPr>
                <w:rFonts w:cs="Arial"/>
                <w:b/>
                <w:color w:val="FFFFFF" w:themeColor="background1"/>
              </w:rPr>
              <w:t>31/03/27</w:t>
            </w:r>
          </w:p>
        </w:tc>
      </w:tr>
      <w:tr w:rsidR="00F64633" w:rsidRPr="00162383" w14:paraId="5A165BB4" w14:textId="77777777" w:rsidTr="00BD112E">
        <w:trPr>
          <w:trHeight w:val="340"/>
        </w:trPr>
        <w:tc>
          <w:tcPr>
            <w:tcW w:w="4570" w:type="dxa"/>
            <w:tcBorders>
              <w:top w:val="nil"/>
              <w:left w:val="single" w:sz="4" w:space="0" w:color="auto"/>
              <w:bottom w:val="single" w:sz="4" w:space="0" w:color="auto"/>
              <w:right w:val="single" w:sz="4" w:space="0" w:color="auto"/>
            </w:tcBorders>
            <w:shd w:val="clear" w:color="auto" w:fill="0070C0"/>
            <w:vAlign w:val="center"/>
          </w:tcPr>
          <w:p w14:paraId="1B9AD830" w14:textId="77777777" w:rsidR="00F64633" w:rsidRPr="00C81460" w:rsidRDefault="00F64633" w:rsidP="00BD112E">
            <w:pPr>
              <w:pStyle w:val="ListParagraph"/>
              <w:ind w:left="0"/>
              <w:rPr>
                <w:rFonts w:cs="Arial"/>
                <w:b/>
                <w:color w:val="FFFFFF" w:themeColor="background1"/>
              </w:rPr>
            </w:pPr>
            <w:r w:rsidRPr="00C81460">
              <w:rPr>
                <w:rFonts w:cs="Arial"/>
                <w:b/>
                <w:color w:val="FFFFFF" w:themeColor="background1"/>
              </w:rPr>
              <w:t>Table 1.2</w:t>
            </w:r>
          </w:p>
        </w:tc>
        <w:tc>
          <w:tcPr>
            <w:tcW w:w="1134" w:type="dxa"/>
            <w:tcBorders>
              <w:top w:val="single" w:sz="4" w:space="0" w:color="auto"/>
              <w:left w:val="single" w:sz="4" w:space="0" w:color="auto"/>
              <w:right w:val="single" w:sz="4" w:space="0" w:color="auto"/>
            </w:tcBorders>
            <w:shd w:val="clear" w:color="auto" w:fill="0070C0"/>
            <w:vAlign w:val="center"/>
          </w:tcPr>
          <w:p w14:paraId="1E6458A5"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c>
          <w:tcPr>
            <w:tcW w:w="1134" w:type="dxa"/>
            <w:tcBorders>
              <w:top w:val="single" w:sz="4" w:space="0" w:color="auto"/>
              <w:left w:val="single" w:sz="4" w:space="0" w:color="auto"/>
            </w:tcBorders>
            <w:shd w:val="clear" w:color="auto" w:fill="0070C0"/>
            <w:vAlign w:val="center"/>
          </w:tcPr>
          <w:p w14:paraId="0AA9760E" w14:textId="77777777" w:rsidR="00F64633" w:rsidRPr="001B5A65" w:rsidRDefault="00F64633" w:rsidP="00BD112E">
            <w:pPr>
              <w:pStyle w:val="ListParagraph"/>
              <w:ind w:left="0"/>
              <w:jc w:val="center"/>
              <w:rPr>
                <w:rFonts w:cs="Arial"/>
                <w:b/>
                <w:color w:val="FFFFFF" w:themeColor="background1"/>
              </w:rPr>
            </w:pPr>
            <w:r w:rsidRPr="001B5A65">
              <w:rPr>
                <w:rFonts w:cs="Arial"/>
                <w:b/>
                <w:color w:val="FFFFFF" w:themeColor="background1"/>
              </w:rPr>
              <w:t>£</w:t>
            </w:r>
            <w:r>
              <w:rPr>
                <w:rFonts w:cs="Arial"/>
                <w:b/>
                <w:color w:val="FFFFFF" w:themeColor="background1"/>
              </w:rPr>
              <w:t>M</w:t>
            </w:r>
          </w:p>
        </w:tc>
        <w:tc>
          <w:tcPr>
            <w:tcW w:w="1134" w:type="dxa"/>
            <w:shd w:val="clear" w:color="auto" w:fill="0070C0"/>
            <w:vAlign w:val="center"/>
          </w:tcPr>
          <w:p w14:paraId="2222AED6"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c>
          <w:tcPr>
            <w:tcW w:w="1134" w:type="dxa"/>
            <w:shd w:val="clear" w:color="auto" w:fill="0070C0"/>
            <w:vAlign w:val="center"/>
          </w:tcPr>
          <w:p w14:paraId="279A009D"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w:t>
            </w:r>
            <w:r>
              <w:rPr>
                <w:rFonts w:cs="Arial"/>
                <w:b/>
                <w:color w:val="FFFFFF" w:themeColor="background1"/>
              </w:rPr>
              <w:t>M</w:t>
            </w:r>
          </w:p>
        </w:tc>
      </w:tr>
      <w:tr w:rsidR="00F64633" w:rsidRPr="006B1B84" w14:paraId="4E80B38A" w14:textId="77777777" w:rsidTr="00BD112E">
        <w:trPr>
          <w:trHeight w:val="397"/>
        </w:trPr>
        <w:tc>
          <w:tcPr>
            <w:tcW w:w="4570" w:type="dxa"/>
            <w:tcBorders>
              <w:top w:val="single" w:sz="4" w:space="0" w:color="auto"/>
              <w:bottom w:val="single" w:sz="4" w:space="0" w:color="auto"/>
            </w:tcBorders>
            <w:vAlign w:val="center"/>
          </w:tcPr>
          <w:p w14:paraId="26C8EBF9" w14:textId="77777777" w:rsidR="00F64633" w:rsidRPr="006B1B84" w:rsidRDefault="00F64633" w:rsidP="00BD112E">
            <w:pPr>
              <w:pStyle w:val="ListParagraph"/>
              <w:ind w:left="0"/>
              <w:rPr>
                <w:rFonts w:cs="Arial"/>
                <w:szCs w:val="24"/>
              </w:rPr>
            </w:pPr>
            <w:r>
              <w:rPr>
                <w:rFonts w:cs="Arial"/>
                <w:szCs w:val="24"/>
              </w:rPr>
              <w:t>Capital Financing Requirement (CFR)</w:t>
            </w:r>
          </w:p>
        </w:tc>
        <w:tc>
          <w:tcPr>
            <w:tcW w:w="1134" w:type="dxa"/>
            <w:vAlign w:val="center"/>
          </w:tcPr>
          <w:p w14:paraId="0511724C" w14:textId="77777777" w:rsidR="00F64633" w:rsidRPr="00307CA8" w:rsidRDefault="00F64633" w:rsidP="00BD112E">
            <w:pPr>
              <w:pStyle w:val="ListParagraph"/>
              <w:ind w:left="0"/>
              <w:jc w:val="right"/>
              <w:rPr>
                <w:rFonts w:cs="Arial"/>
                <w:szCs w:val="24"/>
              </w:rPr>
            </w:pPr>
            <w:r>
              <w:rPr>
                <w:rFonts w:cs="Arial"/>
                <w:szCs w:val="24"/>
              </w:rPr>
              <w:t>75.07</w:t>
            </w:r>
          </w:p>
        </w:tc>
        <w:tc>
          <w:tcPr>
            <w:tcW w:w="1134" w:type="dxa"/>
            <w:shd w:val="clear" w:color="auto" w:fill="F2CEED" w:themeFill="accent5" w:themeFillTint="33"/>
            <w:vAlign w:val="center"/>
          </w:tcPr>
          <w:p w14:paraId="095A81FD" w14:textId="77777777" w:rsidR="00F64633" w:rsidRPr="001B5A65" w:rsidRDefault="00F64633" w:rsidP="00BD112E">
            <w:pPr>
              <w:pStyle w:val="ListParagraph"/>
              <w:ind w:left="0"/>
              <w:jc w:val="right"/>
              <w:rPr>
                <w:rFonts w:cs="Arial"/>
                <w:color w:val="000000" w:themeColor="text1"/>
                <w:szCs w:val="24"/>
              </w:rPr>
            </w:pPr>
            <w:r>
              <w:rPr>
                <w:rFonts w:cs="Arial"/>
                <w:color w:val="000000" w:themeColor="text1"/>
                <w:szCs w:val="24"/>
              </w:rPr>
              <w:t>78.69</w:t>
            </w:r>
          </w:p>
        </w:tc>
        <w:tc>
          <w:tcPr>
            <w:tcW w:w="1134" w:type="dxa"/>
            <w:vAlign w:val="center"/>
          </w:tcPr>
          <w:p w14:paraId="7039791C" w14:textId="77777777" w:rsidR="00F64633" w:rsidRPr="001B5A65" w:rsidRDefault="00F64633" w:rsidP="00BD112E">
            <w:pPr>
              <w:pStyle w:val="ListParagraph"/>
              <w:ind w:left="0"/>
              <w:jc w:val="right"/>
              <w:rPr>
                <w:rFonts w:cs="Arial"/>
                <w:color w:val="000000" w:themeColor="text1"/>
                <w:szCs w:val="24"/>
              </w:rPr>
            </w:pPr>
            <w:r>
              <w:rPr>
                <w:rFonts w:cs="Arial"/>
                <w:color w:val="000000" w:themeColor="text1"/>
                <w:szCs w:val="24"/>
              </w:rPr>
              <w:t>85.02</w:t>
            </w:r>
          </w:p>
        </w:tc>
        <w:tc>
          <w:tcPr>
            <w:tcW w:w="1134" w:type="dxa"/>
            <w:vAlign w:val="center"/>
          </w:tcPr>
          <w:p w14:paraId="67E81BD5" w14:textId="77777777" w:rsidR="00F64633" w:rsidRPr="001B5A65" w:rsidRDefault="00F64633" w:rsidP="00BD112E">
            <w:pPr>
              <w:pStyle w:val="ListParagraph"/>
              <w:ind w:left="0"/>
              <w:jc w:val="right"/>
              <w:rPr>
                <w:rFonts w:cs="Arial"/>
                <w:bCs/>
                <w:color w:val="000000" w:themeColor="text1"/>
                <w:szCs w:val="24"/>
              </w:rPr>
            </w:pPr>
            <w:r>
              <w:rPr>
                <w:rFonts w:cs="Arial"/>
                <w:bCs/>
                <w:color w:val="000000" w:themeColor="text1"/>
                <w:szCs w:val="24"/>
              </w:rPr>
              <w:t>97.98</w:t>
            </w:r>
          </w:p>
        </w:tc>
      </w:tr>
      <w:tr w:rsidR="00F64633" w:rsidRPr="006B1B84" w14:paraId="67CBA225" w14:textId="77777777" w:rsidTr="00BD112E">
        <w:trPr>
          <w:trHeight w:val="397"/>
        </w:trPr>
        <w:tc>
          <w:tcPr>
            <w:tcW w:w="4570" w:type="dxa"/>
            <w:tcBorders>
              <w:top w:val="single" w:sz="4" w:space="0" w:color="auto"/>
              <w:bottom w:val="single" w:sz="4" w:space="0" w:color="auto"/>
            </w:tcBorders>
            <w:vAlign w:val="center"/>
          </w:tcPr>
          <w:p w14:paraId="3A7483F5" w14:textId="77777777" w:rsidR="00F64633" w:rsidRDefault="00F64633" w:rsidP="00BD112E">
            <w:pPr>
              <w:pStyle w:val="ListParagraph"/>
              <w:ind w:left="0"/>
              <w:rPr>
                <w:rFonts w:cs="Arial"/>
                <w:szCs w:val="24"/>
              </w:rPr>
            </w:pPr>
            <w:r>
              <w:rPr>
                <w:rFonts w:cs="Arial"/>
                <w:szCs w:val="24"/>
              </w:rPr>
              <w:t>External Gross Borrowing</w:t>
            </w:r>
          </w:p>
        </w:tc>
        <w:tc>
          <w:tcPr>
            <w:tcW w:w="1134" w:type="dxa"/>
            <w:vAlign w:val="center"/>
          </w:tcPr>
          <w:p w14:paraId="22F72B24" w14:textId="77777777" w:rsidR="00F64633" w:rsidRPr="00307CA8" w:rsidRDefault="00F64633" w:rsidP="00BD112E">
            <w:pPr>
              <w:pStyle w:val="ListParagraph"/>
              <w:ind w:left="0"/>
              <w:jc w:val="right"/>
              <w:rPr>
                <w:rFonts w:cs="Arial"/>
                <w:szCs w:val="24"/>
              </w:rPr>
            </w:pPr>
            <w:r>
              <w:rPr>
                <w:rFonts w:cs="Arial"/>
                <w:szCs w:val="24"/>
              </w:rPr>
              <w:t>(59.65)</w:t>
            </w:r>
          </w:p>
        </w:tc>
        <w:tc>
          <w:tcPr>
            <w:tcW w:w="1134" w:type="dxa"/>
            <w:shd w:val="clear" w:color="auto" w:fill="F2CEED" w:themeFill="accent5" w:themeFillTint="33"/>
            <w:vAlign w:val="center"/>
          </w:tcPr>
          <w:p w14:paraId="7F3ED572" w14:textId="77777777" w:rsidR="00F64633" w:rsidRPr="001B5A65" w:rsidRDefault="00F64633" w:rsidP="00BD112E">
            <w:pPr>
              <w:pStyle w:val="ListParagraph"/>
              <w:ind w:left="0"/>
              <w:jc w:val="right"/>
              <w:rPr>
                <w:rFonts w:cs="Arial"/>
                <w:color w:val="000000" w:themeColor="text1"/>
                <w:szCs w:val="24"/>
              </w:rPr>
            </w:pPr>
            <w:r w:rsidRPr="001B5A65">
              <w:rPr>
                <w:rFonts w:cs="Arial"/>
                <w:color w:val="000000" w:themeColor="text1"/>
                <w:szCs w:val="24"/>
              </w:rPr>
              <w:t>(56.8</w:t>
            </w:r>
            <w:r>
              <w:rPr>
                <w:rFonts w:cs="Arial"/>
                <w:color w:val="000000" w:themeColor="text1"/>
                <w:szCs w:val="24"/>
              </w:rPr>
              <w:t>8</w:t>
            </w:r>
            <w:r w:rsidRPr="001B5A65">
              <w:rPr>
                <w:rFonts w:cs="Arial"/>
                <w:color w:val="000000" w:themeColor="text1"/>
                <w:szCs w:val="24"/>
              </w:rPr>
              <w:t>)</w:t>
            </w:r>
          </w:p>
        </w:tc>
        <w:tc>
          <w:tcPr>
            <w:tcW w:w="1134" w:type="dxa"/>
            <w:vAlign w:val="center"/>
          </w:tcPr>
          <w:p w14:paraId="288F80A9" w14:textId="77777777" w:rsidR="00F64633" w:rsidRPr="001B5A65" w:rsidRDefault="00F64633" w:rsidP="00BD112E">
            <w:pPr>
              <w:pStyle w:val="ListParagraph"/>
              <w:ind w:left="0"/>
              <w:jc w:val="right"/>
              <w:rPr>
                <w:rFonts w:cs="Arial"/>
                <w:color w:val="000000" w:themeColor="text1"/>
                <w:szCs w:val="24"/>
              </w:rPr>
            </w:pPr>
            <w:r>
              <w:rPr>
                <w:rFonts w:cs="Arial"/>
                <w:color w:val="000000" w:themeColor="text1"/>
                <w:szCs w:val="24"/>
              </w:rPr>
              <w:t xml:space="preserve">  </w:t>
            </w:r>
            <w:r w:rsidRPr="001B5A65">
              <w:rPr>
                <w:rFonts w:cs="Arial"/>
                <w:color w:val="000000" w:themeColor="text1"/>
                <w:szCs w:val="24"/>
              </w:rPr>
              <w:t>(6</w:t>
            </w:r>
            <w:r>
              <w:rPr>
                <w:rFonts w:cs="Arial"/>
                <w:color w:val="000000" w:themeColor="text1"/>
                <w:szCs w:val="24"/>
              </w:rPr>
              <w:t>0.63</w:t>
            </w:r>
            <w:r w:rsidRPr="001B5A65">
              <w:rPr>
                <w:rFonts w:cs="Arial"/>
                <w:color w:val="000000" w:themeColor="text1"/>
                <w:szCs w:val="24"/>
              </w:rPr>
              <w:t>)</w:t>
            </w:r>
          </w:p>
        </w:tc>
        <w:tc>
          <w:tcPr>
            <w:tcW w:w="1134" w:type="dxa"/>
            <w:vAlign w:val="center"/>
          </w:tcPr>
          <w:p w14:paraId="24478BD1" w14:textId="77777777" w:rsidR="00F64633" w:rsidRPr="001B5A65" w:rsidRDefault="00F64633" w:rsidP="00BD112E">
            <w:pPr>
              <w:pStyle w:val="ListParagraph"/>
              <w:ind w:left="0"/>
              <w:jc w:val="right"/>
              <w:rPr>
                <w:rFonts w:cs="Arial"/>
                <w:bCs/>
                <w:color w:val="000000" w:themeColor="text1"/>
                <w:szCs w:val="24"/>
              </w:rPr>
            </w:pPr>
            <w:r w:rsidRPr="001B5A65">
              <w:rPr>
                <w:rFonts w:cs="Arial"/>
                <w:bCs/>
                <w:color w:val="000000" w:themeColor="text1"/>
                <w:szCs w:val="24"/>
              </w:rPr>
              <w:t>(7</w:t>
            </w:r>
            <w:r>
              <w:rPr>
                <w:rFonts w:cs="Arial"/>
                <w:bCs/>
                <w:color w:val="000000" w:themeColor="text1"/>
                <w:szCs w:val="24"/>
              </w:rPr>
              <w:t>4.46</w:t>
            </w:r>
            <w:r w:rsidRPr="001B5A65">
              <w:rPr>
                <w:rFonts w:cs="Arial"/>
                <w:bCs/>
                <w:color w:val="000000" w:themeColor="text1"/>
                <w:szCs w:val="24"/>
              </w:rPr>
              <w:t>)</w:t>
            </w:r>
          </w:p>
        </w:tc>
      </w:tr>
      <w:tr w:rsidR="00F64633" w:rsidRPr="006B1B84" w14:paraId="66F7A3B2" w14:textId="77777777" w:rsidTr="00BD112E">
        <w:trPr>
          <w:trHeight w:val="397"/>
        </w:trPr>
        <w:tc>
          <w:tcPr>
            <w:tcW w:w="4570" w:type="dxa"/>
            <w:tcBorders>
              <w:top w:val="single" w:sz="4" w:space="0" w:color="auto"/>
              <w:bottom w:val="single" w:sz="4" w:space="0" w:color="auto"/>
            </w:tcBorders>
            <w:vAlign w:val="center"/>
          </w:tcPr>
          <w:p w14:paraId="0A1861C0" w14:textId="77777777" w:rsidR="00F64633" w:rsidRDefault="00F64633" w:rsidP="00BD112E">
            <w:pPr>
              <w:pStyle w:val="ListParagraph"/>
              <w:ind w:left="0"/>
              <w:rPr>
                <w:rFonts w:cs="Arial"/>
                <w:szCs w:val="24"/>
              </w:rPr>
            </w:pPr>
            <w:r>
              <w:rPr>
                <w:rFonts w:cs="Arial"/>
                <w:szCs w:val="24"/>
              </w:rPr>
              <w:t>External Gross Debt (Leases)</w:t>
            </w:r>
          </w:p>
        </w:tc>
        <w:tc>
          <w:tcPr>
            <w:tcW w:w="1134" w:type="dxa"/>
            <w:vAlign w:val="center"/>
          </w:tcPr>
          <w:p w14:paraId="646AC356" w14:textId="77777777" w:rsidR="00F64633" w:rsidRDefault="00F64633" w:rsidP="00BD112E">
            <w:pPr>
              <w:pStyle w:val="ListParagraph"/>
              <w:ind w:left="0"/>
              <w:jc w:val="center"/>
              <w:rPr>
                <w:rFonts w:cs="Arial"/>
                <w:szCs w:val="24"/>
              </w:rPr>
            </w:pPr>
            <w:r>
              <w:rPr>
                <w:rFonts w:cs="Arial"/>
                <w:szCs w:val="24"/>
              </w:rPr>
              <w:t>-</w:t>
            </w:r>
          </w:p>
        </w:tc>
        <w:tc>
          <w:tcPr>
            <w:tcW w:w="1134" w:type="dxa"/>
            <w:shd w:val="clear" w:color="auto" w:fill="F2CEED" w:themeFill="accent5" w:themeFillTint="33"/>
            <w:vAlign w:val="center"/>
          </w:tcPr>
          <w:p w14:paraId="6ED4AA1C" w14:textId="77777777" w:rsidR="00F64633" w:rsidRPr="001B5A65" w:rsidRDefault="00F64633" w:rsidP="00BD112E">
            <w:pPr>
              <w:pStyle w:val="ListParagraph"/>
              <w:ind w:left="0"/>
              <w:jc w:val="center"/>
              <w:rPr>
                <w:rFonts w:cs="Arial"/>
                <w:color w:val="000000" w:themeColor="text1"/>
                <w:szCs w:val="24"/>
              </w:rPr>
            </w:pPr>
            <w:r w:rsidRPr="001B5A65">
              <w:rPr>
                <w:rFonts w:cs="Arial"/>
                <w:color w:val="000000" w:themeColor="text1"/>
                <w:szCs w:val="24"/>
              </w:rPr>
              <w:t xml:space="preserve">  (4.14)</w:t>
            </w:r>
          </w:p>
        </w:tc>
        <w:tc>
          <w:tcPr>
            <w:tcW w:w="1134" w:type="dxa"/>
            <w:vAlign w:val="center"/>
          </w:tcPr>
          <w:p w14:paraId="6F8ED547" w14:textId="77777777" w:rsidR="00F64633" w:rsidRPr="001B5A65" w:rsidRDefault="00F64633" w:rsidP="00BD112E">
            <w:pPr>
              <w:pStyle w:val="ListParagraph"/>
              <w:ind w:left="0"/>
              <w:jc w:val="center"/>
              <w:rPr>
                <w:rFonts w:cs="Arial"/>
                <w:color w:val="000000" w:themeColor="text1"/>
                <w:szCs w:val="24"/>
              </w:rPr>
            </w:pPr>
            <w:r>
              <w:rPr>
                <w:rFonts w:cs="Arial"/>
                <w:color w:val="000000" w:themeColor="text1"/>
                <w:szCs w:val="24"/>
              </w:rPr>
              <w:t xml:space="preserve">   </w:t>
            </w:r>
            <w:r w:rsidRPr="001B5A65">
              <w:rPr>
                <w:rFonts w:cs="Arial"/>
                <w:color w:val="000000" w:themeColor="text1"/>
                <w:szCs w:val="24"/>
              </w:rPr>
              <w:t xml:space="preserve"> (3.79) </w:t>
            </w:r>
          </w:p>
        </w:tc>
        <w:tc>
          <w:tcPr>
            <w:tcW w:w="1134" w:type="dxa"/>
            <w:vAlign w:val="center"/>
          </w:tcPr>
          <w:p w14:paraId="5598EE37" w14:textId="77777777" w:rsidR="00F64633" w:rsidRPr="001B5A65" w:rsidRDefault="00F64633" w:rsidP="00BD112E">
            <w:pPr>
              <w:pStyle w:val="ListParagraph"/>
              <w:ind w:left="0"/>
              <w:jc w:val="center"/>
              <w:rPr>
                <w:rFonts w:cs="Arial"/>
                <w:color w:val="000000" w:themeColor="text1"/>
                <w:szCs w:val="24"/>
              </w:rPr>
            </w:pPr>
            <w:r w:rsidRPr="001B5A65">
              <w:rPr>
                <w:rFonts w:cs="Arial"/>
                <w:color w:val="000000" w:themeColor="text1"/>
                <w:szCs w:val="24"/>
              </w:rPr>
              <w:t xml:space="preserve"> </w:t>
            </w:r>
            <w:r>
              <w:rPr>
                <w:rFonts w:cs="Arial"/>
                <w:color w:val="000000" w:themeColor="text1"/>
                <w:szCs w:val="24"/>
              </w:rPr>
              <w:t xml:space="preserve">  </w:t>
            </w:r>
            <w:r w:rsidRPr="001B5A65">
              <w:rPr>
                <w:rFonts w:cs="Arial"/>
                <w:color w:val="000000" w:themeColor="text1"/>
                <w:szCs w:val="24"/>
              </w:rPr>
              <w:t xml:space="preserve"> (3.46)</w:t>
            </w:r>
          </w:p>
        </w:tc>
      </w:tr>
      <w:tr w:rsidR="00F64633" w:rsidRPr="006B1B84" w14:paraId="46FFAEDB" w14:textId="77777777" w:rsidTr="00BD112E">
        <w:trPr>
          <w:trHeight w:val="397"/>
        </w:trPr>
        <w:tc>
          <w:tcPr>
            <w:tcW w:w="4570" w:type="dxa"/>
            <w:tcBorders>
              <w:top w:val="single" w:sz="4" w:space="0" w:color="auto"/>
              <w:bottom w:val="single" w:sz="4" w:space="0" w:color="auto"/>
            </w:tcBorders>
            <w:shd w:val="clear" w:color="auto" w:fill="D9D9D9" w:themeFill="background1" w:themeFillShade="D9"/>
            <w:vAlign w:val="center"/>
          </w:tcPr>
          <w:p w14:paraId="454FDD33" w14:textId="77777777" w:rsidR="00F64633" w:rsidRPr="00C176A8" w:rsidRDefault="00F64633" w:rsidP="00BD112E">
            <w:pPr>
              <w:pStyle w:val="ListParagraph"/>
              <w:ind w:left="0"/>
              <w:rPr>
                <w:rFonts w:cs="Arial"/>
                <w:b/>
                <w:bCs/>
                <w:szCs w:val="24"/>
              </w:rPr>
            </w:pPr>
            <w:r w:rsidRPr="00C176A8">
              <w:rPr>
                <w:rFonts w:cs="Arial"/>
                <w:b/>
                <w:bCs/>
                <w:szCs w:val="24"/>
              </w:rPr>
              <w:t>Under/(Over) Borrowing Requirement</w:t>
            </w:r>
          </w:p>
        </w:tc>
        <w:tc>
          <w:tcPr>
            <w:tcW w:w="1134" w:type="dxa"/>
            <w:shd w:val="clear" w:color="auto" w:fill="D9D9D9" w:themeFill="background1" w:themeFillShade="D9"/>
            <w:vAlign w:val="center"/>
          </w:tcPr>
          <w:p w14:paraId="23E5B8D5" w14:textId="77777777" w:rsidR="00F64633" w:rsidRPr="00C176A8" w:rsidRDefault="00F64633" w:rsidP="00BD112E">
            <w:pPr>
              <w:pStyle w:val="ListParagraph"/>
              <w:ind w:left="0"/>
              <w:jc w:val="right"/>
              <w:rPr>
                <w:rFonts w:cs="Arial"/>
                <w:b/>
                <w:bCs/>
                <w:szCs w:val="24"/>
              </w:rPr>
            </w:pPr>
            <w:r>
              <w:rPr>
                <w:rFonts w:cs="Arial"/>
                <w:b/>
                <w:bCs/>
                <w:szCs w:val="24"/>
              </w:rPr>
              <w:t>15.42</w:t>
            </w:r>
          </w:p>
        </w:tc>
        <w:tc>
          <w:tcPr>
            <w:tcW w:w="1134" w:type="dxa"/>
            <w:shd w:val="clear" w:color="auto" w:fill="D9D9D9" w:themeFill="background1" w:themeFillShade="D9"/>
            <w:vAlign w:val="center"/>
          </w:tcPr>
          <w:p w14:paraId="3EF08BE9" w14:textId="77777777" w:rsidR="00F64633" w:rsidRPr="001B5A65" w:rsidRDefault="00F64633" w:rsidP="00BD112E">
            <w:pPr>
              <w:pStyle w:val="ListParagraph"/>
              <w:ind w:left="0"/>
              <w:jc w:val="right"/>
              <w:rPr>
                <w:rFonts w:cs="Arial"/>
                <w:b/>
                <w:bCs/>
                <w:color w:val="000000" w:themeColor="text1"/>
                <w:szCs w:val="24"/>
              </w:rPr>
            </w:pPr>
            <w:r>
              <w:rPr>
                <w:rFonts w:cs="Arial"/>
                <w:b/>
                <w:bCs/>
                <w:color w:val="000000" w:themeColor="text1"/>
                <w:szCs w:val="24"/>
              </w:rPr>
              <w:t>17.67</w:t>
            </w:r>
          </w:p>
        </w:tc>
        <w:tc>
          <w:tcPr>
            <w:tcW w:w="1134" w:type="dxa"/>
            <w:shd w:val="clear" w:color="auto" w:fill="D9D9D9" w:themeFill="background1" w:themeFillShade="D9"/>
            <w:vAlign w:val="center"/>
          </w:tcPr>
          <w:p w14:paraId="2D343CE4" w14:textId="77777777" w:rsidR="00F64633" w:rsidRPr="001B5A65" w:rsidRDefault="00F64633" w:rsidP="00BD112E">
            <w:pPr>
              <w:pStyle w:val="ListParagraph"/>
              <w:ind w:left="0"/>
              <w:jc w:val="right"/>
              <w:rPr>
                <w:rFonts w:cs="Arial"/>
                <w:b/>
                <w:bCs/>
                <w:color w:val="000000" w:themeColor="text1"/>
                <w:szCs w:val="24"/>
              </w:rPr>
            </w:pPr>
            <w:r>
              <w:rPr>
                <w:rFonts w:cs="Arial"/>
                <w:b/>
                <w:bCs/>
                <w:color w:val="000000" w:themeColor="text1"/>
                <w:szCs w:val="24"/>
              </w:rPr>
              <w:t>20.60</w:t>
            </w:r>
          </w:p>
        </w:tc>
        <w:tc>
          <w:tcPr>
            <w:tcW w:w="1134" w:type="dxa"/>
            <w:shd w:val="clear" w:color="auto" w:fill="D9D9D9" w:themeFill="background1" w:themeFillShade="D9"/>
            <w:vAlign w:val="center"/>
          </w:tcPr>
          <w:p w14:paraId="4810C919" w14:textId="77777777" w:rsidR="00F64633" w:rsidRPr="001B5A65" w:rsidRDefault="00F64633" w:rsidP="00BD112E">
            <w:pPr>
              <w:pStyle w:val="ListParagraph"/>
              <w:ind w:left="0"/>
              <w:jc w:val="right"/>
              <w:rPr>
                <w:rFonts w:cs="Arial"/>
                <w:b/>
                <w:bCs/>
                <w:color w:val="000000" w:themeColor="text1"/>
                <w:szCs w:val="24"/>
              </w:rPr>
            </w:pPr>
            <w:r>
              <w:rPr>
                <w:rFonts w:cs="Arial"/>
                <w:b/>
                <w:bCs/>
                <w:color w:val="000000" w:themeColor="text1"/>
                <w:szCs w:val="24"/>
              </w:rPr>
              <w:t>20.06</w:t>
            </w:r>
          </w:p>
        </w:tc>
      </w:tr>
      <w:tr w:rsidR="00F64633" w:rsidRPr="006B1B84" w14:paraId="0F06D734" w14:textId="77777777" w:rsidTr="00BD112E">
        <w:trPr>
          <w:trHeight w:val="397"/>
        </w:trPr>
        <w:tc>
          <w:tcPr>
            <w:tcW w:w="4570" w:type="dxa"/>
            <w:tcBorders>
              <w:top w:val="single" w:sz="4" w:space="0" w:color="auto"/>
              <w:bottom w:val="single" w:sz="4" w:space="0" w:color="auto"/>
            </w:tcBorders>
            <w:vAlign w:val="center"/>
          </w:tcPr>
          <w:p w14:paraId="59E3DB2D" w14:textId="77777777" w:rsidR="00F64633" w:rsidRDefault="00F64633" w:rsidP="00BD112E">
            <w:pPr>
              <w:pStyle w:val="ListParagraph"/>
              <w:ind w:left="0"/>
              <w:rPr>
                <w:rFonts w:cs="Arial"/>
                <w:szCs w:val="24"/>
              </w:rPr>
            </w:pPr>
            <w:r>
              <w:rPr>
                <w:rFonts w:cs="Arial"/>
                <w:szCs w:val="24"/>
              </w:rPr>
              <w:t>Gross Borrowing within CFR</w:t>
            </w:r>
          </w:p>
        </w:tc>
        <w:tc>
          <w:tcPr>
            <w:tcW w:w="1134" w:type="dxa"/>
            <w:vAlign w:val="center"/>
          </w:tcPr>
          <w:p w14:paraId="155C4277" w14:textId="77777777" w:rsidR="00F64633" w:rsidRPr="00307CA8" w:rsidRDefault="00F64633" w:rsidP="00BD112E">
            <w:pPr>
              <w:pStyle w:val="ListParagraph"/>
              <w:ind w:left="0"/>
              <w:jc w:val="center"/>
              <w:rPr>
                <w:rFonts w:cs="Arial"/>
                <w:szCs w:val="24"/>
              </w:rPr>
            </w:pPr>
            <w:r>
              <w:rPr>
                <w:rFonts w:cs="Arial"/>
                <w:szCs w:val="24"/>
              </w:rPr>
              <w:t>Yes</w:t>
            </w:r>
          </w:p>
        </w:tc>
        <w:tc>
          <w:tcPr>
            <w:tcW w:w="1134" w:type="dxa"/>
            <w:shd w:val="clear" w:color="auto" w:fill="F2CEED" w:themeFill="accent5" w:themeFillTint="33"/>
            <w:vAlign w:val="center"/>
          </w:tcPr>
          <w:p w14:paraId="0F6E7F0A" w14:textId="77777777" w:rsidR="00F64633" w:rsidRPr="001B5A65" w:rsidRDefault="00F64633" w:rsidP="00BD112E">
            <w:pPr>
              <w:pStyle w:val="ListParagraph"/>
              <w:ind w:left="0"/>
              <w:jc w:val="center"/>
              <w:rPr>
                <w:rFonts w:cs="Arial"/>
                <w:color w:val="000000" w:themeColor="text1"/>
                <w:szCs w:val="24"/>
              </w:rPr>
            </w:pPr>
            <w:r w:rsidRPr="001B5A65">
              <w:rPr>
                <w:rFonts w:cs="Arial"/>
                <w:color w:val="000000" w:themeColor="text1"/>
                <w:szCs w:val="24"/>
              </w:rPr>
              <w:t>Yes</w:t>
            </w:r>
          </w:p>
        </w:tc>
        <w:tc>
          <w:tcPr>
            <w:tcW w:w="1134" w:type="dxa"/>
            <w:vAlign w:val="center"/>
          </w:tcPr>
          <w:p w14:paraId="1D0C51C4" w14:textId="77777777" w:rsidR="00F64633" w:rsidRPr="001B5A65" w:rsidRDefault="00F64633" w:rsidP="00BD112E">
            <w:pPr>
              <w:pStyle w:val="ListParagraph"/>
              <w:ind w:left="0"/>
              <w:jc w:val="center"/>
              <w:rPr>
                <w:rFonts w:cs="Arial"/>
                <w:color w:val="000000" w:themeColor="text1"/>
                <w:szCs w:val="24"/>
              </w:rPr>
            </w:pPr>
            <w:r w:rsidRPr="001B5A65">
              <w:rPr>
                <w:rFonts w:cs="Arial"/>
                <w:color w:val="000000" w:themeColor="text1"/>
                <w:szCs w:val="24"/>
              </w:rPr>
              <w:t>Yes</w:t>
            </w:r>
          </w:p>
        </w:tc>
        <w:tc>
          <w:tcPr>
            <w:tcW w:w="1134" w:type="dxa"/>
            <w:vAlign w:val="center"/>
          </w:tcPr>
          <w:p w14:paraId="7CA98957" w14:textId="77777777" w:rsidR="00F64633" w:rsidRPr="001B5A65" w:rsidRDefault="00F64633" w:rsidP="00BD112E">
            <w:pPr>
              <w:pStyle w:val="ListParagraph"/>
              <w:ind w:left="0"/>
              <w:jc w:val="center"/>
              <w:rPr>
                <w:rFonts w:cs="Arial"/>
                <w:bCs/>
                <w:color w:val="000000" w:themeColor="text1"/>
                <w:szCs w:val="24"/>
              </w:rPr>
            </w:pPr>
            <w:r w:rsidRPr="001B5A65">
              <w:rPr>
                <w:rFonts w:cs="Arial"/>
                <w:color w:val="000000" w:themeColor="text1"/>
                <w:szCs w:val="24"/>
              </w:rPr>
              <w:t>Yes</w:t>
            </w:r>
          </w:p>
        </w:tc>
      </w:tr>
    </w:tbl>
    <w:p w14:paraId="147A9E77" w14:textId="77777777" w:rsidR="00F64633" w:rsidRPr="00C24B47" w:rsidRDefault="00F64633" w:rsidP="00C24B47">
      <w:pPr>
        <w:pStyle w:val="BodyText"/>
        <w:spacing w:after="0" w:line="240" w:lineRule="auto"/>
        <w:jc w:val="left"/>
        <w:rPr>
          <w:rFonts w:ascii="Arial" w:hAnsi="Arial" w:cs="Arial"/>
          <w:szCs w:val="24"/>
        </w:rPr>
      </w:pPr>
    </w:p>
    <w:p w14:paraId="3F1DF407" w14:textId="7D6CDB61" w:rsidR="00F64633" w:rsidRPr="00C24B47" w:rsidRDefault="00F64633" w:rsidP="00C24B47">
      <w:pPr>
        <w:pStyle w:val="BodyText"/>
        <w:spacing w:after="0" w:line="240" w:lineRule="auto"/>
        <w:jc w:val="left"/>
        <w:rPr>
          <w:rFonts w:ascii="Arial" w:hAnsi="Arial" w:cs="Arial"/>
          <w:szCs w:val="24"/>
        </w:rPr>
      </w:pPr>
      <w:r w:rsidRPr="00C24B47">
        <w:rPr>
          <w:rFonts w:ascii="Arial" w:hAnsi="Arial" w:cs="Arial"/>
          <w:bCs/>
          <w:szCs w:val="24"/>
        </w:rPr>
        <w:t>The difference between the CFR and the Gross Borrowing figures represent</w:t>
      </w:r>
      <w:r w:rsidR="007A0584">
        <w:rPr>
          <w:rFonts w:ascii="Arial" w:hAnsi="Arial" w:cs="Arial"/>
          <w:bCs/>
          <w:szCs w:val="24"/>
        </w:rPr>
        <w:t>ed</w:t>
      </w:r>
      <w:r w:rsidRPr="00C24B47">
        <w:rPr>
          <w:rFonts w:ascii="Arial" w:hAnsi="Arial" w:cs="Arial"/>
          <w:bCs/>
          <w:szCs w:val="24"/>
        </w:rPr>
        <w:t xml:space="preserve"> the Council’s underlying need to </w:t>
      </w:r>
      <w:r w:rsidRPr="00C24B47">
        <w:rPr>
          <w:rFonts w:ascii="Arial" w:hAnsi="Arial" w:cs="Arial"/>
          <w:bCs/>
          <w:color w:val="000000" w:themeColor="text1"/>
          <w:szCs w:val="24"/>
        </w:rPr>
        <w:t xml:space="preserve">borrow (£17.67M 31/03/25 forecast) </w:t>
      </w:r>
      <w:r w:rsidRPr="00C24B47">
        <w:rPr>
          <w:rFonts w:ascii="Arial" w:hAnsi="Arial" w:cs="Arial"/>
          <w:bCs/>
          <w:szCs w:val="24"/>
        </w:rPr>
        <w:t>and indicate</w:t>
      </w:r>
      <w:r w:rsidR="007A0584">
        <w:rPr>
          <w:rFonts w:ascii="Arial" w:hAnsi="Arial" w:cs="Arial"/>
          <w:bCs/>
          <w:szCs w:val="24"/>
        </w:rPr>
        <w:t>d</w:t>
      </w:r>
      <w:r w:rsidRPr="00C24B47">
        <w:rPr>
          <w:rFonts w:ascii="Arial" w:hAnsi="Arial" w:cs="Arial"/>
          <w:bCs/>
          <w:szCs w:val="24"/>
        </w:rPr>
        <w:t xml:space="preserve"> that historic capital expenditure ha</w:t>
      </w:r>
      <w:r w:rsidR="007A0584">
        <w:rPr>
          <w:rFonts w:ascii="Arial" w:hAnsi="Arial" w:cs="Arial"/>
          <w:bCs/>
          <w:szCs w:val="24"/>
        </w:rPr>
        <w:t>d</w:t>
      </w:r>
      <w:r w:rsidRPr="00C24B47">
        <w:rPr>
          <w:rFonts w:ascii="Arial" w:hAnsi="Arial" w:cs="Arial"/>
          <w:bCs/>
          <w:szCs w:val="24"/>
        </w:rPr>
        <w:t xml:space="preserve"> been temporarily financed from internal revenue resources.  Th</w:t>
      </w:r>
      <w:r w:rsidR="007A0584">
        <w:rPr>
          <w:rFonts w:ascii="Arial" w:hAnsi="Arial" w:cs="Arial"/>
          <w:bCs/>
          <w:szCs w:val="24"/>
        </w:rPr>
        <w:t xml:space="preserve">at had </w:t>
      </w:r>
      <w:r w:rsidRPr="00C24B47">
        <w:rPr>
          <w:rFonts w:ascii="Arial" w:hAnsi="Arial" w:cs="Arial"/>
          <w:bCs/>
          <w:szCs w:val="24"/>
        </w:rPr>
        <w:t>been made possible due to an increase in the Council’s cash reserves in the current and previous years.  The position ha</w:t>
      </w:r>
      <w:r w:rsidR="007A0584">
        <w:rPr>
          <w:rFonts w:ascii="Arial" w:hAnsi="Arial" w:cs="Arial"/>
          <w:bCs/>
          <w:szCs w:val="24"/>
        </w:rPr>
        <w:t>d</w:t>
      </w:r>
      <w:r w:rsidRPr="00C24B47">
        <w:rPr>
          <w:rFonts w:ascii="Arial" w:hAnsi="Arial" w:cs="Arial"/>
          <w:bCs/>
          <w:szCs w:val="24"/>
        </w:rPr>
        <w:t xml:space="preserve"> been similar for several years now with the Council last taking out long-term borrowings in November 2018.</w:t>
      </w:r>
    </w:p>
    <w:p w14:paraId="3522F83A" w14:textId="77777777" w:rsidR="00F64633" w:rsidRPr="00C24B47" w:rsidRDefault="00F64633" w:rsidP="00C24B47">
      <w:pPr>
        <w:pStyle w:val="BodyText"/>
        <w:spacing w:after="0" w:line="240" w:lineRule="auto"/>
        <w:jc w:val="left"/>
        <w:rPr>
          <w:rFonts w:ascii="Arial" w:hAnsi="Arial" w:cs="Arial"/>
          <w:bCs/>
          <w:szCs w:val="24"/>
        </w:rPr>
      </w:pPr>
    </w:p>
    <w:p w14:paraId="19998B89" w14:textId="77777777" w:rsidR="00F64633" w:rsidRPr="00C24B47" w:rsidRDefault="00F64633" w:rsidP="00C24B47">
      <w:pPr>
        <w:pStyle w:val="Header"/>
        <w:rPr>
          <w:rFonts w:cs="Arial"/>
          <w:b/>
          <w:bCs/>
          <w:szCs w:val="24"/>
        </w:rPr>
      </w:pPr>
      <w:r w:rsidRPr="00C24B47">
        <w:rPr>
          <w:rFonts w:cs="Arial"/>
          <w:b/>
          <w:bCs/>
          <w:szCs w:val="24"/>
        </w:rPr>
        <w:t>1.3 Capital - Debt and the Authorised Limit and Operational Boundary</w:t>
      </w:r>
    </w:p>
    <w:p w14:paraId="328ABEAB" w14:textId="30CAE3EA" w:rsidR="00F64633" w:rsidRPr="00C24B47" w:rsidRDefault="00F64633" w:rsidP="00C24B47">
      <w:pPr>
        <w:pStyle w:val="Header"/>
        <w:rPr>
          <w:rFonts w:cs="Arial"/>
          <w:bCs/>
          <w:szCs w:val="24"/>
        </w:rPr>
      </w:pPr>
      <w:r w:rsidRPr="00C24B47">
        <w:rPr>
          <w:rFonts w:cs="Arial"/>
          <w:bCs/>
          <w:szCs w:val="24"/>
        </w:rPr>
        <w:t xml:space="preserve">The Council </w:t>
      </w:r>
      <w:r w:rsidR="007A0584">
        <w:rPr>
          <w:rFonts w:cs="Arial"/>
          <w:bCs/>
          <w:szCs w:val="24"/>
        </w:rPr>
        <w:t>was</w:t>
      </w:r>
      <w:r w:rsidRPr="00C24B47">
        <w:rPr>
          <w:rFonts w:cs="Arial"/>
          <w:bCs/>
          <w:szCs w:val="24"/>
        </w:rPr>
        <w:t xml:space="preserve"> legally obliged to set an affordable borrowing limit each year, known as the ‘Authorised Limit’.  In line with statutory guidance, a lower ‘operational boundary’ </w:t>
      </w:r>
      <w:r w:rsidR="007A0584">
        <w:rPr>
          <w:rFonts w:cs="Arial"/>
          <w:bCs/>
          <w:szCs w:val="24"/>
        </w:rPr>
        <w:t>was</w:t>
      </w:r>
      <w:r w:rsidRPr="00C24B47">
        <w:rPr>
          <w:rFonts w:cs="Arial"/>
          <w:bCs/>
          <w:szCs w:val="24"/>
        </w:rPr>
        <w:t xml:space="preserve"> also set as a warning level should debt approach the limit.</w:t>
      </w:r>
    </w:p>
    <w:p w14:paraId="0FC16CEE" w14:textId="77777777" w:rsidR="00F64633" w:rsidRPr="00C24B47" w:rsidRDefault="00F64633" w:rsidP="00C24B47">
      <w:pPr>
        <w:pStyle w:val="Header"/>
        <w:rPr>
          <w:rFonts w:cs="Arial"/>
          <w:bCs/>
          <w:color w:val="000000" w:themeColor="text1"/>
          <w:szCs w:val="24"/>
        </w:rPr>
      </w:pPr>
    </w:p>
    <w:p w14:paraId="0A7CB2E4" w14:textId="770399F7" w:rsidR="00F64633" w:rsidRPr="00C24B47" w:rsidRDefault="00F64633" w:rsidP="00C24B47">
      <w:pPr>
        <w:pStyle w:val="Header"/>
        <w:rPr>
          <w:rFonts w:cs="Arial"/>
          <w:bCs/>
          <w:szCs w:val="24"/>
        </w:rPr>
      </w:pPr>
      <w:r w:rsidRPr="00C24B47">
        <w:rPr>
          <w:rFonts w:cs="Arial"/>
          <w:bCs/>
          <w:color w:val="000000" w:themeColor="text1"/>
          <w:szCs w:val="24"/>
        </w:rPr>
        <w:t xml:space="preserve">The revised forecast for external gross borrowing (including leases) at 31 March 2025 </w:t>
      </w:r>
      <w:r w:rsidR="00EF661B">
        <w:rPr>
          <w:rFonts w:cs="Arial"/>
          <w:bCs/>
          <w:color w:val="000000" w:themeColor="text1"/>
          <w:szCs w:val="24"/>
        </w:rPr>
        <w:t>was</w:t>
      </w:r>
      <w:r w:rsidRPr="00C24B47">
        <w:rPr>
          <w:rFonts w:cs="Arial"/>
          <w:bCs/>
          <w:color w:val="000000" w:themeColor="text1"/>
          <w:szCs w:val="24"/>
        </w:rPr>
        <w:t xml:space="preserve"> £61M </w:t>
      </w:r>
      <w:r w:rsidRPr="00C24B47">
        <w:rPr>
          <w:rFonts w:cs="Arial"/>
          <w:bCs/>
          <w:szCs w:val="24"/>
        </w:rPr>
        <w:t>(table 1.2).  The Council</w:t>
      </w:r>
      <w:r w:rsidR="00C24B47">
        <w:rPr>
          <w:rFonts w:cs="Arial"/>
          <w:bCs/>
          <w:szCs w:val="24"/>
        </w:rPr>
        <w:t xml:space="preserve"> was</w:t>
      </w:r>
      <w:r w:rsidRPr="00C24B47">
        <w:rPr>
          <w:rFonts w:cs="Arial"/>
          <w:bCs/>
          <w:szCs w:val="24"/>
        </w:rPr>
        <w:t xml:space="preserve"> therefore forecast to remain well within both the Authorised Limit and the Operational Boundary set for the year as follows:</w:t>
      </w:r>
    </w:p>
    <w:p w14:paraId="6CE792CB" w14:textId="77777777" w:rsidR="00F64633" w:rsidRPr="00C81460" w:rsidRDefault="00F64633" w:rsidP="00F64633">
      <w:pPr>
        <w:pStyle w:val="Header"/>
        <w:jc w:val="both"/>
        <w:rPr>
          <w:rFonts w:cs="Arial"/>
          <w:bCs/>
          <w:sz w:val="12"/>
          <w:szCs w:val="8"/>
        </w:rPr>
      </w:pPr>
    </w:p>
    <w:tbl>
      <w:tblPr>
        <w:tblStyle w:val="TableGrid"/>
        <w:tblW w:w="6776" w:type="dxa"/>
        <w:tblInd w:w="0" w:type="dxa"/>
        <w:tblLook w:val="04A0" w:firstRow="1" w:lastRow="0" w:firstColumn="1" w:lastColumn="0" w:noHBand="0" w:noVBand="1"/>
      </w:tblPr>
      <w:tblGrid>
        <w:gridCol w:w="5217"/>
        <w:gridCol w:w="1559"/>
      </w:tblGrid>
      <w:tr w:rsidR="00F64633" w:rsidRPr="0036511F" w14:paraId="273B7141" w14:textId="77777777" w:rsidTr="00F91F4B">
        <w:trPr>
          <w:trHeight w:val="416"/>
        </w:trPr>
        <w:tc>
          <w:tcPr>
            <w:tcW w:w="5217" w:type="dxa"/>
            <w:tcBorders>
              <w:bottom w:val="single" w:sz="4" w:space="0" w:color="auto"/>
            </w:tcBorders>
            <w:shd w:val="clear" w:color="auto" w:fill="0070C0"/>
          </w:tcPr>
          <w:p w14:paraId="0AF757E8" w14:textId="77777777" w:rsidR="00F64633" w:rsidRPr="00785D11" w:rsidRDefault="00F64633" w:rsidP="00F91F4B">
            <w:pPr>
              <w:spacing w:before="60" w:after="60"/>
              <w:rPr>
                <w:rFonts w:cs="Arial"/>
                <w:b/>
                <w:bCs/>
                <w:color w:val="FFFFFF" w:themeColor="background1"/>
                <w:szCs w:val="24"/>
              </w:rPr>
            </w:pPr>
            <w:r w:rsidRPr="00C81460">
              <w:rPr>
                <w:rFonts w:cs="Arial"/>
                <w:b/>
                <w:bCs/>
                <w:color w:val="FFFFFF" w:themeColor="background1"/>
              </w:rPr>
              <w:t>Table 1.3</w:t>
            </w:r>
          </w:p>
        </w:tc>
        <w:tc>
          <w:tcPr>
            <w:tcW w:w="1559" w:type="dxa"/>
            <w:tcBorders>
              <w:bottom w:val="single" w:sz="4" w:space="0" w:color="auto"/>
            </w:tcBorders>
            <w:shd w:val="clear" w:color="auto" w:fill="0070C0"/>
          </w:tcPr>
          <w:p w14:paraId="4DF410F5" w14:textId="77777777" w:rsidR="00F64633" w:rsidRPr="00366483" w:rsidRDefault="00F64633" w:rsidP="00F91F4B">
            <w:pPr>
              <w:spacing w:before="60" w:after="60"/>
              <w:jc w:val="center"/>
              <w:rPr>
                <w:rFonts w:cs="Arial"/>
                <w:b/>
                <w:color w:val="FFFFFF" w:themeColor="background1"/>
                <w:szCs w:val="24"/>
              </w:rPr>
            </w:pPr>
            <w:r w:rsidRPr="00C81460">
              <w:rPr>
                <w:rFonts w:cs="Arial"/>
                <w:b/>
                <w:color w:val="FFFFFF" w:themeColor="background1"/>
              </w:rPr>
              <w:t>202</w:t>
            </w:r>
            <w:r>
              <w:rPr>
                <w:rFonts w:cs="Arial"/>
                <w:b/>
                <w:color w:val="FFFFFF" w:themeColor="background1"/>
              </w:rPr>
              <w:t>4</w:t>
            </w:r>
            <w:r w:rsidRPr="00C81460">
              <w:rPr>
                <w:rFonts w:cs="Arial"/>
                <w:b/>
                <w:color w:val="FFFFFF" w:themeColor="background1"/>
              </w:rPr>
              <w:t>/2</w:t>
            </w:r>
            <w:r>
              <w:rPr>
                <w:rFonts w:cs="Arial"/>
                <w:b/>
                <w:color w:val="FFFFFF" w:themeColor="background1"/>
              </w:rPr>
              <w:t>5</w:t>
            </w:r>
            <w:r>
              <w:rPr>
                <w:rFonts w:cs="Arial"/>
                <w:b/>
                <w:color w:val="FFFFFF" w:themeColor="background1"/>
                <w:szCs w:val="24"/>
              </w:rPr>
              <w:t xml:space="preserve"> </w:t>
            </w:r>
          </w:p>
        </w:tc>
      </w:tr>
      <w:tr w:rsidR="00F64633" w:rsidRPr="0036511F" w14:paraId="424F7C3A" w14:textId="77777777" w:rsidTr="00F91F4B">
        <w:tc>
          <w:tcPr>
            <w:tcW w:w="5217" w:type="dxa"/>
            <w:tcBorders>
              <w:top w:val="single" w:sz="4" w:space="0" w:color="auto"/>
              <w:left w:val="single" w:sz="4" w:space="0" w:color="auto"/>
              <w:bottom w:val="single" w:sz="4" w:space="0" w:color="auto"/>
              <w:right w:val="single" w:sz="4" w:space="0" w:color="auto"/>
            </w:tcBorders>
            <w:vAlign w:val="center"/>
          </w:tcPr>
          <w:p w14:paraId="2E7493D2" w14:textId="77777777" w:rsidR="00F64633" w:rsidRPr="0036511F" w:rsidRDefault="00F64633" w:rsidP="00F91F4B">
            <w:pPr>
              <w:spacing w:before="60" w:after="60"/>
              <w:rPr>
                <w:rFonts w:cs="Arial"/>
                <w:szCs w:val="24"/>
              </w:rPr>
            </w:pPr>
            <w:r w:rsidRPr="0036511F">
              <w:rPr>
                <w:rFonts w:cs="Arial"/>
                <w:szCs w:val="24"/>
              </w:rPr>
              <w:t>Authorised limit</w:t>
            </w:r>
            <w:r>
              <w:rPr>
                <w:rFonts w:cs="Arial"/>
                <w:szCs w:val="24"/>
              </w:rPr>
              <w:t xml:space="preserve"> – borrowing</w:t>
            </w:r>
          </w:p>
        </w:tc>
        <w:tc>
          <w:tcPr>
            <w:tcW w:w="1559" w:type="dxa"/>
            <w:tcBorders>
              <w:bottom w:val="single" w:sz="4" w:space="0" w:color="auto"/>
            </w:tcBorders>
            <w:shd w:val="clear" w:color="auto" w:fill="F2CEED" w:themeFill="accent5" w:themeFillTint="33"/>
            <w:vAlign w:val="center"/>
          </w:tcPr>
          <w:p w14:paraId="4957A486" w14:textId="77777777" w:rsidR="00F64633" w:rsidRPr="008356EA" w:rsidRDefault="00F64633" w:rsidP="00F91F4B">
            <w:pPr>
              <w:spacing w:before="60" w:after="60"/>
              <w:jc w:val="right"/>
              <w:rPr>
                <w:rFonts w:cs="Arial"/>
                <w:szCs w:val="24"/>
              </w:rPr>
            </w:pPr>
            <w:r>
              <w:rPr>
                <w:rFonts w:cs="Arial"/>
                <w:szCs w:val="24"/>
              </w:rPr>
              <w:t>£ 88.92M</w:t>
            </w:r>
          </w:p>
        </w:tc>
      </w:tr>
      <w:tr w:rsidR="00F64633" w:rsidRPr="0036511F" w14:paraId="7A475F3D" w14:textId="77777777" w:rsidTr="00F91F4B">
        <w:tc>
          <w:tcPr>
            <w:tcW w:w="5217" w:type="dxa"/>
            <w:tcBorders>
              <w:top w:val="single" w:sz="4" w:space="0" w:color="auto"/>
              <w:bottom w:val="single" w:sz="4" w:space="0" w:color="auto"/>
            </w:tcBorders>
          </w:tcPr>
          <w:p w14:paraId="7E5D84D9" w14:textId="77777777" w:rsidR="00F64633" w:rsidRDefault="00F64633" w:rsidP="00F91F4B">
            <w:pPr>
              <w:spacing w:before="60" w:after="60"/>
              <w:rPr>
                <w:rFonts w:cs="Arial"/>
                <w:szCs w:val="24"/>
              </w:rPr>
            </w:pPr>
            <w:r>
              <w:rPr>
                <w:rFonts w:cs="Arial"/>
                <w:szCs w:val="24"/>
              </w:rPr>
              <w:lastRenderedPageBreak/>
              <w:t>Operational boundary – borrowing</w:t>
            </w:r>
          </w:p>
        </w:tc>
        <w:tc>
          <w:tcPr>
            <w:tcW w:w="1559" w:type="dxa"/>
            <w:tcBorders>
              <w:bottom w:val="single" w:sz="4" w:space="0" w:color="auto"/>
            </w:tcBorders>
            <w:shd w:val="clear" w:color="auto" w:fill="F2CEED" w:themeFill="accent5" w:themeFillTint="33"/>
            <w:vAlign w:val="center"/>
          </w:tcPr>
          <w:p w14:paraId="64BE797B" w14:textId="77777777" w:rsidR="00F64633" w:rsidRDefault="00F64633" w:rsidP="00F91F4B">
            <w:pPr>
              <w:spacing w:before="60" w:after="60"/>
              <w:jc w:val="right"/>
              <w:rPr>
                <w:rFonts w:cs="Arial"/>
                <w:szCs w:val="24"/>
              </w:rPr>
            </w:pPr>
            <w:r>
              <w:rPr>
                <w:rFonts w:cs="Arial"/>
                <w:szCs w:val="24"/>
              </w:rPr>
              <w:t>£ 83.92M</w:t>
            </w:r>
          </w:p>
        </w:tc>
      </w:tr>
    </w:tbl>
    <w:p w14:paraId="1F1D9528" w14:textId="77777777" w:rsidR="00F64633" w:rsidRDefault="00F64633" w:rsidP="00F64633">
      <w:pPr>
        <w:pStyle w:val="Header"/>
        <w:jc w:val="both"/>
        <w:rPr>
          <w:rFonts w:cs="Arial"/>
          <w:bCs/>
        </w:rPr>
      </w:pPr>
    </w:p>
    <w:p w14:paraId="4CEFEBE2" w14:textId="77777777" w:rsidR="00F64633" w:rsidRDefault="00F64633" w:rsidP="00F64633">
      <w:pPr>
        <w:pStyle w:val="Header"/>
        <w:jc w:val="both"/>
        <w:rPr>
          <w:rFonts w:cs="Arial"/>
          <w:bCs/>
        </w:rPr>
      </w:pPr>
    </w:p>
    <w:p w14:paraId="17DCAFD7" w14:textId="77777777" w:rsidR="00F64633" w:rsidRPr="00C24B47" w:rsidRDefault="00F64633" w:rsidP="00C24B47">
      <w:pPr>
        <w:pStyle w:val="Header"/>
        <w:rPr>
          <w:rFonts w:cs="Arial"/>
          <w:b/>
          <w:bCs/>
          <w:szCs w:val="24"/>
        </w:rPr>
      </w:pPr>
    </w:p>
    <w:p w14:paraId="08528AE0" w14:textId="77777777" w:rsidR="00F64633" w:rsidRPr="00C24B47" w:rsidRDefault="00F64633" w:rsidP="00C24B47">
      <w:pPr>
        <w:pStyle w:val="Header"/>
        <w:rPr>
          <w:rFonts w:cs="Arial"/>
          <w:b/>
          <w:bCs/>
          <w:szCs w:val="24"/>
        </w:rPr>
      </w:pPr>
      <w:r w:rsidRPr="00C24B47">
        <w:rPr>
          <w:rFonts w:cs="Arial"/>
          <w:b/>
          <w:bCs/>
          <w:szCs w:val="24"/>
        </w:rPr>
        <w:t>1.4 Capital - Revenue Budget Implications</w:t>
      </w:r>
    </w:p>
    <w:p w14:paraId="61A65697" w14:textId="5D1DE320" w:rsidR="00F64633" w:rsidRDefault="00F64633" w:rsidP="00C24B47">
      <w:pPr>
        <w:rPr>
          <w:rFonts w:cs="Arial"/>
          <w:szCs w:val="24"/>
        </w:rPr>
      </w:pPr>
      <w:r w:rsidRPr="00C24B47">
        <w:rPr>
          <w:rFonts w:cs="Arial"/>
          <w:szCs w:val="24"/>
        </w:rPr>
        <w:t xml:space="preserve">Capital expenditure </w:t>
      </w:r>
      <w:r w:rsidR="007A0584">
        <w:rPr>
          <w:rFonts w:cs="Arial"/>
          <w:szCs w:val="24"/>
        </w:rPr>
        <w:t xml:space="preserve">was </w:t>
      </w:r>
      <w:r w:rsidRPr="00C24B47">
        <w:rPr>
          <w:rFonts w:cs="Arial"/>
          <w:szCs w:val="24"/>
        </w:rPr>
        <w:t xml:space="preserve">not charged directly to the revenue budget. Instead, interest payable on borrowings and MRP (minimum revenue provision), together known as capital financing costs, </w:t>
      </w:r>
      <w:r w:rsidR="007A0584">
        <w:rPr>
          <w:rFonts w:cs="Arial"/>
          <w:szCs w:val="24"/>
        </w:rPr>
        <w:t>were</w:t>
      </w:r>
      <w:r w:rsidRPr="00C24B47">
        <w:rPr>
          <w:rFonts w:cs="Arial"/>
          <w:szCs w:val="24"/>
        </w:rPr>
        <w:t xml:space="preserve"> charged to revenue. Th</w:t>
      </w:r>
      <w:r w:rsidR="007A0584">
        <w:rPr>
          <w:rFonts w:cs="Arial"/>
          <w:szCs w:val="24"/>
        </w:rPr>
        <w:t>o</w:t>
      </w:r>
      <w:r w:rsidRPr="00C24B47">
        <w:rPr>
          <w:rFonts w:cs="Arial"/>
          <w:szCs w:val="24"/>
        </w:rPr>
        <w:t xml:space="preserve">se financing costs </w:t>
      </w:r>
      <w:r w:rsidR="007A0584">
        <w:rPr>
          <w:rFonts w:cs="Arial"/>
          <w:szCs w:val="24"/>
        </w:rPr>
        <w:t>were</w:t>
      </w:r>
      <w:r w:rsidRPr="00C24B47">
        <w:rPr>
          <w:rFonts w:cs="Arial"/>
          <w:szCs w:val="24"/>
        </w:rPr>
        <w:t xml:space="preserve"> compared to the net revenue stream i.e. the amount funded from District Rates and general government grants, to show the proportion of the net revenue stream which </w:t>
      </w:r>
      <w:r w:rsidR="007A0584">
        <w:rPr>
          <w:rFonts w:cs="Arial"/>
          <w:szCs w:val="24"/>
        </w:rPr>
        <w:t>was</w:t>
      </w:r>
      <w:r w:rsidRPr="00C24B47">
        <w:rPr>
          <w:rFonts w:cs="Arial"/>
          <w:szCs w:val="24"/>
        </w:rPr>
        <w:t xml:space="preserve"> made up of capital financing costs.</w:t>
      </w:r>
    </w:p>
    <w:p w14:paraId="17062944" w14:textId="77777777" w:rsidR="007A0584" w:rsidRPr="00C24B47" w:rsidRDefault="007A0584" w:rsidP="00C24B47">
      <w:pPr>
        <w:rPr>
          <w:rFonts w:cs="Arial"/>
          <w:szCs w:val="24"/>
        </w:rPr>
      </w:pPr>
    </w:p>
    <w:tbl>
      <w:tblPr>
        <w:tblStyle w:val="TableGrid"/>
        <w:tblW w:w="9214" w:type="dxa"/>
        <w:tblInd w:w="-5" w:type="dxa"/>
        <w:tblLook w:val="04A0" w:firstRow="1" w:lastRow="0" w:firstColumn="1" w:lastColumn="0" w:noHBand="0" w:noVBand="1"/>
      </w:tblPr>
      <w:tblGrid>
        <w:gridCol w:w="4395"/>
        <w:gridCol w:w="1098"/>
        <w:gridCol w:w="1217"/>
        <w:gridCol w:w="1217"/>
        <w:gridCol w:w="1287"/>
      </w:tblGrid>
      <w:tr w:rsidR="00F64633" w:rsidRPr="00366483" w14:paraId="3B5511C2" w14:textId="77777777" w:rsidTr="00BD112E">
        <w:tc>
          <w:tcPr>
            <w:tcW w:w="4395" w:type="dxa"/>
            <w:shd w:val="clear" w:color="auto" w:fill="0070C0"/>
            <w:vAlign w:val="center"/>
          </w:tcPr>
          <w:p w14:paraId="4554C6EE" w14:textId="77777777" w:rsidR="00F64633" w:rsidRPr="00D65F4C" w:rsidRDefault="00F64633" w:rsidP="00BD112E">
            <w:pPr>
              <w:spacing w:before="60" w:after="60"/>
              <w:rPr>
                <w:rFonts w:cs="Arial"/>
                <w:b/>
                <w:bCs/>
                <w:color w:val="FFFFFF" w:themeColor="background1"/>
                <w:szCs w:val="24"/>
              </w:rPr>
            </w:pPr>
            <w:r w:rsidRPr="00C81460">
              <w:rPr>
                <w:rFonts w:cs="Arial"/>
                <w:b/>
                <w:bCs/>
                <w:color w:val="FFFFFF" w:themeColor="background1"/>
              </w:rPr>
              <w:t>Table 1.4</w:t>
            </w:r>
          </w:p>
        </w:tc>
        <w:tc>
          <w:tcPr>
            <w:tcW w:w="1098" w:type="dxa"/>
            <w:shd w:val="clear" w:color="auto" w:fill="0070C0"/>
            <w:vAlign w:val="center"/>
          </w:tcPr>
          <w:p w14:paraId="60607DC3" w14:textId="77777777" w:rsidR="00F64633" w:rsidRPr="00C81460" w:rsidRDefault="00F64633" w:rsidP="00BD112E">
            <w:pPr>
              <w:tabs>
                <w:tab w:val="left" w:pos="374"/>
                <w:tab w:val="left" w:pos="720"/>
                <w:tab w:val="left" w:pos="748"/>
                <w:tab w:val="left" w:pos="1260"/>
                <w:tab w:val="left" w:pos="1980"/>
                <w:tab w:val="left" w:pos="2520"/>
              </w:tabs>
              <w:jc w:val="center"/>
              <w:rPr>
                <w:rFonts w:cs="Arial"/>
                <w:b/>
                <w:color w:val="FFFFFF" w:themeColor="background1"/>
              </w:rPr>
            </w:pPr>
            <w:r w:rsidRPr="00C81460">
              <w:rPr>
                <w:rFonts w:cs="Arial"/>
                <w:b/>
                <w:bCs/>
                <w:color w:val="FFFFFF" w:themeColor="background1"/>
              </w:rPr>
              <w:t>202</w:t>
            </w:r>
            <w:r>
              <w:rPr>
                <w:rFonts w:cs="Arial"/>
                <w:b/>
                <w:bCs/>
                <w:color w:val="FFFFFF" w:themeColor="background1"/>
              </w:rPr>
              <w:t>3</w:t>
            </w:r>
            <w:r w:rsidRPr="00C81460">
              <w:rPr>
                <w:rFonts w:cs="Arial"/>
                <w:b/>
                <w:bCs/>
                <w:color w:val="FFFFFF" w:themeColor="background1"/>
              </w:rPr>
              <w:t>/2</w:t>
            </w:r>
            <w:r>
              <w:rPr>
                <w:rFonts w:cs="Arial"/>
                <w:b/>
                <w:bCs/>
                <w:color w:val="FFFFFF" w:themeColor="background1"/>
              </w:rPr>
              <w:t>4</w:t>
            </w:r>
            <w:r w:rsidRPr="00C81460">
              <w:rPr>
                <w:rFonts w:cs="Arial"/>
                <w:b/>
                <w:bCs/>
                <w:color w:val="FFFFFF" w:themeColor="background1"/>
              </w:rPr>
              <w:t xml:space="preserve"> </w:t>
            </w:r>
            <w:r w:rsidRPr="00C81460">
              <w:rPr>
                <w:rFonts w:cs="Arial"/>
                <w:b/>
                <w:color w:val="FFFFFF" w:themeColor="background1"/>
              </w:rPr>
              <w:t>Actual</w:t>
            </w:r>
          </w:p>
        </w:tc>
        <w:tc>
          <w:tcPr>
            <w:tcW w:w="1217" w:type="dxa"/>
            <w:shd w:val="clear" w:color="auto" w:fill="0070C0"/>
            <w:vAlign w:val="center"/>
          </w:tcPr>
          <w:p w14:paraId="70C591DB" w14:textId="77777777" w:rsidR="00F64633" w:rsidRPr="00110A1D" w:rsidRDefault="00F64633" w:rsidP="00BD112E">
            <w:pPr>
              <w:tabs>
                <w:tab w:val="left" w:pos="374"/>
                <w:tab w:val="left" w:pos="720"/>
                <w:tab w:val="left" w:pos="748"/>
                <w:tab w:val="left" w:pos="1260"/>
                <w:tab w:val="left" w:pos="1980"/>
                <w:tab w:val="left" w:pos="2520"/>
              </w:tabs>
              <w:jc w:val="center"/>
              <w:rPr>
                <w:rFonts w:cs="Arial"/>
                <w:b/>
                <w:color w:val="FFFFFF" w:themeColor="background1"/>
              </w:rPr>
            </w:pPr>
            <w:r w:rsidRPr="00110A1D">
              <w:rPr>
                <w:rFonts w:cs="Arial"/>
                <w:b/>
                <w:bCs/>
                <w:color w:val="FFFFFF" w:themeColor="background1"/>
              </w:rPr>
              <w:t>2024/25</w:t>
            </w:r>
            <w:r w:rsidRPr="00110A1D">
              <w:rPr>
                <w:rFonts w:cs="Arial"/>
                <w:b/>
                <w:color w:val="FFFFFF" w:themeColor="background1"/>
              </w:rPr>
              <w:t xml:space="preserve"> Forecast</w:t>
            </w:r>
          </w:p>
        </w:tc>
        <w:tc>
          <w:tcPr>
            <w:tcW w:w="1217" w:type="dxa"/>
            <w:shd w:val="clear" w:color="auto" w:fill="0070C0"/>
            <w:vAlign w:val="center"/>
          </w:tcPr>
          <w:p w14:paraId="66796D9A" w14:textId="77777777" w:rsidR="00F64633" w:rsidRPr="00110A1D" w:rsidRDefault="00F64633" w:rsidP="00BD112E">
            <w:pPr>
              <w:tabs>
                <w:tab w:val="left" w:pos="374"/>
                <w:tab w:val="left" w:pos="720"/>
                <w:tab w:val="left" w:pos="748"/>
                <w:tab w:val="left" w:pos="1260"/>
                <w:tab w:val="left" w:pos="1980"/>
                <w:tab w:val="left" w:pos="2520"/>
              </w:tabs>
              <w:jc w:val="center"/>
              <w:rPr>
                <w:rFonts w:cs="Arial"/>
                <w:b/>
                <w:color w:val="FFFFFF" w:themeColor="background1"/>
              </w:rPr>
            </w:pPr>
            <w:r w:rsidRPr="00110A1D">
              <w:rPr>
                <w:rFonts w:cs="Arial"/>
                <w:b/>
                <w:bCs/>
                <w:color w:val="FFFFFF" w:themeColor="background1"/>
              </w:rPr>
              <w:t>2025/26</w:t>
            </w:r>
            <w:r w:rsidRPr="00110A1D">
              <w:rPr>
                <w:rFonts w:cs="Arial"/>
                <w:b/>
                <w:color w:val="FFFFFF" w:themeColor="background1"/>
              </w:rPr>
              <w:t xml:space="preserve"> Forecast</w:t>
            </w:r>
          </w:p>
        </w:tc>
        <w:tc>
          <w:tcPr>
            <w:tcW w:w="1287" w:type="dxa"/>
            <w:shd w:val="clear" w:color="auto" w:fill="0070C0"/>
            <w:vAlign w:val="center"/>
          </w:tcPr>
          <w:p w14:paraId="5B6E8E47" w14:textId="77777777" w:rsidR="00F64633" w:rsidRPr="00110A1D" w:rsidRDefault="00F64633" w:rsidP="00BD112E">
            <w:pPr>
              <w:tabs>
                <w:tab w:val="left" w:pos="374"/>
                <w:tab w:val="left" w:pos="720"/>
                <w:tab w:val="left" w:pos="748"/>
                <w:tab w:val="left" w:pos="1260"/>
                <w:tab w:val="left" w:pos="1980"/>
                <w:tab w:val="left" w:pos="2520"/>
              </w:tabs>
              <w:jc w:val="center"/>
              <w:rPr>
                <w:rFonts w:cs="Arial"/>
                <w:b/>
                <w:color w:val="FFFFFF" w:themeColor="background1"/>
              </w:rPr>
            </w:pPr>
            <w:r w:rsidRPr="00110A1D">
              <w:rPr>
                <w:rFonts w:cs="Arial"/>
                <w:b/>
                <w:bCs/>
                <w:color w:val="FFFFFF" w:themeColor="background1"/>
              </w:rPr>
              <w:t>2026/27</w:t>
            </w:r>
            <w:r w:rsidRPr="00110A1D">
              <w:rPr>
                <w:rFonts w:cs="Arial"/>
                <w:b/>
                <w:color w:val="FFFFFF" w:themeColor="background1"/>
              </w:rPr>
              <w:t xml:space="preserve"> Forecast</w:t>
            </w:r>
          </w:p>
        </w:tc>
      </w:tr>
      <w:tr w:rsidR="00F64633" w:rsidRPr="0036511F" w14:paraId="5D38CF34" w14:textId="77777777" w:rsidTr="00BD112E">
        <w:trPr>
          <w:trHeight w:val="425"/>
        </w:trPr>
        <w:tc>
          <w:tcPr>
            <w:tcW w:w="4395" w:type="dxa"/>
            <w:vAlign w:val="center"/>
          </w:tcPr>
          <w:p w14:paraId="499722C2" w14:textId="77777777" w:rsidR="00F64633" w:rsidRPr="0036511F" w:rsidRDefault="00F64633" w:rsidP="00BD112E">
            <w:pPr>
              <w:spacing w:before="60" w:after="60"/>
              <w:rPr>
                <w:rFonts w:cs="Arial"/>
                <w:szCs w:val="24"/>
              </w:rPr>
            </w:pPr>
            <w:r w:rsidRPr="0036511F">
              <w:rPr>
                <w:rFonts w:cs="Arial"/>
                <w:szCs w:val="24"/>
              </w:rPr>
              <w:t xml:space="preserve">Financing costs </w:t>
            </w:r>
            <w:r>
              <w:rPr>
                <w:rFonts w:cs="Arial"/>
                <w:szCs w:val="24"/>
              </w:rPr>
              <w:t>(£m)</w:t>
            </w:r>
          </w:p>
        </w:tc>
        <w:tc>
          <w:tcPr>
            <w:tcW w:w="1098" w:type="dxa"/>
            <w:vAlign w:val="center"/>
          </w:tcPr>
          <w:p w14:paraId="461D39CD" w14:textId="77777777" w:rsidR="00F64633" w:rsidRPr="0036511F" w:rsidRDefault="00F64633" w:rsidP="00BD112E">
            <w:pPr>
              <w:spacing w:before="60" w:after="60"/>
              <w:jc w:val="center"/>
              <w:rPr>
                <w:rFonts w:cs="Arial"/>
                <w:szCs w:val="24"/>
              </w:rPr>
            </w:pPr>
            <w:r>
              <w:rPr>
                <w:rFonts w:cs="Arial"/>
                <w:szCs w:val="24"/>
              </w:rPr>
              <w:t>£7.9M</w:t>
            </w:r>
          </w:p>
        </w:tc>
        <w:tc>
          <w:tcPr>
            <w:tcW w:w="1217" w:type="dxa"/>
            <w:shd w:val="clear" w:color="auto" w:fill="F2CEED" w:themeFill="accent5" w:themeFillTint="33"/>
            <w:vAlign w:val="center"/>
          </w:tcPr>
          <w:p w14:paraId="6A3F58B1" w14:textId="77777777" w:rsidR="00F64633" w:rsidRPr="00110A1D" w:rsidRDefault="00F64633" w:rsidP="00BD112E">
            <w:pPr>
              <w:spacing w:before="60" w:after="60"/>
              <w:jc w:val="center"/>
              <w:rPr>
                <w:rFonts w:cs="Arial"/>
                <w:color w:val="000000" w:themeColor="text1"/>
                <w:szCs w:val="24"/>
              </w:rPr>
            </w:pPr>
            <w:r w:rsidRPr="00110A1D">
              <w:rPr>
                <w:rFonts w:cs="Arial"/>
                <w:color w:val="000000" w:themeColor="text1"/>
                <w:szCs w:val="24"/>
              </w:rPr>
              <w:t>£9.</w:t>
            </w:r>
            <w:r>
              <w:rPr>
                <w:rFonts w:cs="Arial"/>
                <w:color w:val="000000" w:themeColor="text1"/>
                <w:szCs w:val="24"/>
              </w:rPr>
              <w:t>05M</w:t>
            </w:r>
          </w:p>
        </w:tc>
        <w:tc>
          <w:tcPr>
            <w:tcW w:w="1217" w:type="dxa"/>
            <w:vAlign w:val="center"/>
          </w:tcPr>
          <w:p w14:paraId="1B3A7BBC" w14:textId="77777777" w:rsidR="00F64633" w:rsidRPr="00110A1D" w:rsidRDefault="00F64633" w:rsidP="00BD112E">
            <w:pPr>
              <w:spacing w:before="60" w:after="60"/>
              <w:jc w:val="center"/>
              <w:rPr>
                <w:rFonts w:cs="Arial"/>
                <w:color w:val="000000" w:themeColor="text1"/>
                <w:szCs w:val="24"/>
              </w:rPr>
            </w:pPr>
            <w:r w:rsidRPr="00110A1D">
              <w:rPr>
                <w:rFonts w:cs="Arial"/>
                <w:color w:val="000000" w:themeColor="text1"/>
                <w:szCs w:val="24"/>
              </w:rPr>
              <w:t>£</w:t>
            </w:r>
            <w:r>
              <w:rPr>
                <w:rFonts w:cs="Arial"/>
                <w:color w:val="000000" w:themeColor="text1"/>
                <w:szCs w:val="24"/>
              </w:rPr>
              <w:t>10.09M</w:t>
            </w:r>
          </w:p>
        </w:tc>
        <w:tc>
          <w:tcPr>
            <w:tcW w:w="1287" w:type="dxa"/>
            <w:vAlign w:val="center"/>
          </w:tcPr>
          <w:p w14:paraId="2DA99152" w14:textId="77777777" w:rsidR="00F64633" w:rsidRPr="00110A1D" w:rsidRDefault="00F64633" w:rsidP="00BD112E">
            <w:pPr>
              <w:spacing w:before="60" w:after="60"/>
              <w:jc w:val="center"/>
              <w:rPr>
                <w:rFonts w:cs="Arial"/>
                <w:color w:val="000000" w:themeColor="text1"/>
                <w:szCs w:val="24"/>
              </w:rPr>
            </w:pPr>
            <w:r w:rsidRPr="00110A1D">
              <w:rPr>
                <w:rFonts w:cs="Arial"/>
                <w:color w:val="000000" w:themeColor="text1"/>
                <w:szCs w:val="24"/>
              </w:rPr>
              <w:t>£</w:t>
            </w:r>
            <w:r>
              <w:rPr>
                <w:rFonts w:cs="Arial"/>
                <w:color w:val="000000" w:themeColor="text1"/>
                <w:szCs w:val="24"/>
              </w:rPr>
              <w:t>11.04M</w:t>
            </w:r>
          </w:p>
        </w:tc>
      </w:tr>
      <w:tr w:rsidR="00F64633" w:rsidRPr="0036511F" w14:paraId="7CFCF508" w14:textId="77777777" w:rsidTr="00BD112E">
        <w:trPr>
          <w:trHeight w:val="425"/>
        </w:trPr>
        <w:tc>
          <w:tcPr>
            <w:tcW w:w="4395" w:type="dxa"/>
            <w:vAlign w:val="center"/>
          </w:tcPr>
          <w:p w14:paraId="6771E49D" w14:textId="77777777" w:rsidR="00F64633" w:rsidRPr="0036511F" w:rsidRDefault="00F64633" w:rsidP="00BD112E">
            <w:pPr>
              <w:spacing w:before="60" w:after="60"/>
              <w:rPr>
                <w:rFonts w:cs="Arial"/>
                <w:szCs w:val="24"/>
              </w:rPr>
            </w:pPr>
            <w:r w:rsidRPr="0036511F">
              <w:rPr>
                <w:rFonts w:cs="Arial"/>
                <w:szCs w:val="24"/>
              </w:rPr>
              <w:t>Proportion of net revenue stream</w:t>
            </w:r>
            <w:r>
              <w:rPr>
                <w:rFonts w:cs="Arial"/>
                <w:szCs w:val="24"/>
              </w:rPr>
              <w:t xml:space="preserve"> (%)</w:t>
            </w:r>
          </w:p>
        </w:tc>
        <w:tc>
          <w:tcPr>
            <w:tcW w:w="1098" w:type="dxa"/>
            <w:vAlign w:val="center"/>
          </w:tcPr>
          <w:p w14:paraId="175C5C5D" w14:textId="77777777" w:rsidR="00F64633" w:rsidRPr="0036511F" w:rsidRDefault="00F64633" w:rsidP="00BD112E">
            <w:pPr>
              <w:spacing w:before="60" w:after="60"/>
              <w:jc w:val="center"/>
              <w:rPr>
                <w:rFonts w:cs="Arial"/>
                <w:szCs w:val="24"/>
              </w:rPr>
            </w:pPr>
            <w:r>
              <w:rPr>
                <w:rFonts w:cs="Arial"/>
                <w:szCs w:val="24"/>
              </w:rPr>
              <w:t>12.7%</w:t>
            </w:r>
          </w:p>
        </w:tc>
        <w:tc>
          <w:tcPr>
            <w:tcW w:w="1217" w:type="dxa"/>
            <w:shd w:val="clear" w:color="auto" w:fill="F2CEED" w:themeFill="accent5" w:themeFillTint="33"/>
            <w:vAlign w:val="center"/>
          </w:tcPr>
          <w:p w14:paraId="4D5022E4" w14:textId="77777777" w:rsidR="00F64633" w:rsidRPr="00110A1D" w:rsidRDefault="00F64633" w:rsidP="00BD112E">
            <w:pPr>
              <w:spacing w:before="60" w:after="60"/>
              <w:jc w:val="center"/>
              <w:rPr>
                <w:rFonts w:cs="Arial"/>
                <w:color w:val="000000" w:themeColor="text1"/>
                <w:szCs w:val="24"/>
              </w:rPr>
            </w:pPr>
            <w:r w:rsidRPr="00110A1D">
              <w:rPr>
                <w:rFonts w:cs="Arial"/>
                <w:color w:val="000000" w:themeColor="text1"/>
                <w:szCs w:val="24"/>
              </w:rPr>
              <w:t>13.</w:t>
            </w:r>
            <w:r>
              <w:rPr>
                <w:rFonts w:cs="Arial"/>
                <w:color w:val="000000" w:themeColor="text1"/>
                <w:szCs w:val="24"/>
              </w:rPr>
              <w:t>6</w:t>
            </w:r>
            <w:r w:rsidRPr="00110A1D">
              <w:rPr>
                <w:rFonts w:cs="Arial"/>
                <w:color w:val="000000" w:themeColor="text1"/>
                <w:szCs w:val="24"/>
              </w:rPr>
              <w:t>%</w:t>
            </w:r>
          </w:p>
        </w:tc>
        <w:tc>
          <w:tcPr>
            <w:tcW w:w="1217" w:type="dxa"/>
            <w:vAlign w:val="center"/>
          </w:tcPr>
          <w:p w14:paraId="16576D22" w14:textId="77777777" w:rsidR="00F64633" w:rsidRPr="00110A1D" w:rsidRDefault="00F64633" w:rsidP="00BD112E">
            <w:pPr>
              <w:spacing w:before="60" w:after="60"/>
              <w:jc w:val="center"/>
              <w:rPr>
                <w:rFonts w:cs="Arial"/>
                <w:color w:val="000000" w:themeColor="text1"/>
                <w:szCs w:val="24"/>
              </w:rPr>
            </w:pPr>
            <w:r w:rsidRPr="00110A1D">
              <w:rPr>
                <w:rFonts w:cs="Arial"/>
                <w:color w:val="000000" w:themeColor="text1"/>
                <w:szCs w:val="24"/>
              </w:rPr>
              <w:t>1</w:t>
            </w:r>
            <w:r>
              <w:rPr>
                <w:rFonts w:cs="Arial"/>
                <w:color w:val="000000" w:themeColor="text1"/>
                <w:szCs w:val="24"/>
              </w:rPr>
              <w:t>4.1%</w:t>
            </w:r>
          </w:p>
        </w:tc>
        <w:tc>
          <w:tcPr>
            <w:tcW w:w="1287" w:type="dxa"/>
            <w:vAlign w:val="center"/>
          </w:tcPr>
          <w:p w14:paraId="33025ED6" w14:textId="77777777" w:rsidR="00F64633" w:rsidRPr="00110A1D" w:rsidRDefault="00F64633" w:rsidP="00BD112E">
            <w:pPr>
              <w:spacing w:before="60" w:after="60"/>
              <w:jc w:val="center"/>
              <w:rPr>
                <w:rFonts w:cs="Arial"/>
                <w:color w:val="000000" w:themeColor="text1"/>
                <w:szCs w:val="24"/>
              </w:rPr>
            </w:pPr>
            <w:r>
              <w:rPr>
                <w:rFonts w:cs="Arial"/>
                <w:color w:val="000000" w:themeColor="text1"/>
                <w:szCs w:val="24"/>
              </w:rPr>
              <w:t>14.4</w:t>
            </w:r>
            <w:r w:rsidRPr="00110A1D">
              <w:rPr>
                <w:rFonts w:cs="Arial"/>
                <w:color w:val="000000" w:themeColor="text1"/>
                <w:szCs w:val="24"/>
              </w:rPr>
              <w:t>%</w:t>
            </w:r>
          </w:p>
        </w:tc>
      </w:tr>
    </w:tbl>
    <w:p w14:paraId="0F512414" w14:textId="77777777" w:rsidR="00F64633" w:rsidRPr="00381125" w:rsidRDefault="00F64633" w:rsidP="00F64633">
      <w:pPr>
        <w:pStyle w:val="Header"/>
        <w:rPr>
          <w:rFonts w:cs="Arial"/>
          <w:b/>
          <w:bCs/>
          <w:sz w:val="16"/>
          <w:szCs w:val="16"/>
        </w:rPr>
      </w:pPr>
    </w:p>
    <w:p w14:paraId="36E1C398" w14:textId="36C2F38C" w:rsidR="00F64633" w:rsidRPr="00C24B47" w:rsidRDefault="00F64633" w:rsidP="00C24B47">
      <w:pPr>
        <w:pStyle w:val="Header"/>
        <w:rPr>
          <w:rFonts w:cs="Arial"/>
          <w:szCs w:val="24"/>
        </w:rPr>
      </w:pPr>
      <w:r w:rsidRPr="00C24B47">
        <w:rPr>
          <w:rFonts w:cs="Arial"/>
          <w:szCs w:val="24"/>
        </w:rPr>
        <w:t xml:space="preserve">The forecast financing </w:t>
      </w:r>
      <w:r w:rsidRPr="00C24B47">
        <w:rPr>
          <w:rFonts w:cs="Arial"/>
          <w:color w:val="000000" w:themeColor="text1"/>
          <w:szCs w:val="24"/>
        </w:rPr>
        <w:t xml:space="preserve">costs for 2024/25 </w:t>
      </w:r>
      <w:r w:rsidR="007A0584">
        <w:rPr>
          <w:rFonts w:cs="Arial"/>
          <w:color w:val="000000" w:themeColor="text1"/>
          <w:szCs w:val="24"/>
        </w:rPr>
        <w:t>was</w:t>
      </w:r>
      <w:r w:rsidRPr="00C24B47">
        <w:rPr>
          <w:rFonts w:cs="Arial"/>
          <w:color w:val="000000" w:themeColor="text1"/>
          <w:szCs w:val="24"/>
        </w:rPr>
        <w:t xml:space="preserve"> </w:t>
      </w:r>
      <w:r w:rsidRPr="00C24B47">
        <w:rPr>
          <w:rFonts w:cs="Arial"/>
          <w:szCs w:val="24"/>
        </w:rPr>
        <w:t xml:space="preserve">in line with the budget set for the year.  The increase in the proportion of financing costs to the net revenue stream </w:t>
      </w:r>
      <w:r w:rsidR="007A0584">
        <w:rPr>
          <w:rFonts w:cs="Arial"/>
          <w:szCs w:val="24"/>
        </w:rPr>
        <w:t xml:space="preserve">was </w:t>
      </w:r>
      <w:r w:rsidRPr="00C24B47">
        <w:rPr>
          <w:rFonts w:cs="Arial"/>
          <w:szCs w:val="24"/>
        </w:rPr>
        <w:t>due to the inclusion of ‘right of use’ assets in the financing costs from 1 April 2024 following a change in accounting rules.  Th</w:t>
      </w:r>
      <w:r w:rsidR="007A0584">
        <w:rPr>
          <w:rFonts w:cs="Arial"/>
          <w:szCs w:val="24"/>
        </w:rPr>
        <w:t>o</w:t>
      </w:r>
      <w:r w:rsidRPr="00C24B47">
        <w:rPr>
          <w:rFonts w:cs="Arial"/>
          <w:szCs w:val="24"/>
        </w:rPr>
        <w:t>se costs were previously treated as operating leases and accounted for as revenue rental charges.</w:t>
      </w:r>
    </w:p>
    <w:p w14:paraId="0E197E21" w14:textId="77777777" w:rsidR="00F64633" w:rsidRPr="00C24B47" w:rsidRDefault="00F64633" w:rsidP="00C24B47">
      <w:pPr>
        <w:pStyle w:val="Header"/>
        <w:rPr>
          <w:rFonts w:cs="Arial"/>
          <w:szCs w:val="24"/>
        </w:rPr>
      </w:pPr>
    </w:p>
    <w:p w14:paraId="03087EA6" w14:textId="77777777" w:rsidR="00F64633" w:rsidRPr="00C24B47" w:rsidRDefault="00F64633" w:rsidP="00C24B47">
      <w:pPr>
        <w:pStyle w:val="Header"/>
        <w:rPr>
          <w:rFonts w:cs="Arial"/>
          <w:b/>
          <w:bCs/>
          <w:szCs w:val="24"/>
        </w:rPr>
      </w:pPr>
      <w:r w:rsidRPr="00C24B47">
        <w:rPr>
          <w:rFonts w:cs="Arial"/>
          <w:b/>
          <w:bCs/>
          <w:szCs w:val="24"/>
        </w:rPr>
        <w:t>2.1 Treasury Management – Debt Activity</w:t>
      </w:r>
    </w:p>
    <w:p w14:paraId="77EF64CB" w14:textId="3FE8B7C8" w:rsidR="00F64633" w:rsidRPr="00C24B47" w:rsidRDefault="00F64633" w:rsidP="00C24B47">
      <w:pPr>
        <w:pStyle w:val="Header"/>
        <w:rPr>
          <w:rFonts w:cs="Arial"/>
          <w:szCs w:val="24"/>
        </w:rPr>
      </w:pPr>
      <w:r w:rsidRPr="00C24B47">
        <w:rPr>
          <w:rFonts w:cs="Arial"/>
          <w:szCs w:val="24"/>
        </w:rPr>
        <w:t>The following table summarise</w:t>
      </w:r>
      <w:r w:rsidR="00C24B47">
        <w:rPr>
          <w:rFonts w:cs="Arial"/>
          <w:szCs w:val="24"/>
        </w:rPr>
        <w:t>d</w:t>
      </w:r>
      <w:r w:rsidRPr="00C24B47">
        <w:rPr>
          <w:rFonts w:cs="Arial"/>
          <w:szCs w:val="24"/>
        </w:rPr>
        <w:t xml:space="preserve"> the position on long-term borrowings at 30 September 2024.</w:t>
      </w:r>
    </w:p>
    <w:p w14:paraId="35FAAC52" w14:textId="77777777" w:rsidR="00F64633" w:rsidRDefault="00F64633" w:rsidP="00F64633">
      <w:pPr>
        <w:pStyle w:val="Header"/>
        <w:jc w:val="both"/>
        <w:rPr>
          <w:rFonts w:cs="Arial"/>
          <w:bCs/>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F64633" w:rsidRPr="00986E53" w14:paraId="5AC8D515" w14:textId="77777777" w:rsidTr="00BD112E">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6CB197D5" w14:textId="77777777" w:rsidR="00F64633" w:rsidRPr="00785D11" w:rsidRDefault="00F64633" w:rsidP="00BD112E">
            <w:pPr>
              <w:pStyle w:val="ListParagraph"/>
              <w:ind w:left="0"/>
              <w:rPr>
                <w:rFonts w:cs="Arial"/>
                <w:b/>
                <w:color w:val="FFFFFF" w:themeColor="background1"/>
                <w:szCs w:val="24"/>
              </w:rPr>
            </w:pPr>
            <w:r w:rsidRPr="00C81460">
              <w:rPr>
                <w:rFonts w:cs="Arial"/>
                <w:b/>
                <w:color w:val="FFFFFF" w:themeColor="background1"/>
              </w:rPr>
              <w:t>Table 2.1</w:t>
            </w:r>
          </w:p>
        </w:tc>
        <w:tc>
          <w:tcPr>
            <w:tcW w:w="1701" w:type="dxa"/>
            <w:tcBorders>
              <w:top w:val="nil"/>
              <w:left w:val="single" w:sz="4" w:space="0" w:color="auto"/>
              <w:bottom w:val="single" w:sz="4" w:space="0" w:color="auto"/>
              <w:right w:val="nil"/>
            </w:tcBorders>
            <w:vAlign w:val="center"/>
          </w:tcPr>
          <w:p w14:paraId="741AC29B" w14:textId="77777777" w:rsidR="00F64633" w:rsidRPr="00785D11" w:rsidRDefault="00F64633" w:rsidP="00BD112E">
            <w:pPr>
              <w:pStyle w:val="ListParagraph"/>
              <w:ind w:left="0"/>
              <w:rPr>
                <w:rFonts w:cs="Arial"/>
                <w:b/>
                <w:color w:val="FFFFFF" w:themeColor="background1"/>
                <w:szCs w:val="24"/>
              </w:rPr>
            </w:pPr>
          </w:p>
        </w:tc>
        <w:tc>
          <w:tcPr>
            <w:tcW w:w="1417" w:type="dxa"/>
            <w:tcBorders>
              <w:top w:val="nil"/>
              <w:left w:val="nil"/>
              <w:bottom w:val="single" w:sz="4" w:space="0" w:color="auto"/>
              <w:right w:val="nil"/>
            </w:tcBorders>
            <w:vAlign w:val="center"/>
          </w:tcPr>
          <w:p w14:paraId="41A8BACE" w14:textId="77777777" w:rsidR="00F64633" w:rsidRPr="00785D11" w:rsidRDefault="00F64633" w:rsidP="00BD112E">
            <w:pPr>
              <w:pStyle w:val="ListParagraph"/>
              <w:ind w:left="0"/>
              <w:rPr>
                <w:rFonts w:cs="Arial"/>
                <w:b/>
                <w:color w:val="FFFFFF" w:themeColor="background1"/>
                <w:szCs w:val="24"/>
              </w:rPr>
            </w:pPr>
          </w:p>
        </w:tc>
        <w:tc>
          <w:tcPr>
            <w:tcW w:w="1701" w:type="dxa"/>
            <w:tcBorders>
              <w:top w:val="nil"/>
              <w:left w:val="nil"/>
              <w:bottom w:val="single" w:sz="4" w:space="0" w:color="auto"/>
              <w:right w:val="nil"/>
            </w:tcBorders>
            <w:vAlign w:val="center"/>
          </w:tcPr>
          <w:p w14:paraId="01134C7A" w14:textId="77777777" w:rsidR="00F64633" w:rsidRPr="00785D11" w:rsidRDefault="00F64633" w:rsidP="00BD112E">
            <w:pPr>
              <w:pStyle w:val="ListParagraph"/>
              <w:ind w:left="0"/>
              <w:rPr>
                <w:rFonts w:cs="Arial"/>
                <w:b/>
                <w:color w:val="FFFFFF" w:themeColor="background1"/>
                <w:szCs w:val="24"/>
              </w:rPr>
            </w:pPr>
          </w:p>
        </w:tc>
        <w:tc>
          <w:tcPr>
            <w:tcW w:w="1559" w:type="dxa"/>
            <w:tcBorders>
              <w:top w:val="nil"/>
              <w:left w:val="nil"/>
              <w:bottom w:val="single" w:sz="4" w:space="0" w:color="auto"/>
              <w:right w:val="nil"/>
            </w:tcBorders>
            <w:vAlign w:val="center"/>
          </w:tcPr>
          <w:p w14:paraId="5C699D6A" w14:textId="77777777" w:rsidR="00F64633" w:rsidRPr="00785D11" w:rsidRDefault="00F64633" w:rsidP="00BD112E">
            <w:pPr>
              <w:pStyle w:val="ListParagraph"/>
              <w:ind w:left="0"/>
              <w:rPr>
                <w:rFonts w:cs="Arial"/>
                <w:b/>
                <w:color w:val="FFFFFF" w:themeColor="background1"/>
                <w:szCs w:val="24"/>
              </w:rPr>
            </w:pPr>
          </w:p>
        </w:tc>
      </w:tr>
      <w:tr w:rsidR="00F64633" w:rsidRPr="00986E53" w14:paraId="59273B0F" w14:textId="77777777" w:rsidTr="00BD112E">
        <w:tc>
          <w:tcPr>
            <w:tcW w:w="2665" w:type="dxa"/>
            <w:tcBorders>
              <w:top w:val="single" w:sz="4" w:space="0" w:color="auto"/>
              <w:right w:val="single" w:sz="4" w:space="0" w:color="auto"/>
            </w:tcBorders>
            <w:shd w:val="clear" w:color="auto" w:fill="0070C0"/>
            <w:vAlign w:val="center"/>
          </w:tcPr>
          <w:p w14:paraId="65A3694F" w14:textId="77777777" w:rsidR="00F64633" w:rsidRPr="00C81460" w:rsidRDefault="00F64633" w:rsidP="00BD112E">
            <w:pPr>
              <w:pStyle w:val="ListParagraph"/>
              <w:ind w:left="0"/>
              <w:rPr>
                <w:rFonts w:cs="Arial"/>
                <w:b/>
                <w:color w:val="FFFFFF" w:themeColor="background1"/>
              </w:rPr>
            </w:pPr>
            <w:r w:rsidRPr="00C81460">
              <w:rPr>
                <w:rFonts w:cs="Arial"/>
                <w:b/>
                <w:color w:val="FFFFFF" w:themeColor="background1"/>
              </w:rPr>
              <w:t>Lender</w:t>
            </w:r>
          </w:p>
        </w:tc>
        <w:tc>
          <w:tcPr>
            <w:tcW w:w="1701" w:type="dxa"/>
            <w:tcBorders>
              <w:top w:val="single" w:sz="4" w:space="0" w:color="auto"/>
              <w:left w:val="single" w:sz="4" w:space="0" w:color="auto"/>
              <w:bottom w:val="single" w:sz="4" w:space="0" w:color="auto"/>
            </w:tcBorders>
            <w:shd w:val="clear" w:color="auto" w:fill="0070C0"/>
            <w:vAlign w:val="center"/>
          </w:tcPr>
          <w:p w14:paraId="490BDE01"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Balance 01/04/2</w:t>
            </w:r>
            <w:r>
              <w:rPr>
                <w:rFonts w:cs="Arial"/>
                <w:b/>
                <w:color w:val="FFFFFF" w:themeColor="background1"/>
              </w:rPr>
              <w:t>4</w:t>
            </w:r>
          </w:p>
        </w:tc>
        <w:tc>
          <w:tcPr>
            <w:tcW w:w="1417" w:type="dxa"/>
            <w:tcBorders>
              <w:top w:val="single" w:sz="4" w:space="0" w:color="auto"/>
              <w:bottom w:val="single" w:sz="4" w:space="0" w:color="auto"/>
            </w:tcBorders>
            <w:shd w:val="clear" w:color="auto" w:fill="0070C0"/>
            <w:vAlign w:val="center"/>
          </w:tcPr>
          <w:p w14:paraId="6750B230"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New Loans</w:t>
            </w:r>
          </w:p>
        </w:tc>
        <w:tc>
          <w:tcPr>
            <w:tcW w:w="1701" w:type="dxa"/>
            <w:tcBorders>
              <w:top w:val="single" w:sz="4" w:space="0" w:color="auto"/>
              <w:bottom w:val="single" w:sz="4" w:space="0" w:color="auto"/>
            </w:tcBorders>
            <w:shd w:val="clear" w:color="auto" w:fill="0070C0"/>
            <w:vAlign w:val="center"/>
          </w:tcPr>
          <w:p w14:paraId="1DD0D5DF"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6FA99E35" w14:textId="77777777" w:rsidR="00F64633" w:rsidRPr="00C81460" w:rsidRDefault="00F64633" w:rsidP="00BD112E">
            <w:pPr>
              <w:pStyle w:val="ListParagraph"/>
              <w:ind w:left="0"/>
              <w:jc w:val="center"/>
              <w:rPr>
                <w:rFonts w:cs="Arial"/>
                <w:b/>
                <w:color w:val="FFFFFF" w:themeColor="background1"/>
              </w:rPr>
            </w:pPr>
            <w:r w:rsidRPr="00C81460">
              <w:rPr>
                <w:rFonts w:cs="Arial"/>
                <w:b/>
                <w:color w:val="FFFFFF" w:themeColor="background1"/>
              </w:rPr>
              <w:t xml:space="preserve">Balance </w:t>
            </w:r>
            <w:r>
              <w:rPr>
                <w:rFonts w:cs="Arial"/>
                <w:b/>
                <w:color w:val="FFFFFF" w:themeColor="background1"/>
              </w:rPr>
              <w:t>30/09/24</w:t>
            </w:r>
          </w:p>
        </w:tc>
      </w:tr>
      <w:tr w:rsidR="00F64633" w:rsidRPr="00986E53" w14:paraId="4BCA2822" w14:textId="77777777" w:rsidTr="00BD112E">
        <w:trPr>
          <w:trHeight w:val="510"/>
        </w:trPr>
        <w:tc>
          <w:tcPr>
            <w:tcW w:w="2665" w:type="dxa"/>
            <w:vAlign w:val="center"/>
          </w:tcPr>
          <w:p w14:paraId="51118631" w14:textId="77777777" w:rsidR="00F64633" w:rsidRPr="00D6341B" w:rsidRDefault="00F64633" w:rsidP="00BD112E">
            <w:pPr>
              <w:pStyle w:val="ListParagraph"/>
              <w:ind w:left="0"/>
              <w:rPr>
                <w:rFonts w:cs="Arial"/>
                <w:bCs/>
                <w:szCs w:val="24"/>
              </w:rPr>
            </w:pPr>
            <w:r w:rsidRPr="00D6341B">
              <w:rPr>
                <w:rFonts w:cs="Arial"/>
                <w:bCs/>
                <w:szCs w:val="24"/>
              </w:rPr>
              <w:t>Dept of Finance</w:t>
            </w:r>
          </w:p>
        </w:tc>
        <w:tc>
          <w:tcPr>
            <w:tcW w:w="1701" w:type="dxa"/>
            <w:tcBorders>
              <w:top w:val="single" w:sz="4" w:space="0" w:color="auto"/>
            </w:tcBorders>
            <w:vAlign w:val="center"/>
          </w:tcPr>
          <w:p w14:paraId="2855D42D" w14:textId="77777777" w:rsidR="00F64633" w:rsidRPr="001A0D11" w:rsidRDefault="00F64633" w:rsidP="00BD112E">
            <w:pPr>
              <w:pStyle w:val="ListParagraph"/>
              <w:ind w:left="0"/>
              <w:jc w:val="center"/>
              <w:rPr>
                <w:rFonts w:cs="Arial"/>
                <w:szCs w:val="24"/>
              </w:rPr>
            </w:pPr>
            <w:r>
              <w:rPr>
                <w:rFonts w:cs="Arial"/>
                <w:szCs w:val="24"/>
              </w:rPr>
              <w:t>£ 53.38M</w:t>
            </w:r>
          </w:p>
        </w:tc>
        <w:tc>
          <w:tcPr>
            <w:tcW w:w="1417" w:type="dxa"/>
            <w:tcBorders>
              <w:top w:val="single" w:sz="4" w:space="0" w:color="auto"/>
            </w:tcBorders>
            <w:vAlign w:val="center"/>
          </w:tcPr>
          <w:p w14:paraId="7FB99C09" w14:textId="77777777" w:rsidR="00F64633" w:rsidRPr="001A0D11" w:rsidRDefault="00F64633" w:rsidP="00BD112E">
            <w:pPr>
              <w:pStyle w:val="ListParagraph"/>
              <w:ind w:left="0"/>
              <w:jc w:val="center"/>
              <w:rPr>
                <w:rFonts w:cs="Arial"/>
                <w:szCs w:val="24"/>
              </w:rPr>
            </w:pPr>
            <w:r>
              <w:rPr>
                <w:rFonts w:cs="Arial"/>
                <w:szCs w:val="24"/>
              </w:rPr>
              <w:t>£       -</w:t>
            </w:r>
          </w:p>
        </w:tc>
        <w:tc>
          <w:tcPr>
            <w:tcW w:w="1701" w:type="dxa"/>
            <w:tcBorders>
              <w:top w:val="single" w:sz="4" w:space="0" w:color="auto"/>
            </w:tcBorders>
            <w:vAlign w:val="center"/>
          </w:tcPr>
          <w:p w14:paraId="0EA3EF5F" w14:textId="77777777" w:rsidR="00F64633" w:rsidRPr="001F754F" w:rsidRDefault="00F64633" w:rsidP="00BD112E">
            <w:pPr>
              <w:pStyle w:val="ListParagraph"/>
              <w:ind w:left="0"/>
              <w:jc w:val="center"/>
              <w:rPr>
                <w:rFonts w:cs="Arial"/>
                <w:color w:val="000000" w:themeColor="text1"/>
                <w:szCs w:val="24"/>
              </w:rPr>
            </w:pPr>
            <w:r w:rsidRPr="001F754F">
              <w:rPr>
                <w:rFonts w:cs="Arial"/>
                <w:color w:val="000000" w:themeColor="text1"/>
                <w:szCs w:val="24"/>
              </w:rPr>
              <w:t>£ (1.4</w:t>
            </w:r>
            <w:r>
              <w:rPr>
                <w:rFonts w:cs="Arial"/>
                <w:color w:val="000000" w:themeColor="text1"/>
                <w:szCs w:val="24"/>
              </w:rPr>
              <w:t>2</w:t>
            </w:r>
            <w:r w:rsidRPr="001F754F">
              <w:rPr>
                <w:rFonts w:cs="Arial"/>
                <w:color w:val="000000" w:themeColor="text1"/>
                <w:szCs w:val="24"/>
              </w:rPr>
              <w:t>)</w:t>
            </w:r>
            <w:r>
              <w:rPr>
                <w:rFonts w:cs="Arial"/>
                <w:color w:val="000000" w:themeColor="text1"/>
                <w:szCs w:val="24"/>
              </w:rPr>
              <w:t>M</w:t>
            </w:r>
          </w:p>
        </w:tc>
        <w:tc>
          <w:tcPr>
            <w:tcW w:w="1559" w:type="dxa"/>
            <w:tcBorders>
              <w:top w:val="single" w:sz="4" w:space="0" w:color="auto"/>
            </w:tcBorders>
            <w:vAlign w:val="center"/>
          </w:tcPr>
          <w:p w14:paraId="4222CAC8" w14:textId="77777777" w:rsidR="00F64633" w:rsidRPr="001F754F" w:rsidRDefault="00F64633" w:rsidP="00BD112E">
            <w:pPr>
              <w:pStyle w:val="ListParagraph"/>
              <w:ind w:left="0"/>
              <w:jc w:val="right"/>
              <w:rPr>
                <w:rFonts w:cs="Arial"/>
                <w:color w:val="000000" w:themeColor="text1"/>
                <w:szCs w:val="24"/>
              </w:rPr>
            </w:pPr>
            <w:r w:rsidRPr="001F754F">
              <w:rPr>
                <w:rFonts w:cs="Arial"/>
                <w:color w:val="000000" w:themeColor="text1"/>
                <w:szCs w:val="24"/>
              </w:rPr>
              <w:t>£51.9</w:t>
            </w:r>
            <w:r>
              <w:rPr>
                <w:rFonts w:cs="Arial"/>
                <w:color w:val="000000" w:themeColor="text1"/>
                <w:szCs w:val="24"/>
              </w:rPr>
              <w:t>6M</w:t>
            </w:r>
          </w:p>
        </w:tc>
      </w:tr>
      <w:tr w:rsidR="00F64633" w:rsidRPr="00986E53" w14:paraId="02D47F2B" w14:textId="77777777" w:rsidTr="00BD112E">
        <w:trPr>
          <w:trHeight w:val="510"/>
        </w:trPr>
        <w:tc>
          <w:tcPr>
            <w:tcW w:w="2665" w:type="dxa"/>
            <w:vAlign w:val="center"/>
          </w:tcPr>
          <w:p w14:paraId="25727326" w14:textId="77777777" w:rsidR="00F64633" w:rsidRPr="00D6341B" w:rsidRDefault="00F64633" w:rsidP="00BD112E">
            <w:pPr>
              <w:pStyle w:val="ListParagraph"/>
              <w:ind w:left="0"/>
              <w:rPr>
                <w:rFonts w:cs="Arial"/>
                <w:bCs/>
                <w:szCs w:val="24"/>
              </w:rPr>
            </w:pPr>
            <w:r w:rsidRPr="00D6341B">
              <w:rPr>
                <w:rFonts w:cs="Arial"/>
                <w:bCs/>
                <w:szCs w:val="24"/>
              </w:rPr>
              <w:t>Banks (LOBOs)</w:t>
            </w:r>
          </w:p>
        </w:tc>
        <w:tc>
          <w:tcPr>
            <w:tcW w:w="1701" w:type="dxa"/>
            <w:vAlign w:val="center"/>
          </w:tcPr>
          <w:p w14:paraId="32B847A1" w14:textId="77777777" w:rsidR="00F64633" w:rsidRDefault="00F64633" w:rsidP="00BD112E">
            <w:pPr>
              <w:pStyle w:val="ListParagraph"/>
              <w:ind w:left="0"/>
              <w:jc w:val="center"/>
              <w:rPr>
                <w:rFonts w:cs="Arial"/>
                <w:szCs w:val="24"/>
              </w:rPr>
            </w:pPr>
            <w:r>
              <w:rPr>
                <w:rFonts w:cs="Arial"/>
                <w:szCs w:val="24"/>
              </w:rPr>
              <w:t>£   6.27M</w:t>
            </w:r>
          </w:p>
        </w:tc>
        <w:tc>
          <w:tcPr>
            <w:tcW w:w="1417" w:type="dxa"/>
            <w:vAlign w:val="center"/>
          </w:tcPr>
          <w:p w14:paraId="62A0C89F" w14:textId="77777777" w:rsidR="00F64633" w:rsidRDefault="00F64633" w:rsidP="00BD112E">
            <w:pPr>
              <w:pStyle w:val="ListParagraph"/>
              <w:ind w:left="0"/>
              <w:jc w:val="center"/>
              <w:rPr>
                <w:rFonts w:cs="Arial"/>
                <w:szCs w:val="24"/>
              </w:rPr>
            </w:pPr>
            <w:r>
              <w:rPr>
                <w:rFonts w:cs="Arial"/>
                <w:szCs w:val="24"/>
              </w:rPr>
              <w:t>£       -</w:t>
            </w:r>
          </w:p>
        </w:tc>
        <w:tc>
          <w:tcPr>
            <w:tcW w:w="1701" w:type="dxa"/>
            <w:vAlign w:val="center"/>
          </w:tcPr>
          <w:p w14:paraId="4D3D737F" w14:textId="77777777" w:rsidR="00F64633" w:rsidRPr="001F754F" w:rsidRDefault="00F64633" w:rsidP="00BD112E">
            <w:pPr>
              <w:pStyle w:val="ListParagraph"/>
              <w:ind w:left="0"/>
              <w:jc w:val="center"/>
              <w:rPr>
                <w:rFonts w:cs="Arial"/>
                <w:color w:val="000000" w:themeColor="text1"/>
                <w:szCs w:val="24"/>
              </w:rPr>
            </w:pPr>
            <w:r w:rsidRPr="001F754F">
              <w:rPr>
                <w:rFonts w:cs="Arial"/>
                <w:color w:val="000000" w:themeColor="text1"/>
                <w:szCs w:val="24"/>
              </w:rPr>
              <w:t>£       -</w:t>
            </w:r>
          </w:p>
        </w:tc>
        <w:tc>
          <w:tcPr>
            <w:tcW w:w="1559" w:type="dxa"/>
            <w:vAlign w:val="center"/>
          </w:tcPr>
          <w:p w14:paraId="4984B304" w14:textId="77777777" w:rsidR="00F64633" w:rsidRPr="001F754F" w:rsidRDefault="00F64633" w:rsidP="00BD112E">
            <w:pPr>
              <w:pStyle w:val="ListParagraph"/>
              <w:ind w:left="0"/>
              <w:jc w:val="right"/>
              <w:rPr>
                <w:rFonts w:cs="Arial"/>
                <w:color w:val="000000" w:themeColor="text1"/>
                <w:szCs w:val="24"/>
              </w:rPr>
            </w:pPr>
            <w:r w:rsidRPr="001F754F">
              <w:rPr>
                <w:rFonts w:cs="Arial"/>
                <w:color w:val="000000" w:themeColor="text1"/>
                <w:szCs w:val="24"/>
              </w:rPr>
              <w:t>£   6.27</w:t>
            </w:r>
            <w:r>
              <w:rPr>
                <w:rFonts w:cs="Arial"/>
                <w:color w:val="000000" w:themeColor="text1"/>
                <w:szCs w:val="24"/>
              </w:rPr>
              <w:t>M</w:t>
            </w:r>
          </w:p>
        </w:tc>
      </w:tr>
      <w:tr w:rsidR="00F64633" w:rsidRPr="00986E53" w14:paraId="17AFE1DD" w14:textId="77777777" w:rsidTr="00BD112E">
        <w:trPr>
          <w:trHeight w:val="510"/>
        </w:trPr>
        <w:tc>
          <w:tcPr>
            <w:tcW w:w="2665" w:type="dxa"/>
            <w:shd w:val="clear" w:color="auto" w:fill="D9D9D9" w:themeFill="background1" w:themeFillShade="D9"/>
            <w:vAlign w:val="center"/>
          </w:tcPr>
          <w:p w14:paraId="2D1F3883" w14:textId="77777777" w:rsidR="00F64633" w:rsidRPr="00D6341B" w:rsidRDefault="00F64633" w:rsidP="00BD112E">
            <w:pPr>
              <w:pStyle w:val="ListParagraph"/>
              <w:ind w:left="0"/>
              <w:rPr>
                <w:rFonts w:cs="Arial"/>
                <w:b/>
                <w:szCs w:val="24"/>
              </w:rPr>
            </w:pPr>
            <w:r w:rsidRPr="00D6341B">
              <w:rPr>
                <w:rFonts w:cs="Arial"/>
                <w:b/>
                <w:szCs w:val="24"/>
              </w:rPr>
              <w:t>Totals</w:t>
            </w:r>
          </w:p>
        </w:tc>
        <w:tc>
          <w:tcPr>
            <w:tcW w:w="1701" w:type="dxa"/>
            <w:shd w:val="clear" w:color="auto" w:fill="D9D9D9" w:themeFill="background1" w:themeFillShade="D9"/>
            <w:vAlign w:val="center"/>
          </w:tcPr>
          <w:p w14:paraId="21C7D3A8" w14:textId="77777777" w:rsidR="00F64633" w:rsidRPr="00D7326D" w:rsidRDefault="00F64633" w:rsidP="00BD112E">
            <w:pPr>
              <w:pStyle w:val="ListParagraph"/>
              <w:ind w:left="0"/>
              <w:jc w:val="center"/>
              <w:rPr>
                <w:rFonts w:cs="Arial"/>
                <w:b/>
                <w:bCs/>
                <w:szCs w:val="24"/>
              </w:rPr>
            </w:pPr>
            <w:r w:rsidRPr="00D7326D">
              <w:rPr>
                <w:rFonts w:cs="Arial"/>
                <w:b/>
                <w:bCs/>
                <w:szCs w:val="24"/>
              </w:rPr>
              <w:t>£</w:t>
            </w:r>
            <w:r>
              <w:rPr>
                <w:rFonts w:cs="Arial"/>
                <w:b/>
                <w:bCs/>
                <w:szCs w:val="24"/>
              </w:rPr>
              <w:t xml:space="preserve"> 59.65M</w:t>
            </w:r>
          </w:p>
        </w:tc>
        <w:tc>
          <w:tcPr>
            <w:tcW w:w="1417" w:type="dxa"/>
            <w:shd w:val="clear" w:color="auto" w:fill="D9D9D9" w:themeFill="background1" w:themeFillShade="D9"/>
            <w:vAlign w:val="center"/>
          </w:tcPr>
          <w:p w14:paraId="0A0FAB40" w14:textId="77777777" w:rsidR="00F64633" w:rsidRPr="00D7326D" w:rsidRDefault="00F64633" w:rsidP="00BD112E">
            <w:pPr>
              <w:pStyle w:val="ListParagraph"/>
              <w:ind w:left="0"/>
              <w:jc w:val="center"/>
              <w:rPr>
                <w:rFonts w:cs="Arial"/>
                <w:b/>
                <w:bCs/>
                <w:szCs w:val="24"/>
              </w:rPr>
            </w:pPr>
            <w:r>
              <w:rPr>
                <w:rFonts w:cs="Arial"/>
                <w:b/>
                <w:bCs/>
                <w:szCs w:val="24"/>
              </w:rPr>
              <w:t>£       -</w:t>
            </w:r>
          </w:p>
        </w:tc>
        <w:tc>
          <w:tcPr>
            <w:tcW w:w="1701" w:type="dxa"/>
            <w:shd w:val="clear" w:color="auto" w:fill="D9D9D9" w:themeFill="background1" w:themeFillShade="D9"/>
            <w:vAlign w:val="center"/>
          </w:tcPr>
          <w:p w14:paraId="16297A36" w14:textId="77777777" w:rsidR="00F64633" w:rsidRPr="001F754F" w:rsidRDefault="00F64633" w:rsidP="00BD112E">
            <w:pPr>
              <w:pStyle w:val="ListParagraph"/>
              <w:ind w:left="0"/>
              <w:jc w:val="center"/>
              <w:rPr>
                <w:rFonts w:cs="Arial"/>
                <w:b/>
                <w:bCs/>
                <w:color w:val="000000" w:themeColor="text1"/>
                <w:szCs w:val="24"/>
              </w:rPr>
            </w:pPr>
            <w:r w:rsidRPr="001F754F">
              <w:rPr>
                <w:rFonts w:cs="Arial"/>
                <w:b/>
                <w:bCs/>
                <w:color w:val="000000" w:themeColor="text1"/>
                <w:szCs w:val="24"/>
              </w:rPr>
              <w:t>£ (1.4</w:t>
            </w:r>
            <w:r>
              <w:rPr>
                <w:rFonts w:cs="Arial"/>
                <w:b/>
                <w:bCs/>
                <w:color w:val="000000" w:themeColor="text1"/>
                <w:szCs w:val="24"/>
              </w:rPr>
              <w:t>2</w:t>
            </w:r>
            <w:r w:rsidRPr="001F754F">
              <w:rPr>
                <w:rFonts w:cs="Arial"/>
                <w:b/>
                <w:bCs/>
                <w:color w:val="000000" w:themeColor="text1"/>
                <w:szCs w:val="24"/>
              </w:rPr>
              <w:t>)</w:t>
            </w:r>
            <w:r>
              <w:rPr>
                <w:rFonts w:cs="Arial"/>
                <w:b/>
                <w:bCs/>
                <w:color w:val="000000" w:themeColor="text1"/>
                <w:szCs w:val="24"/>
              </w:rPr>
              <w:t>M</w:t>
            </w:r>
            <w:r w:rsidRPr="001F754F">
              <w:rPr>
                <w:rFonts w:cs="Arial"/>
                <w:b/>
                <w:bCs/>
                <w:color w:val="000000" w:themeColor="text1"/>
                <w:szCs w:val="24"/>
              </w:rPr>
              <w:t xml:space="preserve">     </w:t>
            </w:r>
          </w:p>
        </w:tc>
        <w:tc>
          <w:tcPr>
            <w:tcW w:w="1559" w:type="dxa"/>
            <w:shd w:val="clear" w:color="auto" w:fill="D9D9D9" w:themeFill="background1" w:themeFillShade="D9"/>
            <w:vAlign w:val="center"/>
          </w:tcPr>
          <w:p w14:paraId="504239CA" w14:textId="77777777" w:rsidR="00F64633" w:rsidRPr="001F754F" w:rsidRDefault="00F64633" w:rsidP="00BD112E">
            <w:pPr>
              <w:pStyle w:val="ListParagraph"/>
              <w:ind w:left="0"/>
              <w:jc w:val="right"/>
              <w:rPr>
                <w:rFonts w:cs="Arial"/>
                <w:b/>
                <w:bCs/>
                <w:color w:val="000000" w:themeColor="text1"/>
                <w:szCs w:val="24"/>
              </w:rPr>
            </w:pPr>
            <w:r w:rsidRPr="001F754F">
              <w:rPr>
                <w:rFonts w:cs="Arial"/>
                <w:b/>
                <w:bCs/>
                <w:color w:val="000000" w:themeColor="text1"/>
                <w:szCs w:val="24"/>
              </w:rPr>
              <w:t>£ 58.23</w:t>
            </w:r>
            <w:r>
              <w:rPr>
                <w:rFonts w:cs="Arial"/>
                <w:b/>
                <w:bCs/>
                <w:color w:val="000000" w:themeColor="text1"/>
                <w:szCs w:val="24"/>
              </w:rPr>
              <w:t>M</w:t>
            </w:r>
          </w:p>
        </w:tc>
      </w:tr>
    </w:tbl>
    <w:p w14:paraId="517888D7" w14:textId="77777777" w:rsidR="00F64633" w:rsidRPr="00C24B47" w:rsidRDefault="00F64633" w:rsidP="00F64633">
      <w:pPr>
        <w:pStyle w:val="Header"/>
        <w:jc w:val="both"/>
        <w:rPr>
          <w:rFonts w:cs="Arial"/>
          <w:bCs/>
          <w:szCs w:val="24"/>
        </w:rPr>
      </w:pPr>
    </w:p>
    <w:p w14:paraId="18268ABB" w14:textId="77777777" w:rsidR="00F64633" w:rsidRPr="00C24B47" w:rsidRDefault="00F64633" w:rsidP="00C24B47">
      <w:pPr>
        <w:pStyle w:val="Header"/>
        <w:rPr>
          <w:rFonts w:cs="Arial"/>
          <w:bCs/>
          <w:szCs w:val="24"/>
        </w:rPr>
      </w:pPr>
      <w:r w:rsidRPr="00C24B47">
        <w:rPr>
          <w:rFonts w:cs="Arial"/>
          <w:bCs/>
          <w:szCs w:val="24"/>
        </w:rPr>
        <w:t>The Council does not currently hold any short-term borrowings.</w:t>
      </w:r>
    </w:p>
    <w:p w14:paraId="19A4ED9F" w14:textId="77777777" w:rsidR="00F64633" w:rsidRPr="00C24B47" w:rsidRDefault="00F64633" w:rsidP="00C24B47">
      <w:pPr>
        <w:pStyle w:val="Header"/>
        <w:rPr>
          <w:rFonts w:cs="Arial"/>
          <w:bCs/>
          <w:szCs w:val="24"/>
        </w:rPr>
      </w:pPr>
    </w:p>
    <w:p w14:paraId="673C9D63" w14:textId="246EEEB2" w:rsidR="00F64633" w:rsidRPr="00C24B47" w:rsidRDefault="00F64633" w:rsidP="00C24B47">
      <w:pPr>
        <w:pStyle w:val="Header"/>
        <w:rPr>
          <w:rFonts w:cs="Arial"/>
          <w:bCs/>
          <w:szCs w:val="24"/>
        </w:rPr>
      </w:pPr>
      <w:r w:rsidRPr="00C24B47">
        <w:rPr>
          <w:rFonts w:cs="Arial"/>
          <w:bCs/>
          <w:szCs w:val="24"/>
        </w:rPr>
        <w:t>The revised capital financing requirement (table 1.2) show</w:t>
      </w:r>
      <w:r w:rsidR="007A0584">
        <w:rPr>
          <w:rFonts w:cs="Arial"/>
          <w:bCs/>
          <w:szCs w:val="24"/>
        </w:rPr>
        <w:t>ed</w:t>
      </w:r>
      <w:r w:rsidRPr="00C24B47">
        <w:rPr>
          <w:rFonts w:cs="Arial"/>
          <w:bCs/>
          <w:szCs w:val="24"/>
        </w:rPr>
        <w:t xml:space="preserve"> that the Council could increase its level of external </w:t>
      </w:r>
      <w:r w:rsidRPr="00C24B47">
        <w:rPr>
          <w:rFonts w:cs="Arial"/>
          <w:bCs/>
          <w:color w:val="000000" w:themeColor="text1"/>
          <w:szCs w:val="24"/>
        </w:rPr>
        <w:t xml:space="preserve">borrowings to £78.7M </w:t>
      </w:r>
      <w:r w:rsidRPr="00C24B47">
        <w:rPr>
          <w:rFonts w:cs="Arial"/>
          <w:bCs/>
          <w:szCs w:val="24"/>
        </w:rPr>
        <w:t xml:space="preserve">by 31 March 2025.  However, an assessment of the Council’s cashflow position forecasts that there </w:t>
      </w:r>
      <w:r w:rsidR="007A0584">
        <w:rPr>
          <w:rFonts w:cs="Arial"/>
          <w:bCs/>
          <w:szCs w:val="24"/>
        </w:rPr>
        <w:t xml:space="preserve">would </w:t>
      </w:r>
      <w:r w:rsidRPr="00C24B47">
        <w:rPr>
          <w:rFonts w:cs="Arial"/>
          <w:bCs/>
          <w:szCs w:val="24"/>
        </w:rPr>
        <w:t xml:space="preserve">be adequate cash reserves to temporarily finance capital expenditure for the remainder of the current year and therefore no further borrowing </w:t>
      </w:r>
      <w:r w:rsidR="007A0584">
        <w:rPr>
          <w:rFonts w:cs="Arial"/>
          <w:bCs/>
          <w:szCs w:val="24"/>
        </w:rPr>
        <w:t>was</w:t>
      </w:r>
      <w:r w:rsidRPr="00C24B47">
        <w:rPr>
          <w:rFonts w:cs="Arial"/>
          <w:bCs/>
          <w:szCs w:val="24"/>
        </w:rPr>
        <w:t xml:space="preserve"> anticipated before 31 March 2025.  </w:t>
      </w:r>
    </w:p>
    <w:p w14:paraId="1B6EDAC0" w14:textId="77777777" w:rsidR="00F64633" w:rsidRPr="00C24B47" w:rsidRDefault="00F64633" w:rsidP="00C24B47">
      <w:pPr>
        <w:pStyle w:val="Header"/>
        <w:rPr>
          <w:rFonts w:cs="Arial"/>
          <w:bCs/>
          <w:szCs w:val="24"/>
        </w:rPr>
      </w:pPr>
    </w:p>
    <w:p w14:paraId="06CAADED" w14:textId="4C4087A2" w:rsidR="00F64633" w:rsidRPr="00C24B47" w:rsidRDefault="00F64633" w:rsidP="00C24B47">
      <w:pPr>
        <w:pStyle w:val="Header"/>
        <w:rPr>
          <w:rFonts w:cs="Arial"/>
          <w:bCs/>
          <w:szCs w:val="24"/>
        </w:rPr>
      </w:pPr>
      <w:r w:rsidRPr="00C24B47">
        <w:rPr>
          <w:rFonts w:cs="Arial"/>
          <w:bCs/>
          <w:szCs w:val="24"/>
        </w:rPr>
        <w:lastRenderedPageBreak/>
        <w:t xml:space="preserve">After repayments on existing long-term loans </w:t>
      </w:r>
      <w:r w:rsidR="00C24B47">
        <w:rPr>
          <w:rFonts w:cs="Arial"/>
          <w:bCs/>
          <w:szCs w:val="24"/>
        </w:rPr>
        <w:t>were</w:t>
      </w:r>
      <w:r w:rsidRPr="00C24B47">
        <w:rPr>
          <w:rFonts w:cs="Arial"/>
          <w:bCs/>
          <w:szCs w:val="24"/>
        </w:rPr>
        <w:t xml:space="preserve"> made during the remainder of 2024/25, the level of external borrowings at 31 March 2025 </w:t>
      </w:r>
      <w:r w:rsidR="007A0584">
        <w:rPr>
          <w:rFonts w:cs="Arial"/>
          <w:bCs/>
          <w:szCs w:val="24"/>
        </w:rPr>
        <w:t>was</w:t>
      </w:r>
      <w:r w:rsidRPr="00C24B47">
        <w:rPr>
          <w:rFonts w:cs="Arial"/>
          <w:bCs/>
          <w:szCs w:val="24"/>
        </w:rPr>
        <w:t xml:space="preserve"> forecast to be £56.9M.</w:t>
      </w:r>
    </w:p>
    <w:p w14:paraId="287F1D17" w14:textId="77777777" w:rsidR="00F64633" w:rsidRPr="00C24B47" w:rsidRDefault="00F64633" w:rsidP="00C24B47">
      <w:pPr>
        <w:pStyle w:val="Header"/>
        <w:rPr>
          <w:rFonts w:cs="Arial"/>
          <w:bCs/>
          <w:szCs w:val="24"/>
        </w:rPr>
      </w:pPr>
    </w:p>
    <w:p w14:paraId="2269DEAF" w14:textId="09D03E29" w:rsidR="007A0584" w:rsidRDefault="00F64633" w:rsidP="00C24B47">
      <w:pPr>
        <w:rPr>
          <w:rFonts w:cs="Arial"/>
          <w:bCs/>
          <w:szCs w:val="24"/>
        </w:rPr>
      </w:pPr>
      <w:r w:rsidRPr="00C24B47">
        <w:rPr>
          <w:rFonts w:cs="Arial"/>
          <w:bCs/>
          <w:szCs w:val="24"/>
        </w:rPr>
        <w:t xml:space="preserve">The average interest rate for the Council’s total debt portfolio </w:t>
      </w:r>
      <w:r w:rsidR="007A0584">
        <w:rPr>
          <w:rFonts w:cs="Arial"/>
          <w:bCs/>
          <w:szCs w:val="24"/>
        </w:rPr>
        <w:t>was</w:t>
      </w:r>
      <w:r w:rsidRPr="00C24B47">
        <w:rPr>
          <w:rFonts w:cs="Arial"/>
          <w:bCs/>
          <w:szCs w:val="24"/>
        </w:rPr>
        <w:t xml:space="preserve"> 3.87%</w:t>
      </w:r>
      <w:r w:rsidR="007A0584">
        <w:rPr>
          <w:rFonts w:cs="Arial"/>
          <w:bCs/>
          <w:szCs w:val="24"/>
        </w:rPr>
        <w:t xml:space="preserve">. </w:t>
      </w:r>
    </w:p>
    <w:p w14:paraId="4B19B0F9" w14:textId="77777777" w:rsidR="007A0584" w:rsidRPr="007A0584" w:rsidRDefault="007A0584" w:rsidP="00C24B47">
      <w:pPr>
        <w:rPr>
          <w:rFonts w:cs="Arial"/>
          <w:bCs/>
          <w:szCs w:val="24"/>
        </w:rPr>
      </w:pPr>
    </w:p>
    <w:p w14:paraId="46887A55" w14:textId="77777777" w:rsidR="00F64633" w:rsidRPr="00686770" w:rsidRDefault="00F64633" w:rsidP="00F64633">
      <w:pPr>
        <w:pStyle w:val="Header"/>
        <w:rPr>
          <w:rFonts w:cs="Arial"/>
          <w:b/>
          <w:bCs/>
        </w:rPr>
      </w:pPr>
      <w:r w:rsidRPr="00686770">
        <w:rPr>
          <w:rFonts w:cs="Arial"/>
          <w:b/>
          <w:bCs/>
        </w:rPr>
        <w:t>2.</w:t>
      </w:r>
      <w:r>
        <w:rPr>
          <w:rFonts w:cs="Arial"/>
          <w:b/>
          <w:bCs/>
        </w:rPr>
        <w:t>2</w:t>
      </w:r>
      <w:r w:rsidRPr="00686770">
        <w:rPr>
          <w:rFonts w:cs="Arial"/>
          <w:b/>
          <w:bCs/>
        </w:rPr>
        <w:t xml:space="preserve"> </w:t>
      </w:r>
      <w:r>
        <w:rPr>
          <w:rFonts w:cs="Arial"/>
          <w:b/>
          <w:bCs/>
        </w:rPr>
        <w:t xml:space="preserve">Treasury Management - </w:t>
      </w:r>
      <w:r w:rsidRPr="00686770">
        <w:rPr>
          <w:rFonts w:cs="Arial"/>
          <w:b/>
          <w:bCs/>
        </w:rPr>
        <w:t>Debt Related Treasury Activity Limits</w:t>
      </w:r>
    </w:p>
    <w:p w14:paraId="7CC9E677" w14:textId="77777777" w:rsidR="00F64633" w:rsidRPr="001C3955" w:rsidRDefault="00F64633" w:rsidP="00F64633">
      <w:pPr>
        <w:pStyle w:val="Header"/>
        <w:rPr>
          <w:rFonts w:cs="Arial"/>
          <w:bCs/>
          <w:sz w:val="16"/>
          <w:szCs w:val="16"/>
          <w:highlight w:val="yellow"/>
        </w:rPr>
      </w:pPr>
    </w:p>
    <w:p w14:paraId="2E33B4A0" w14:textId="7006091D" w:rsidR="00F64633" w:rsidRDefault="00F64633" w:rsidP="00F64633">
      <w:pPr>
        <w:pStyle w:val="BodyText"/>
        <w:spacing w:after="120"/>
        <w:rPr>
          <w:rFonts w:ascii="Arial" w:hAnsi="Arial" w:cs="Arial"/>
        </w:rPr>
      </w:pPr>
      <w:r w:rsidRPr="00686770">
        <w:rPr>
          <w:rFonts w:ascii="Arial" w:hAnsi="Arial" w:cs="Arial"/>
        </w:rPr>
        <w:t>The table</w:t>
      </w:r>
      <w:r>
        <w:rPr>
          <w:rFonts w:ascii="Arial" w:hAnsi="Arial" w:cs="Arial"/>
        </w:rPr>
        <w:t>s</w:t>
      </w:r>
      <w:r w:rsidRPr="00686770">
        <w:rPr>
          <w:rFonts w:ascii="Arial" w:hAnsi="Arial" w:cs="Arial"/>
        </w:rPr>
        <w:t xml:space="preserve"> below show the position </w:t>
      </w:r>
      <w:r>
        <w:rPr>
          <w:rFonts w:ascii="Arial" w:hAnsi="Arial" w:cs="Arial"/>
        </w:rPr>
        <w:t>of all debt related treasury activity limits</w:t>
      </w:r>
      <w:r w:rsidRPr="00686770">
        <w:rPr>
          <w:rFonts w:ascii="Arial" w:hAnsi="Arial" w:cs="Arial"/>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F64633" w:rsidRPr="0056402E" w14:paraId="1443B028" w14:textId="77777777" w:rsidTr="00BD112E">
        <w:trPr>
          <w:cantSplit/>
          <w:trHeight w:val="340"/>
        </w:trPr>
        <w:tc>
          <w:tcPr>
            <w:tcW w:w="5812" w:type="dxa"/>
            <w:tcBorders>
              <w:right w:val="single" w:sz="4" w:space="0" w:color="auto"/>
            </w:tcBorders>
            <w:shd w:val="clear" w:color="auto" w:fill="0070C0"/>
            <w:vAlign w:val="center"/>
          </w:tcPr>
          <w:p w14:paraId="10A5211D" w14:textId="77777777" w:rsidR="00F64633" w:rsidRPr="00C81460" w:rsidRDefault="00F64633" w:rsidP="00BD112E">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Table 2.21</w:t>
            </w:r>
          </w:p>
        </w:tc>
        <w:tc>
          <w:tcPr>
            <w:tcW w:w="2835" w:type="dxa"/>
            <w:gridSpan w:val="2"/>
            <w:tcBorders>
              <w:top w:val="nil"/>
              <w:left w:val="single" w:sz="4" w:space="0" w:color="auto"/>
              <w:bottom w:val="single" w:sz="4" w:space="0" w:color="auto"/>
              <w:right w:val="nil"/>
            </w:tcBorders>
            <w:vAlign w:val="center"/>
          </w:tcPr>
          <w:p w14:paraId="29F417D9" w14:textId="77777777" w:rsidR="00F64633" w:rsidRPr="00C81460" w:rsidRDefault="00F64633" w:rsidP="00BD112E">
            <w:pPr>
              <w:pStyle w:val="BodyText"/>
              <w:spacing w:after="120"/>
              <w:jc w:val="left"/>
              <w:rPr>
                <w:rFonts w:ascii="Arial" w:hAnsi="Arial" w:cs="Arial"/>
                <w:b/>
                <w:bCs/>
                <w:color w:val="FFFFFF" w:themeColor="background1"/>
                <w:szCs w:val="22"/>
              </w:rPr>
            </w:pPr>
          </w:p>
        </w:tc>
      </w:tr>
      <w:tr w:rsidR="00F64633" w:rsidRPr="0056402E" w14:paraId="4D084055" w14:textId="77777777" w:rsidTr="00BD112E">
        <w:trPr>
          <w:cantSplit/>
          <w:trHeight w:val="20"/>
        </w:trPr>
        <w:tc>
          <w:tcPr>
            <w:tcW w:w="5812" w:type="dxa"/>
            <w:shd w:val="clear" w:color="auto" w:fill="0070C0"/>
            <w:vAlign w:val="center"/>
          </w:tcPr>
          <w:p w14:paraId="03C9BD96" w14:textId="77777777" w:rsidR="00F64633" w:rsidRPr="00C81460" w:rsidRDefault="00F64633" w:rsidP="00BD112E">
            <w:pPr>
              <w:pStyle w:val="BodyText"/>
              <w:spacing w:after="120"/>
              <w:rPr>
                <w:rFonts w:ascii="Arial" w:hAnsi="Arial" w:cs="Arial"/>
                <w:b/>
                <w:bCs/>
                <w:color w:val="FFFFFF" w:themeColor="background1"/>
                <w:szCs w:val="22"/>
              </w:rPr>
            </w:pPr>
            <w:r w:rsidRPr="00C81460">
              <w:rPr>
                <w:rFonts w:ascii="Arial" w:hAnsi="Arial" w:cs="Arial"/>
                <w:b/>
                <w:bCs/>
                <w:color w:val="FFFFFF" w:themeColor="background1"/>
                <w:szCs w:val="22"/>
              </w:rPr>
              <w:t>Interest rate exposures</w:t>
            </w:r>
          </w:p>
        </w:tc>
        <w:tc>
          <w:tcPr>
            <w:tcW w:w="1417" w:type="dxa"/>
            <w:tcBorders>
              <w:top w:val="single" w:sz="4" w:space="0" w:color="auto"/>
            </w:tcBorders>
            <w:shd w:val="clear" w:color="auto" w:fill="0070C0"/>
            <w:vAlign w:val="center"/>
          </w:tcPr>
          <w:p w14:paraId="6D7AC8CE" w14:textId="77777777" w:rsidR="00F64633" w:rsidRPr="00C81460" w:rsidRDefault="00F64633" w:rsidP="00BD112E">
            <w:pPr>
              <w:pStyle w:val="BodyText"/>
              <w:spacing w:after="120"/>
              <w:jc w:val="center"/>
              <w:rPr>
                <w:rFonts w:ascii="Arial" w:hAnsi="Arial" w:cs="Arial"/>
                <w:b/>
                <w:bCs/>
                <w:color w:val="FFFFFF" w:themeColor="background1"/>
                <w:szCs w:val="22"/>
              </w:rPr>
            </w:pPr>
            <w:r w:rsidRPr="00C81460">
              <w:rPr>
                <w:rFonts w:ascii="Arial" w:hAnsi="Arial" w:cs="Arial"/>
                <w:b/>
                <w:bCs/>
                <w:color w:val="FFFFFF" w:themeColor="background1"/>
                <w:szCs w:val="22"/>
              </w:rPr>
              <w:t>Limit 202</w:t>
            </w:r>
            <w:r>
              <w:rPr>
                <w:rFonts w:ascii="Arial" w:hAnsi="Arial" w:cs="Arial"/>
                <w:b/>
                <w:bCs/>
                <w:color w:val="FFFFFF" w:themeColor="background1"/>
                <w:szCs w:val="22"/>
              </w:rPr>
              <w:t>4</w:t>
            </w:r>
            <w:r w:rsidRPr="00C81460">
              <w:rPr>
                <w:rFonts w:ascii="Arial" w:hAnsi="Arial" w:cs="Arial"/>
                <w:b/>
                <w:bCs/>
                <w:color w:val="FFFFFF" w:themeColor="background1"/>
                <w:szCs w:val="22"/>
              </w:rPr>
              <w:t>/2</w:t>
            </w:r>
            <w:r>
              <w:rPr>
                <w:rFonts w:ascii="Arial" w:hAnsi="Arial" w:cs="Arial"/>
                <w:b/>
                <w:bCs/>
                <w:color w:val="FFFFFF" w:themeColor="background1"/>
                <w:szCs w:val="22"/>
              </w:rPr>
              <w:t>5</w:t>
            </w:r>
          </w:p>
        </w:tc>
        <w:tc>
          <w:tcPr>
            <w:tcW w:w="1418" w:type="dxa"/>
            <w:tcBorders>
              <w:top w:val="single" w:sz="4" w:space="0" w:color="auto"/>
            </w:tcBorders>
            <w:shd w:val="clear" w:color="auto" w:fill="0070C0"/>
            <w:vAlign w:val="center"/>
          </w:tcPr>
          <w:p w14:paraId="1A767236" w14:textId="77777777" w:rsidR="00F64633" w:rsidRPr="00C81460" w:rsidRDefault="00F64633" w:rsidP="00BD112E">
            <w:pPr>
              <w:pStyle w:val="BodyText"/>
              <w:spacing w:after="120"/>
              <w:jc w:val="center"/>
              <w:rPr>
                <w:rFonts w:ascii="Arial" w:hAnsi="Arial" w:cs="Arial"/>
                <w:b/>
                <w:bCs/>
                <w:color w:val="FFFFFF" w:themeColor="background1"/>
                <w:szCs w:val="22"/>
              </w:rPr>
            </w:pPr>
            <w:r w:rsidRPr="00C81460">
              <w:rPr>
                <w:rFonts w:ascii="Arial" w:hAnsi="Arial" w:cs="Arial"/>
                <w:b/>
                <w:bCs/>
                <w:color w:val="FFFFFF" w:themeColor="background1"/>
                <w:szCs w:val="22"/>
              </w:rPr>
              <w:t xml:space="preserve">Actual at </w:t>
            </w:r>
            <w:r>
              <w:rPr>
                <w:rFonts w:ascii="Arial" w:hAnsi="Arial" w:cs="Arial"/>
                <w:b/>
                <w:bCs/>
                <w:color w:val="FFFFFF" w:themeColor="background1"/>
                <w:szCs w:val="22"/>
              </w:rPr>
              <w:t>30/09/24</w:t>
            </w:r>
          </w:p>
        </w:tc>
      </w:tr>
      <w:tr w:rsidR="00F64633" w:rsidRPr="0056402E" w14:paraId="22A280A5" w14:textId="77777777" w:rsidTr="00BD112E">
        <w:trPr>
          <w:trHeight w:val="510"/>
        </w:trPr>
        <w:tc>
          <w:tcPr>
            <w:tcW w:w="5812" w:type="dxa"/>
            <w:vAlign w:val="center"/>
          </w:tcPr>
          <w:p w14:paraId="5098D7FE" w14:textId="77777777" w:rsidR="00F64633" w:rsidRPr="0056402E" w:rsidRDefault="00F64633" w:rsidP="00BD112E">
            <w:pPr>
              <w:pStyle w:val="BodyText"/>
              <w:spacing w:after="0"/>
              <w:rPr>
                <w:rFonts w:ascii="Arial" w:hAnsi="Arial" w:cs="Arial"/>
                <w:b/>
                <w:bCs/>
              </w:rPr>
            </w:pPr>
            <w:r>
              <w:rPr>
                <w:rFonts w:ascii="Arial" w:hAnsi="Arial" w:cs="Arial"/>
                <w:bCs/>
              </w:rPr>
              <w:t>Quantity of debt held at variable</w:t>
            </w:r>
            <w:r w:rsidRPr="0083120E">
              <w:rPr>
                <w:rFonts w:ascii="Arial" w:hAnsi="Arial" w:cs="Arial"/>
                <w:bCs/>
              </w:rPr>
              <w:t xml:space="preserve"> interest rate</w:t>
            </w:r>
            <w:r>
              <w:rPr>
                <w:rFonts w:ascii="Arial" w:hAnsi="Arial" w:cs="Arial"/>
                <w:bCs/>
              </w:rPr>
              <w:t>s</w:t>
            </w:r>
            <w:r w:rsidRPr="0083120E">
              <w:rPr>
                <w:rFonts w:ascii="Arial" w:hAnsi="Arial" w:cs="Arial"/>
                <w:bCs/>
              </w:rPr>
              <w:t xml:space="preserve"> - upper limit</w:t>
            </w:r>
          </w:p>
        </w:tc>
        <w:tc>
          <w:tcPr>
            <w:tcW w:w="1417" w:type="dxa"/>
            <w:vAlign w:val="center"/>
          </w:tcPr>
          <w:p w14:paraId="12A30052" w14:textId="77777777" w:rsidR="00F64633" w:rsidRPr="0056402E" w:rsidRDefault="00F64633" w:rsidP="00BD112E">
            <w:pPr>
              <w:pStyle w:val="BodyText"/>
              <w:spacing w:after="120"/>
              <w:jc w:val="center"/>
              <w:rPr>
                <w:rFonts w:ascii="Arial" w:hAnsi="Arial" w:cs="Arial"/>
              </w:rPr>
            </w:pPr>
            <w:r>
              <w:rPr>
                <w:rFonts w:ascii="Arial" w:hAnsi="Arial" w:cs="Arial"/>
              </w:rPr>
              <w:t>3</w:t>
            </w:r>
            <w:r w:rsidRPr="0056402E">
              <w:rPr>
                <w:rFonts w:ascii="Arial" w:hAnsi="Arial" w:cs="Arial"/>
              </w:rPr>
              <w:t>0%</w:t>
            </w:r>
          </w:p>
        </w:tc>
        <w:tc>
          <w:tcPr>
            <w:tcW w:w="1418" w:type="dxa"/>
            <w:vAlign w:val="center"/>
          </w:tcPr>
          <w:p w14:paraId="1250037D" w14:textId="77777777" w:rsidR="00F64633" w:rsidRPr="00A2580D" w:rsidRDefault="00F64633" w:rsidP="00BD112E">
            <w:pPr>
              <w:pStyle w:val="BodyText"/>
              <w:spacing w:after="120"/>
              <w:jc w:val="center"/>
              <w:rPr>
                <w:rFonts w:ascii="Arial" w:hAnsi="Arial" w:cs="Arial"/>
              </w:rPr>
            </w:pPr>
            <w:r w:rsidRPr="00A2580D">
              <w:rPr>
                <w:rFonts w:ascii="Arial" w:hAnsi="Arial" w:cs="Arial"/>
              </w:rPr>
              <w:t>2%</w:t>
            </w:r>
          </w:p>
        </w:tc>
      </w:tr>
      <w:tr w:rsidR="00F64633" w:rsidRPr="0056402E" w14:paraId="70C70E31" w14:textId="77777777" w:rsidTr="00BD112E">
        <w:trPr>
          <w:trHeight w:val="510"/>
        </w:trPr>
        <w:tc>
          <w:tcPr>
            <w:tcW w:w="5812" w:type="dxa"/>
            <w:vAlign w:val="center"/>
          </w:tcPr>
          <w:p w14:paraId="4F2DF030" w14:textId="77777777" w:rsidR="00F64633" w:rsidRPr="0083120E" w:rsidRDefault="00F64633" w:rsidP="00BD112E">
            <w:pPr>
              <w:pStyle w:val="BodyText"/>
              <w:spacing w:after="0"/>
              <w:jc w:val="left"/>
              <w:rPr>
                <w:rFonts w:ascii="Arial" w:hAnsi="Arial" w:cs="Arial"/>
                <w:bCs/>
              </w:rPr>
            </w:pPr>
            <w:r>
              <w:rPr>
                <w:rFonts w:ascii="Arial" w:hAnsi="Arial" w:cs="Arial"/>
                <w:bCs/>
              </w:rPr>
              <w:t>Quantity of debt held at fixed interest rates</w:t>
            </w:r>
            <w:r w:rsidRPr="0083120E">
              <w:rPr>
                <w:rFonts w:ascii="Arial" w:hAnsi="Arial" w:cs="Arial"/>
                <w:bCs/>
              </w:rPr>
              <w:t xml:space="preserve"> - upper limit</w:t>
            </w:r>
          </w:p>
        </w:tc>
        <w:tc>
          <w:tcPr>
            <w:tcW w:w="1417" w:type="dxa"/>
            <w:vAlign w:val="center"/>
          </w:tcPr>
          <w:p w14:paraId="30644EC2" w14:textId="77777777" w:rsidR="00F64633" w:rsidRPr="0056402E" w:rsidRDefault="00F64633" w:rsidP="00BD112E">
            <w:pPr>
              <w:pStyle w:val="BodyText"/>
              <w:spacing w:after="0"/>
              <w:jc w:val="center"/>
              <w:rPr>
                <w:rFonts w:ascii="Arial" w:hAnsi="Arial" w:cs="Arial"/>
              </w:rPr>
            </w:pPr>
            <w:r w:rsidRPr="0056402E">
              <w:rPr>
                <w:rFonts w:ascii="Arial" w:hAnsi="Arial" w:cs="Arial"/>
              </w:rPr>
              <w:t>100%</w:t>
            </w:r>
          </w:p>
        </w:tc>
        <w:tc>
          <w:tcPr>
            <w:tcW w:w="1418" w:type="dxa"/>
            <w:vAlign w:val="center"/>
          </w:tcPr>
          <w:p w14:paraId="132E42D8" w14:textId="77777777" w:rsidR="00F64633" w:rsidRPr="00A2580D" w:rsidRDefault="00F64633" w:rsidP="00BD112E">
            <w:pPr>
              <w:pStyle w:val="BodyText"/>
              <w:spacing w:after="0"/>
              <w:jc w:val="center"/>
              <w:rPr>
                <w:rFonts w:ascii="Arial" w:hAnsi="Arial" w:cs="Arial"/>
              </w:rPr>
            </w:pPr>
            <w:r w:rsidRPr="00A2580D">
              <w:rPr>
                <w:rFonts w:ascii="Arial" w:hAnsi="Arial" w:cs="Arial"/>
              </w:rPr>
              <w:t>98%</w:t>
            </w:r>
          </w:p>
        </w:tc>
      </w:tr>
    </w:tbl>
    <w:p w14:paraId="1F7850B5" w14:textId="77777777" w:rsidR="00F64633" w:rsidRPr="00785D11" w:rsidRDefault="00F64633" w:rsidP="00F64633">
      <w:pPr>
        <w:rPr>
          <w:sz w:val="36"/>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F64633" w:rsidRPr="0056402E" w14:paraId="36BCAA57" w14:textId="77777777" w:rsidTr="00BD112E">
        <w:trPr>
          <w:cantSplit/>
          <w:trHeight w:val="20"/>
        </w:trPr>
        <w:tc>
          <w:tcPr>
            <w:tcW w:w="4394" w:type="dxa"/>
            <w:tcBorders>
              <w:right w:val="single" w:sz="4" w:space="0" w:color="auto"/>
            </w:tcBorders>
            <w:shd w:val="clear" w:color="auto" w:fill="0070C0"/>
            <w:vAlign w:val="center"/>
          </w:tcPr>
          <w:p w14:paraId="65BD0099" w14:textId="77777777" w:rsidR="00F64633" w:rsidRPr="00C81460" w:rsidRDefault="00F64633" w:rsidP="00BD112E">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Table 2.22</w:t>
            </w:r>
          </w:p>
        </w:tc>
        <w:tc>
          <w:tcPr>
            <w:tcW w:w="4253" w:type="dxa"/>
            <w:gridSpan w:val="3"/>
            <w:tcBorders>
              <w:top w:val="nil"/>
              <w:left w:val="single" w:sz="4" w:space="0" w:color="auto"/>
              <w:bottom w:val="single" w:sz="4" w:space="0" w:color="auto"/>
              <w:right w:val="nil"/>
            </w:tcBorders>
            <w:vAlign w:val="center"/>
          </w:tcPr>
          <w:p w14:paraId="1ECCED69" w14:textId="77777777" w:rsidR="00F64633" w:rsidRPr="00C81460" w:rsidRDefault="00F64633" w:rsidP="00BD112E">
            <w:pPr>
              <w:pStyle w:val="BodyText"/>
              <w:spacing w:after="120"/>
              <w:jc w:val="left"/>
              <w:rPr>
                <w:rFonts w:ascii="Arial" w:hAnsi="Arial" w:cs="Arial"/>
                <w:b/>
                <w:bCs/>
                <w:color w:val="FFFFFF" w:themeColor="background1"/>
                <w:szCs w:val="22"/>
              </w:rPr>
            </w:pPr>
          </w:p>
        </w:tc>
      </w:tr>
      <w:tr w:rsidR="00F64633" w:rsidRPr="0056402E" w14:paraId="6B5539FE" w14:textId="77777777" w:rsidTr="00BD112E">
        <w:trPr>
          <w:cantSplit/>
          <w:trHeight w:val="20"/>
        </w:trPr>
        <w:tc>
          <w:tcPr>
            <w:tcW w:w="4394" w:type="dxa"/>
            <w:shd w:val="clear" w:color="auto" w:fill="0070C0"/>
            <w:vAlign w:val="center"/>
          </w:tcPr>
          <w:p w14:paraId="7EDF933C" w14:textId="77777777" w:rsidR="00F64633" w:rsidRPr="00C81460" w:rsidRDefault="00F64633" w:rsidP="00BD112E">
            <w:pPr>
              <w:pStyle w:val="BodyText"/>
              <w:spacing w:after="120"/>
              <w:rPr>
                <w:rFonts w:ascii="Arial" w:hAnsi="Arial" w:cs="Arial"/>
                <w:b/>
                <w:bCs/>
                <w:color w:val="FFFFFF" w:themeColor="background1"/>
                <w:szCs w:val="22"/>
              </w:rPr>
            </w:pPr>
            <w:r w:rsidRPr="00C81460">
              <w:rPr>
                <w:rFonts w:ascii="Arial" w:hAnsi="Arial" w:cs="Arial"/>
                <w:b/>
                <w:bCs/>
                <w:color w:val="FFFFFF" w:themeColor="background1"/>
                <w:szCs w:val="22"/>
              </w:rPr>
              <w:t xml:space="preserve">Maturity structure of fixed interest rate borrowing </w:t>
            </w:r>
          </w:p>
        </w:tc>
        <w:tc>
          <w:tcPr>
            <w:tcW w:w="1560" w:type="dxa"/>
            <w:tcBorders>
              <w:top w:val="single" w:sz="4" w:space="0" w:color="auto"/>
            </w:tcBorders>
            <w:shd w:val="clear" w:color="auto" w:fill="0070C0"/>
            <w:vAlign w:val="center"/>
          </w:tcPr>
          <w:p w14:paraId="62205783" w14:textId="77777777" w:rsidR="00F64633" w:rsidRPr="00C81460" w:rsidRDefault="00F64633" w:rsidP="00BD112E">
            <w:pPr>
              <w:pStyle w:val="BodyText"/>
              <w:spacing w:after="120"/>
              <w:jc w:val="center"/>
              <w:rPr>
                <w:rFonts w:ascii="Arial" w:hAnsi="Arial" w:cs="Arial"/>
                <w:b/>
                <w:bCs/>
                <w:color w:val="FFFFFF" w:themeColor="background1"/>
                <w:szCs w:val="22"/>
              </w:rPr>
            </w:pPr>
            <w:r w:rsidRPr="00C81460">
              <w:rPr>
                <w:rFonts w:ascii="Arial" w:hAnsi="Arial" w:cs="Arial"/>
                <w:b/>
                <w:bCs/>
                <w:color w:val="FFFFFF" w:themeColor="background1"/>
                <w:szCs w:val="22"/>
              </w:rPr>
              <w:t>Lower Limit 202</w:t>
            </w:r>
            <w:r>
              <w:rPr>
                <w:rFonts w:ascii="Arial" w:hAnsi="Arial" w:cs="Arial"/>
                <w:b/>
                <w:bCs/>
                <w:color w:val="FFFFFF" w:themeColor="background1"/>
                <w:szCs w:val="22"/>
              </w:rPr>
              <w:t>4</w:t>
            </w:r>
            <w:r w:rsidRPr="00C81460">
              <w:rPr>
                <w:rFonts w:ascii="Arial" w:hAnsi="Arial" w:cs="Arial"/>
                <w:b/>
                <w:bCs/>
                <w:color w:val="FFFFFF" w:themeColor="background1"/>
                <w:szCs w:val="22"/>
              </w:rPr>
              <w:t>/2</w:t>
            </w:r>
            <w:r>
              <w:rPr>
                <w:rFonts w:ascii="Arial" w:hAnsi="Arial" w:cs="Arial"/>
                <w:b/>
                <w:bCs/>
                <w:color w:val="FFFFFF" w:themeColor="background1"/>
                <w:szCs w:val="22"/>
              </w:rPr>
              <w:t>5</w:t>
            </w:r>
          </w:p>
        </w:tc>
        <w:tc>
          <w:tcPr>
            <w:tcW w:w="1559" w:type="dxa"/>
            <w:tcBorders>
              <w:top w:val="single" w:sz="4" w:space="0" w:color="auto"/>
            </w:tcBorders>
            <w:shd w:val="clear" w:color="auto" w:fill="0070C0"/>
            <w:vAlign w:val="center"/>
          </w:tcPr>
          <w:p w14:paraId="0DCA1A07" w14:textId="77777777" w:rsidR="00F64633" w:rsidRPr="00C81460" w:rsidRDefault="00F64633" w:rsidP="00BD112E">
            <w:pPr>
              <w:pStyle w:val="BodyText"/>
              <w:spacing w:after="120"/>
              <w:jc w:val="center"/>
              <w:rPr>
                <w:rFonts w:ascii="Arial" w:hAnsi="Arial" w:cs="Arial"/>
                <w:b/>
                <w:bCs/>
                <w:color w:val="FFFFFF" w:themeColor="background1"/>
                <w:szCs w:val="22"/>
              </w:rPr>
            </w:pPr>
            <w:r w:rsidRPr="00C81460">
              <w:rPr>
                <w:rFonts w:ascii="Arial" w:hAnsi="Arial" w:cs="Arial"/>
                <w:b/>
                <w:bCs/>
                <w:color w:val="FFFFFF" w:themeColor="background1"/>
                <w:szCs w:val="22"/>
              </w:rPr>
              <w:t>Upper Limit 202</w:t>
            </w:r>
            <w:r>
              <w:rPr>
                <w:rFonts w:ascii="Arial" w:hAnsi="Arial" w:cs="Arial"/>
                <w:b/>
                <w:bCs/>
                <w:color w:val="FFFFFF" w:themeColor="background1"/>
                <w:szCs w:val="22"/>
              </w:rPr>
              <w:t>4</w:t>
            </w:r>
            <w:r w:rsidRPr="00C81460">
              <w:rPr>
                <w:rFonts w:ascii="Arial" w:hAnsi="Arial" w:cs="Arial"/>
                <w:b/>
                <w:bCs/>
                <w:color w:val="FFFFFF" w:themeColor="background1"/>
                <w:szCs w:val="22"/>
              </w:rPr>
              <w:t>/2</w:t>
            </w:r>
            <w:r>
              <w:rPr>
                <w:rFonts w:ascii="Arial" w:hAnsi="Arial" w:cs="Arial"/>
                <w:b/>
                <w:bCs/>
                <w:color w:val="FFFFFF" w:themeColor="background1"/>
                <w:szCs w:val="22"/>
              </w:rPr>
              <w:t>5</w:t>
            </w:r>
          </w:p>
        </w:tc>
        <w:tc>
          <w:tcPr>
            <w:tcW w:w="1134" w:type="dxa"/>
            <w:tcBorders>
              <w:top w:val="single" w:sz="4" w:space="0" w:color="auto"/>
            </w:tcBorders>
            <w:shd w:val="clear" w:color="auto" w:fill="0070C0"/>
          </w:tcPr>
          <w:p w14:paraId="1D55456D" w14:textId="77777777" w:rsidR="00F64633" w:rsidRPr="00C81460" w:rsidRDefault="00F64633" w:rsidP="00BD112E">
            <w:pPr>
              <w:pStyle w:val="BodyText"/>
              <w:spacing w:after="120"/>
              <w:jc w:val="center"/>
              <w:rPr>
                <w:rFonts w:ascii="Arial" w:hAnsi="Arial" w:cs="Arial"/>
                <w:b/>
                <w:bCs/>
                <w:color w:val="FFFFFF" w:themeColor="background1"/>
                <w:szCs w:val="22"/>
              </w:rPr>
            </w:pPr>
            <w:r w:rsidRPr="00C81460">
              <w:rPr>
                <w:rFonts w:ascii="Arial" w:hAnsi="Arial" w:cs="Arial"/>
                <w:b/>
                <w:bCs/>
                <w:color w:val="FFFFFF" w:themeColor="background1"/>
                <w:szCs w:val="22"/>
              </w:rPr>
              <w:t>Forecast 202</w:t>
            </w:r>
            <w:r>
              <w:rPr>
                <w:rFonts w:ascii="Arial" w:hAnsi="Arial" w:cs="Arial"/>
                <w:b/>
                <w:bCs/>
                <w:color w:val="FFFFFF" w:themeColor="background1"/>
                <w:szCs w:val="22"/>
              </w:rPr>
              <w:t>4</w:t>
            </w:r>
            <w:r w:rsidRPr="00C81460">
              <w:rPr>
                <w:rFonts w:ascii="Arial" w:hAnsi="Arial" w:cs="Arial"/>
                <w:b/>
                <w:bCs/>
                <w:color w:val="FFFFFF" w:themeColor="background1"/>
                <w:szCs w:val="22"/>
              </w:rPr>
              <w:t>/2</w:t>
            </w:r>
            <w:r>
              <w:rPr>
                <w:rFonts w:ascii="Arial" w:hAnsi="Arial" w:cs="Arial"/>
                <w:b/>
                <w:bCs/>
                <w:color w:val="FFFFFF" w:themeColor="background1"/>
                <w:szCs w:val="22"/>
              </w:rPr>
              <w:t>5</w:t>
            </w:r>
          </w:p>
        </w:tc>
      </w:tr>
      <w:tr w:rsidR="00F64633" w:rsidRPr="0056402E" w14:paraId="406062BD" w14:textId="77777777" w:rsidTr="00BD112E">
        <w:trPr>
          <w:cantSplit/>
          <w:trHeight w:val="397"/>
        </w:trPr>
        <w:tc>
          <w:tcPr>
            <w:tcW w:w="4394" w:type="dxa"/>
            <w:vAlign w:val="center"/>
          </w:tcPr>
          <w:p w14:paraId="3F9EA57B" w14:textId="77777777" w:rsidR="00F64633" w:rsidRPr="0056402E" w:rsidRDefault="00F64633" w:rsidP="00BD112E">
            <w:pPr>
              <w:pStyle w:val="BodyText"/>
              <w:spacing w:after="0" w:line="240" w:lineRule="auto"/>
              <w:jc w:val="left"/>
              <w:rPr>
                <w:rFonts w:ascii="Arial" w:hAnsi="Arial" w:cs="Arial"/>
              </w:rPr>
            </w:pPr>
            <w:r w:rsidRPr="0056402E">
              <w:rPr>
                <w:rFonts w:ascii="Arial" w:hAnsi="Arial" w:cs="Arial"/>
              </w:rPr>
              <w:t>Under 12 months</w:t>
            </w:r>
          </w:p>
        </w:tc>
        <w:tc>
          <w:tcPr>
            <w:tcW w:w="1560" w:type="dxa"/>
            <w:vAlign w:val="center"/>
          </w:tcPr>
          <w:p w14:paraId="443F4237"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0</w:t>
            </w:r>
            <w:r w:rsidRPr="0056402E">
              <w:rPr>
                <w:rFonts w:ascii="Arial" w:hAnsi="Arial" w:cs="Arial"/>
              </w:rPr>
              <w:t>%</w:t>
            </w:r>
          </w:p>
        </w:tc>
        <w:tc>
          <w:tcPr>
            <w:tcW w:w="1559" w:type="dxa"/>
            <w:vAlign w:val="center"/>
          </w:tcPr>
          <w:p w14:paraId="49DC0C59" w14:textId="77777777" w:rsidR="00F64633" w:rsidRPr="0056402E" w:rsidRDefault="00F64633" w:rsidP="00BD112E">
            <w:pPr>
              <w:pStyle w:val="BodyText"/>
              <w:spacing w:after="0" w:line="240" w:lineRule="auto"/>
              <w:jc w:val="center"/>
              <w:rPr>
                <w:rFonts w:ascii="Arial" w:hAnsi="Arial" w:cs="Arial"/>
              </w:rPr>
            </w:pPr>
            <w:r w:rsidRPr="0056402E">
              <w:rPr>
                <w:rFonts w:ascii="Arial" w:hAnsi="Arial" w:cs="Arial"/>
              </w:rPr>
              <w:t>15%</w:t>
            </w:r>
          </w:p>
        </w:tc>
        <w:tc>
          <w:tcPr>
            <w:tcW w:w="1134" w:type="dxa"/>
            <w:vAlign w:val="center"/>
          </w:tcPr>
          <w:p w14:paraId="19D2A068" w14:textId="77777777" w:rsidR="00F64633" w:rsidRPr="005710AB" w:rsidRDefault="00F64633" w:rsidP="00BD112E">
            <w:pPr>
              <w:pStyle w:val="BodyText"/>
              <w:spacing w:after="0" w:line="240" w:lineRule="auto"/>
              <w:jc w:val="center"/>
              <w:rPr>
                <w:rFonts w:ascii="Arial" w:hAnsi="Arial" w:cs="Arial"/>
                <w:color w:val="000000" w:themeColor="text1"/>
              </w:rPr>
            </w:pPr>
            <w:r w:rsidRPr="005710AB">
              <w:rPr>
                <w:rFonts w:ascii="Arial" w:hAnsi="Arial" w:cs="Arial"/>
                <w:color w:val="000000" w:themeColor="text1"/>
              </w:rPr>
              <w:t>4.7%</w:t>
            </w:r>
          </w:p>
        </w:tc>
      </w:tr>
      <w:tr w:rsidR="00F64633" w:rsidRPr="0056402E" w14:paraId="7605223E" w14:textId="77777777" w:rsidTr="00BD112E">
        <w:trPr>
          <w:cantSplit/>
          <w:trHeight w:val="397"/>
        </w:trPr>
        <w:tc>
          <w:tcPr>
            <w:tcW w:w="4394" w:type="dxa"/>
            <w:vAlign w:val="center"/>
          </w:tcPr>
          <w:p w14:paraId="4CB8C5E6" w14:textId="77777777" w:rsidR="00F64633" w:rsidRPr="0056402E" w:rsidRDefault="00F64633" w:rsidP="00BD112E">
            <w:pPr>
              <w:pStyle w:val="BodyText"/>
              <w:spacing w:after="0" w:line="240" w:lineRule="auto"/>
              <w:jc w:val="left"/>
              <w:rPr>
                <w:rFonts w:ascii="Arial" w:hAnsi="Arial" w:cs="Arial"/>
              </w:rPr>
            </w:pPr>
            <w:r w:rsidRPr="0056402E">
              <w:rPr>
                <w:rFonts w:ascii="Arial" w:hAnsi="Arial" w:cs="Arial"/>
              </w:rPr>
              <w:t>12 months to 2 years</w:t>
            </w:r>
          </w:p>
        </w:tc>
        <w:tc>
          <w:tcPr>
            <w:tcW w:w="1560" w:type="dxa"/>
            <w:vAlign w:val="center"/>
          </w:tcPr>
          <w:p w14:paraId="678CEF34"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0</w:t>
            </w:r>
            <w:r w:rsidRPr="0056402E">
              <w:rPr>
                <w:rFonts w:ascii="Arial" w:hAnsi="Arial" w:cs="Arial"/>
              </w:rPr>
              <w:t>%</w:t>
            </w:r>
          </w:p>
        </w:tc>
        <w:tc>
          <w:tcPr>
            <w:tcW w:w="1559" w:type="dxa"/>
            <w:vAlign w:val="center"/>
          </w:tcPr>
          <w:p w14:paraId="24C19840" w14:textId="77777777" w:rsidR="00F64633" w:rsidRPr="0056402E" w:rsidRDefault="00F64633" w:rsidP="00BD112E">
            <w:pPr>
              <w:pStyle w:val="BodyText"/>
              <w:spacing w:after="0" w:line="240" w:lineRule="auto"/>
              <w:jc w:val="center"/>
              <w:rPr>
                <w:rFonts w:ascii="Arial" w:hAnsi="Arial" w:cs="Arial"/>
              </w:rPr>
            </w:pPr>
            <w:r w:rsidRPr="0056402E">
              <w:rPr>
                <w:rFonts w:ascii="Arial" w:hAnsi="Arial" w:cs="Arial"/>
              </w:rPr>
              <w:t>15%</w:t>
            </w:r>
          </w:p>
        </w:tc>
        <w:tc>
          <w:tcPr>
            <w:tcW w:w="1134" w:type="dxa"/>
            <w:vAlign w:val="center"/>
          </w:tcPr>
          <w:p w14:paraId="31FA9A7B" w14:textId="77777777" w:rsidR="00F64633" w:rsidRPr="005710AB" w:rsidRDefault="00F64633" w:rsidP="00BD112E">
            <w:pPr>
              <w:pStyle w:val="BodyText"/>
              <w:spacing w:after="0" w:line="240" w:lineRule="auto"/>
              <w:jc w:val="center"/>
              <w:rPr>
                <w:rFonts w:ascii="Arial" w:hAnsi="Arial" w:cs="Arial"/>
                <w:color w:val="000000" w:themeColor="text1"/>
              </w:rPr>
            </w:pPr>
            <w:r w:rsidRPr="005710AB">
              <w:rPr>
                <w:rFonts w:ascii="Arial" w:hAnsi="Arial" w:cs="Arial"/>
                <w:color w:val="000000" w:themeColor="text1"/>
              </w:rPr>
              <w:t>6.0%</w:t>
            </w:r>
          </w:p>
        </w:tc>
      </w:tr>
      <w:tr w:rsidR="00F64633" w:rsidRPr="0056402E" w14:paraId="296D7DC8" w14:textId="77777777" w:rsidTr="00BD112E">
        <w:trPr>
          <w:cantSplit/>
          <w:trHeight w:val="397"/>
        </w:trPr>
        <w:tc>
          <w:tcPr>
            <w:tcW w:w="4394" w:type="dxa"/>
            <w:vAlign w:val="center"/>
          </w:tcPr>
          <w:p w14:paraId="3DFFA241" w14:textId="77777777" w:rsidR="00F64633" w:rsidRPr="0056402E" w:rsidRDefault="00F64633" w:rsidP="00BD112E">
            <w:pPr>
              <w:pStyle w:val="BodyText"/>
              <w:spacing w:after="0" w:line="240" w:lineRule="auto"/>
              <w:jc w:val="left"/>
              <w:rPr>
                <w:rFonts w:ascii="Arial" w:hAnsi="Arial" w:cs="Arial"/>
              </w:rPr>
            </w:pPr>
            <w:r w:rsidRPr="0056402E">
              <w:rPr>
                <w:rFonts w:ascii="Arial" w:hAnsi="Arial" w:cs="Arial"/>
              </w:rPr>
              <w:t>2 years to 5 years</w:t>
            </w:r>
          </w:p>
        </w:tc>
        <w:tc>
          <w:tcPr>
            <w:tcW w:w="1560" w:type="dxa"/>
            <w:vAlign w:val="center"/>
          </w:tcPr>
          <w:p w14:paraId="130069AA"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0</w:t>
            </w:r>
            <w:r w:rsidRPr="0056402E">
              <w:rPr>
                <w:rFonts w:ascii="Arial" w:hAnsi="Arial" w:cs="Arial"/>
              </w:rPr>
              <w:t>%</w:t>
            </w:r>
          </w:p>
        </w:tc>
        <w:tc>
          <w:tcPr>
            <w:tcW w:w="1559" w:type="dxa"/>
            <w:vAlign w:val="center"/>
          </w:tcPr>
          <w:p w14:paraId="11E24E44" w14:textId="77777777" w:rsidR="00F64633" w:rsidRPr="0056402E" w:rsidRDefault="00F64633" w:rsidP="00BD112E">
            <w:pPr>
              <w:pStyle w:val="BodyText"/>
              <w:spacing w:after="0" w:line="240" w:lineRule="auto"/>
              <w:jc w:val="center"/>
              <w:rPr>
                <w:rFonts w:ascii="Arial" w:hAnsi="Arial" w:cs="Arial"/>
              </w:rPr>
            </w:pPr>
            <w:r w:rsidRPr="0056402E">
              <w:rPr>
                <w:rFonts w:ascii="Arial" w:hAnsi="Arial" w:cs="Arial"/>
              </w:rPr>
              <w:t>20%</w:t>
            </w:r>
          </w:p>
        </w:tc>
        <w:tc>
          <w:tcPr>
            <w:tcW w:w="1134" w:type="dxa"/>
            <w:vAlign w:val="center"/>
          </w:tcPr>
          <w:p w14:paraId="31E14053" w14:textId="77777777" w:rsidR="00F64633" w:rsidRPr="005710AB" w:rsidRDefault="00F64633" w:rsidP="00BD112E">
            <w:pPr>
              <w:pStyle w:val="BodyText"/>
              <w:spacing w:after="0" w:line="240" w:lineRule="auto"/>
              <w:jc w:val="center"/>
              <w:rPr>
                <w:rFonts w:ascii="Arial" w:hAnsi="Arial" w:cs="Arial"/>
                <w:color w:val="000000" w:themeColor="text1"/>
              </w:rPr>
            </w:pPr>
            <w:r w:rsidRPr="005710AB">
              <w:rPr>
                <w:rFonts w:ascii="Arial" w:hAnsi="Arial" w:cs="Arial"/>
                <w:color w:val="000000" w:themeColor="text1"/>
              </w:rPr>
              <w:t>13.8%</w:t>
            </w:r>
          </w:p>
        </w:tc>
      </w:tr>
      <w:tr w:rsidR="00F64633" w:rsidRPr="0056402E" w14:paraId="58A58346" w14:textId="77777777" w:rsidTr="00BD112E">
        <w:trPr>
          <w:cantSplit/>
          <w:trHeight w:val="397"/>
        </w:trPr>
        <w:tc>
          <w:tcPr>
            <w:tcW w:w="4394" w:type="dxa"/>
            <w:vAlign w:val="center"/>
          </w:tcPr>
          <w:p w14:paraId="687F1C06" w14:textId="77777777" w:rsidR="00F64633" w:rsidRPr="0056402E" w:rsidRDefault="00F64633" w:rsidP="00BD112E">
            <w:pPr>
              <w:pStyle w:val="BodyText"/>
              <w:spacing w:after="0" w:line="240" w:lineRule="auto"/>
              <w:jc w:val="left"/>
              <w:rPr>
                <w:rFonts w:ascii="Arial" w:hAnsi="Arial" w:cs="Arial"/>
              </w:rPr>
            </w:pPr>
            <w:r w:rsidRPr="0056402E">
              <w:rPr>
                <w:rFonts w:ascii="Arial" w:hAnsi="Arial" w:cs="Arial"/>
              </w:rPr>
              <w:t>5 years to 10 years</w:t>
            </w:r>
          </w:p>
        </w:tc>
        <w:tc>
          <w:tcPr>
            <w:tcW w:w="1560" w:type="dxa"/>
            <w:vAlign w:val="center"/>
          </w:tcPr>
          <w:p w14:paraId="6F62FF1F"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0</w:t>
            </w:r>
            <w:r w:rsidRPr="0056402E">
              <w:rPr>
                <w:rFonts w:ascii="Arial" w:hAnsi="Arial" w:cs="Arial"/>
              </w:rPr>
              <w:t>%</w:t>
            </w:r>
          </w:p>
        </w:tc>
        <w:tc>
          <w:tcPr>
            <w:tcW w:w="1559" w:type="dxa"/>
            <w:vAlign w:val="center"/>
          </w:tcPr>
          <w:p w14:paraId="43E24C83" w14:textId="77777777" w:rsidR="00F64633" w:rsidRPr="0056402E" w:rsidRDefault="00F64633" w:rsidP="00BD112E">
            <w:pPr>
              <w:pStyle w:val="BodyText"/>
              <w:spacing w:after="0" w:line="240" w:lineRule="auto"/>
              <w:jc w:val="center"/>
              <w:rPr>
                <w:rFonts w:ascii="Arial" w:hAnsi="Arial" w:cs="Arial"/>
              </w:rPr>
            </w:pPr>
            <w:r w:rsidRPr="0056402E">
              <w:rPr>
                <w:rFonts w:ascii="Arial" w:hAnsi="Arial" w:cs="Arial"/>
              </w:rPr>
              <w:t>30%</w:t>
            </w:r>
          </w:p>
        </w:tc>
        <w:tc>
          <w:tcPr>
            <w:tcW w:w="1134" w:type="dxa"/>
            <w:vAlign w:val="center"/>
          </w:tcPr>
          <w:p w14:paraId="5B9E07FE" w14:textId="77777777" w:rsidR="00F64633" w:rsidRPr="005710AB" w:rsidRDefault="00F64633" w:rsidP="00BD112E">
            <w:pPr>
              <w:pStyle w:val="BodyText"/>
              <w:spacing w:after="0" w:line="240" w:lineRule="auto"/>
              <w:jc w:val="center"/>
              <w:rPr>
                <w:rFonts w:ascii="Arial" w:hAnsi="Arial" w:cs="Arial"/>
                <w:color w:val="000000" w:themeColor="text1"/>
              </w:rPr>
            </w:pPr>
            <w:r w:rsidRPr="005710AB">
              <w:rPr>
                <w:rFonts w:ascii="Arial" w:hAnsi="Arial" w:cs="Arial"/>
                <w:color w:val="000000" w:themeColor="text1"/>
              </w:rPr>
              <w:t>27.2%</w:t>
            </w:r>
          </w:p>
        </w:tc>
      </w:tr>
      <w:tr w:rsidR="00F64633" w:rsidRPr="0056402E" w14:paraId="5AC2F20A" w14:textId="77777777" w:rsidTr="00BD112E">
        <w:trPr>
          <w:cantSplit/>
          <w:trHeight w:val="397"/>
        </w:trPr>
        <w:tc>
          <w:tcPr>
            <w:tcW w:w="4394" w:type="dxa"/>
            <w:vAlign w:val="center"/>
          </w:tcPr>
          <w:p w14:paraId="60A9F2C3" w14:textId="77777777" w:rsidR="00F64633" w:rsidRPr="0056402E" w:rsidRDefault="00F64633" w:rsidP="00BD112E">
            <w:pPr>
              <w:pStyle w:val="BodyText"/>
              <w:spacing w:after="0" w:line="240" w:lineRule="auto"/>
              <w:jc w:val="left"/>
              <w:rPr>
                <w:rFonts w:ascii="Arial" w:hAnsi="Arial" w:cs="Arial"/>
              </w:rPr>
            </w:pPr>
            <w:r w:rsidRPr="0056402E">
              <w:rPr>
                <w:rFonts w:ascii="Arial" w:hAnsi="Arial" w:cs="Arial"/>
              </w:rPr>
              <w:t>10 years and above</w:t>
            </w:r>
          </w:p>
        </w:tc>
        <w:tc>
          <w:tcPr>
            <w:tcW w:w="1560" w:type="dxa"/>
            <w:vAlign w:val="center"/>
          </w:tcPr>
          <w:p w14:paraId="72D316FA"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3</w:t>
            </w:r>
            <w:r w:rsidRPr="0056402E">
              <w:rPr>
                <w:rFonts w:ascii="Arial" w:hAnsi="Arial" w:cs="Arial"/>
              </w:rPr>
              <w:t>0%</w:t>
            </w:r>
          </w:p>
        </w:tc>
        <w:tc>
          <w:tcPr>
            <w:tcW w:w="1559" w:type="dxa"/>
            <w:vAlign w:val="center"/>
          </w:tcPr>
          <w:p w14:paraId="2725637E" w14:textId="77777777" w:rsidR="00F64633" w:rsidRPr="0056402E" w:rsidRDefault="00F64633" w:rsidP="00BD112E">
            <w:pPr>
              <w:pStyle w:val="BodyText"/>
              <w:spacing w:after="0" w:line="240" w:lineRule="auto"/>
              <w:jc w:val="center"/>
              <w:rPr>
                <w:rFonts w:ascii="Arial" w:hAnsi="Arial" w:cs="Arial"/>
              </w:rPr>
            </w:pPr>
            <w:r>
              <w:rPr>
                <w:rFonts w:ascii="Arial" w:hAnsi="Arial" w:cs="Arial"/>
              </w:rPr>
              <w:t>9</w:t>
            </w:r>
            <w:r w:rsidRPr="0056402E">
              <w:rPr>
                <w:rFonts w:ascii="Arial" w:hAnsi="Arial" w:cs="Arial"/>
              </w:rPr>
              <w:t>0%</w:t>
            </w:r>
          </w:p>
        </w:tc>
        <w:tc>
          <w:tcPr>
            <w:tcW w:w="1134" w:type="dxa"/>
            <w:vAlign w:val="center"/>
          </w:tcPr>
          <w:p w14:paraId="60669730" w14:textId="77777777" w:rsidR="00F64633" w:rsidRPr="005710AB" w:rsidRDefault="00F64633" w:rsidP="00BD112E">
            <w:pPr>
              <w:pStyle w:val="BodyText"/>
              <w:spacing w:after="0" w:line="240" w:lineRule="auto"/>
              <w:jc w:val="center"/>
              <w:rPr>
                <w:rFonts w:ascii="Arial" w:hAnsi="Arial" w:cs="Arial"/>
                <w:color w:val="000000" w:themeColor="text1"/>
              </w:rPr>
            </w:pPr>
            <w:r w:rsidRPr="005710AB">
              <w:rPr>
                <w:rFonts w:ascii="Arial" w:hAnsi="Arial" w:cs="Arial"/>
                <w:color w:val="000000" w:themeColor="text1"/>
              </w:rPr>
              <w:t>48.3%</w:t>
            </w:r>
          </w:p>
        </w:tc>
      </w:tr>
    </w:tbl>
    <w:p w14:paraId="5005B674" w14:textId="77777777" w:rsidR="00F64633" w:rsidRDefault="00F64633" w:rsidP="007A0584">
      <w:pPr>
        <w:rPr>
          <w:b/>
        </w:rPr>
      </w:pPr>
    </w:p>
    <w:p w14:paraId="063562D3" w14:textId="77777777" w:rsidR="00F64633" w:rsidRPr="00243B4E" w:rsidRDefault="00F64633" w:rsidP="00F64633">
      <w:pPr>
        <w:pStyle w:val="Header"/>
        <w:rPr>
          <w:rFonts w:cs="Arial"/>
          <w:b/>
          <w:bCs/>
        </w:rPr>
      </w:pPr>
      <w:r>
        <w:rPr>
          <w:rFonts w:cs="Arial"/>
          <w:b/>
          <w:bCs/>
        </w:rPr>
        <w:t xml:space="preserve">2.3 Treasury Management - </w:t>
      </w:r>
      <w:r w:rsidRPr="00243B4E">
        <w:rPr>
          <w:rFonts w:cs="Arial"/>
          <w:b/>
          <w:bCs/>
        </w:rPr>
        <w:t xml:space="preserve">Investment </w:t>
      </w:r>
      <w:r>
        <w:rPr>
          <w:rFonts w:cs="Arial"/>
          <w:b/>
          <w:bCs/>
        </w:rPr>
        <w:t>Activity</w:t>
      </w:r>
    </w:p>
    <w:p w14:paraId="491CF498" w14:textId="77777777" w:rsidR="00F64633" w:rsidRPr="00470D2F" w:rsidRDefault="00F64633" w:rsidP="007A0584">
      <w:pPr>
        <w:pStyle w:val="Header"/>
        <w:rPr>
          <w:rFonts w:cs="Arial"/>
          <w:bCs/>
          <w:sz w:val="20"/>
        </w:rPr>
      </w:pPr>
    </w:p>
    <w:p w14:paraId="76E0510B" w14:textId="48483801" w:rsidR="00F64633" w:rsidRDefault="00F64633" w:rsidP="007A0584">
      <w:pPr>
        <w:pStyle w:val="Header"/>
        <w:rPr>
          <w:rFonts w:cs="Arial"/>
          <w:bCs/>
        </w:rPr>
      </w:pPr>
      <w:r w:rsidRPr="00243B4E">
        <w:rPr>
          <w:rFonts w:cs="Arial"/>
          <w:bCs/>
        </w:rPr>
        <w:t xml:space="preserve">The objectives of the Council’s investment strategy </w:t>
      </w:r>
      <w:r w:rsidR="007A0584">
        <w:rPr>
          <w:rFonts w:cs="Arial"/>
          <w:bCs/>
        </w:rPr>
        <w:t>were</w:t>
      </w:r>
      <w:r w:rsidRPr="00243B4E">
        <w:rPr>
          <w:rFonts w:cs="Arial"/>
          <w:bCs/>
        </w:rPr>
        <w:t xml:space="preserve"> safeguarding the repayment</w:t>
      </w:r>
      <w:r>
        <w:rPr>
          <w:rFonts w:cs="Arial"/>
          <w:bCs/>
        </w:rPr>
        <w:t xml:space="preserve"> </w:t>
      </w:r>
      <w:r w:rsidRPr="00243B4E">
        <w:rPr>
          <w:rFonts w:cs="Arial"/>
          <w:bCs/>
        </w:rPr>
        <w:t>of the principal and interest o</w:t>
      </w:r>
      <w:r>
        <w:rPr>
          <w:rFonts w:cs="Arial"/>
          <w:bCs/>
        </w:rPr>
        <w:t>n</w:t>
      </w:r>
      <w:r w:rsidRPr="00243B4E">
        <w:rPr>
          <w:rFonts w:cs="Arial"/>
          <w:bCs/>
        </w:rPr>
        <w:t xml:space="preserve"> its investments on time</w:t>
      </w:r>
      <w:r>
        <w:rPr>
          <w:rFonts w:cs="Arial"/>
          <w:bCs/>
        </w:rPr>
        <w:t xml:space="preserve">, with </w:t>
      </w:r>
      <w:r w:rsidRPr="00243B4E">
        <w:rPr>
          <w:rFonts w:cs="Arial"/>
          <w:bCs/>
        </w:rPr>
        <w:t>the</w:t>
      </w:r>
      <w:r>
        <w:rPr>
          <w:rFonts w:cs="Arial"/>
          <w:bCs/>
        </w:rPr>
        <w:t xml:space="preserve"> </w:t>
      </w:r>
      <w:r w:rsidRPr="00243B4E">
        <w:rPr>
          <w:rFonts w:cs="Arial"/>
          <w:bCs/>
        </w:rPr>
        <w:t xml:space="preserve">investment return being a secondary objective. </w:t>
      </w:r>
      <w:r>
        <w:rPr>
          <w:rFonts w:cs="Arial"/>
          <w:bCs/>
        </w:rPr>
        <w:t>T</w:t>
      </w:r>
      <w:r w:rsidRPr="00243B4E">
        <w:rPr>
          <w:rFonts w:cs="Arial"/>
          <w:bCs/>
        </w:rPr>
        <w:t xml:space="preserve">he </w:t>
      </w:r>
      <w:r>
        <w:rPr>
          <w:rFonts w:cs="Arial"/>
          <w:bCs/>
        </w:rPr>
        <w:t xml:space="preserve">current </w:t>
      </w:r>
      <w:r w:rsidRPr="00243B4E">
        <w:rPr>
          <w:rFonts w:cs="Arial"/>
          <w:bCs/>
        </w:rPr>
        <w:t xml:space="preserve">investment climate </w:t>
      </w:r>
      <w:r>
        <w:rPr>
          <w:rFonts w:cs="Arial"/>
          <w:bCs/>
        </w:rPr>
        <w:t xml:space="preserve">continues to be </w:t>
      </w:r>
      <w:r w:rsidRPr="00243B4E">
        <w:rPr>
          <w:rFonts w:cs="Arial"/>
          <w:bCs/>
        </w:rPr>
        <w:t xml:space="preserve">one </w:t>
      </w:r>
      <w:r>
        <w:rPr>
          <w:rFonts w:cs="Arial"/>
          <w:bCs/>
        </w:rPr>
        <w:t xml:space="preserve">of </w:t>
      </w:r>
      <w:r w:rsidRPr="00243B4E">
        <w:rPr>
          <w:rFonts w:cs="Arial"/>
          <w:bCs/>
        </w:rPr>
        <w:t>overriding</w:t>
      </w:r>
      <w:r>
        <w:rPr>
          <w:rFonts w:cs="Arial"/>
          <w:bCs/>
        </w:rPr>
        <w:t xml:space="preserve"> </w:t>
      </w:r>
      <w:r w:rsidRPr="00243B4E">
        <w:rPr>
          <w:rFonts w:cs="Arial"/>
          <w:bCs/>
        </w:rPr>
        <w:t xml:space="preserve">risk consideration, </w:t>
      </w:r>
      <w:r>
        <w:rPr>
          <w:rFonts w:cs="Arial"/>
          <w:bCs/>
        </w:rPr>
        <w:t xml:space="preserve">particularly that of counterparty risk.  In line with advice provided by treasury management consultants, officers continue to implement an </w:t>
      </w:r>
      <w:r w:rsidRPr="00243B4E">
        <w:rPr>
          <w:rFonts w:cs="Arial"/>
          <w:bCs/>
        </w:rPr>
        <w:t>operational</w:t>
      </w:r>
      <w:r>
        <w:rPr>
          <w:rFonts w:cs="Arial"/>
          <w:bCs/>
        </w:rPr>
        <w:t xml:space="preserve"> </w:t>
      </w:r>
      <w:r w:rsidRPr="00243B4E">
        <w:rPr>
          <w:rFonts w:cs="Arial"/>
          <w:bCs/>
        </w:rPr>
        <w:t xml:space="preserve">investment strategy </w:t>
      </w:r>
      <w:r>
        <w:rPr>
          <w:rFonts w:cs="Arial"/>
          <w:bCs/>
        </w:rPr>
        <w:t xml:space="preserve">of placing short-term investments with approved high-quality counterparties.  </w:t>
      </w:r>
    </w:p>
    <w:p w14:paraId="16920D6F" w14:textId="77777777" w:rsidR="00F64633" w:rsidRDefault="00F64633" w:rsidP="007A0584">
      <w:pPr>
        <w:pStyle w:val="Header"/>
        <w:rPr>
          <w:rFonts w:cs="Arial"/>
          <w:bCs/>
        </w:rPr>
      </w:pPr>
    </w:p>
    <w:p w14:paraId="7C1A074E" w14:textId="353BA730" w:rsidR="00F64633" w:rsidRPr="005910F2" w:rsidRDefault="00F64633" w:rsidP="007A0584">
      <w:pPr>
        <w:pStyle w:val="Header"/>
        <w:rPr>
          <w:rFonts w:cs="Arial"/>
          <w:bCs/>
        </w:rPr>
      </w:pPr>
      <w:r w:rsidRPr="005910F2">
        <w:rPr>
          <w:rFonts w:cs="Arial"/>
        </w:rPr>
        <w:t>F</w:t>
      </w:r>
      <w:r w:rsidRPr="005910F2">
        <w:rPr>
          <w:rFonts w:cs="Arial"/>
          <w:bCs/>
        </w:rPr>
        <w:t>or the period from 1 April to 30 September 2024, Council ha</w:t>
      </w:r>
      <w:r w:rsidR="007A0584">
        <w:rPr>
          <w:rFonts w:cs="Arial"/>
          <w:bCs/>
        </w:rPr>
        <w:t>d</w:t>
      </w:r>
      <w:r w:rsidRPr="005910F2">
        <w:rPr>
          <w:rFonts w:cs="Arial"/>
          <w:bCs/>
        </w:rPr>
        <w:t xml:space="preserve"> earned interest of £321</w:t>
      </w:r>
      <w:r>
        <w:rPr>
          <w:rFonts w:cs="Arial"/>
          <w:bCs/>
        </w:rPr>
        <w:t>K</w:t>
      </w:r>
      <w:r w:rsidRPr="005910F2">
        <w:rPr>
          <w:rFonts w:cs="Arial"/>
          <w:bCs/>
        </w:rPr>
        <w:t xml:space="preserve"> on investment deals with approved financial institutions as summarised below:  </w:t>
      </w:r>
    </w:p>
    <w:p w14:paraId="0D972D15" w14:textId="77777777" w:rsidR="00F64633" w:rsidRDefault="00F64633" w:rsidP="00F64633">
      <w:pPr>
        <w:pStyle w:val="Header"/>
        <w:jc w:val="both"/>
        <w:rPr>
          <w:rFonts w:cs="Arial"/>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F64633" w:rsidRPr="00B3591A" w14:paraId="136A4122" w14:textId="77777777" w:rsidTr="00BD112E">
        <w:tc>
          <w:tcPr>
            <w:tcW w:w="3969" w:type="dxa"/>
            <w:shd w:val="clear" w:color="auto" w:fill="0070C0"/>
          </w:tcPr>
          <w:p w14:paraId="7BA927E9" w14:textId="77777777" w:rsidR="00F64633" w:rsidRPr="005910F2" w:rsidRDefault="00F64633" w:rsidP="00BD112E">
            <w:pPr>
              <w:pStyle w:val="ListParagraph"/>
              <w:ind w:left="0"/>
              <w:rPr>
                <w:rFonts w:cs="Arial"/>
                <w:b/>
                <w:color w:val="FFFFFF" w:themeColor="background1"/>
              </w:rPr>
            </w:pPr>
            <w:r w:rsidRPr="005910F2">
              <w:rPr>
                <w:rFonts w:cs="Arial"/>
                <w:b/>
                <w:color w:val="FFFFFF" w:themeColor="background1"/>
              </w:rPr>
              <w:t>Table 2.31</w:t>
            </w:r>
          </w:p>
        </w:tc>
        <w:tc>
          <w:tcPr>
            <w:tcW w:w="1276" w:type="dxa"/>
            <w:shd w:val="clear" w:color="auto" w:fill="0070C0"/>
            <w:vAlign w:val="center"/>
          </w:tcPr>
          <w:p w14:paraId="236D1912" w14:textId="77777777" w:rsidR="00F64633" w:rsidRPr="005910F2" w:rsidRDefault="00F64633" w:rsidP="00BD112E">
            <w:pPr>
              <w:pStyle w:val="ListParagraph"/>
              <w:ind w:left="0"/>
              <w:jc w:val="center"/>
              <w:rPr>
                <w:rFonts w:cs="Arial"/>
                <w:b/>
                <w:color w:val="FFFFFF" w:themeColor="background1"/>
              </w:rPr>
            </w:pPr>
            <w:r w:rsidRPr="005910F2">
              <w:rPr>
                <w:rFonts w:cs="Arial"/>
                <w:b/>
                <w:color w:val="FFFFFF" w:themeColor="background1"/>
              </w:rPr>
              <w:t>Average Deposit Size</w:t>
            </w:r>
          </w:p>
        </w:tc>
        <w:tc>
          <w:tcPr>
            <w:tcW w:w="1276" w:type="dxa"/>
            <w:shd w:val="clear" w:color="auto" w:fill="0070C0"/>
            <w:vAlign w:val="center"/>
          </w:tcPr>
          <w:p w14:paraId="2B679218" w14:textId="77777777" w:rsidR="00F64633" w:rsidRPr="005910F2" w:rsidRDefault="00F64633" w:rsidP="00BD112E">
            <w:pPr>
              <w:pStyle w:val="ListParagraph"/>
              <w:ind w:left="0"/>
              <w:jc w:val="center"/>
              <w:rPr>
                <w:rFonts w:cs="Arial"/>
                <w:b/>
                <w:color w:val="FFFFFF" w:themeColor="background1"/>
              </w:rPr>
            </w:pPr>
            <w:r w:rsidRPr="005910F2">
              <w:rPr>
                <w:rFonts w:cs="Arial"/>
                <w:b/>
                <w:color w:val="FFFFFF" w:themeColor="background1"/>
              </w:rPr>
              <w:t>Average Term</w:t>
            </w:r>
          </w:p>
        </w:tc>
        <w:tc>
          <w:tcPr>
            <w:tcW w:w="1277" w:type="dxa"/>
            <w:shd w:val="clear" w:color="auto" w:fill="0070C0"/>
            <w:vAlign w:val="center"/>
          </w:tcPr>
          <w:p w14:paraId="3F5C724B" w14:textId="77777777" w:rsidR="00F64633" w:rsidRPr="005910F2" w:rsidRDefault="00F64633" w:rsidP="00BD112E">
            <w:pPr>
              <w:pStyle w:val="ListParagraph"/>
              <w:ind w:left="0"/>
              <w:jc w:val="center"/>
              <w:rPr>
                <w:rFonts w:cs="Arial"/>
                <w:b/>
                <w:color w:val="FFFFFF" w:themeColor="background1"/>
              </w:rPr>
            </w:pPr>
            <w:r w:rsidRPr="005910F2">
              <w:rPr>
                <w:rFonts w:cs="Arial"/>
                <w:b/>
                <w:color w:val="FFFFFF" w:themeColor="background1"/>
              </w:rPr>
              <w:t>Average Interest Rate</w:t>
            </w:r>
          </w:p>
        </w:tc>
        <w:tc>
          <w:tcPr>
            <w:tcW w:w="1274" w:type="dxa"/>
            <w:shd w:val="clear" w:color="auto" w:fill="0070C0"/>
            <w:vAlign w:val="center"/>
          </w:tcPr>
          <w:p w14:paraId="58997D56" w14:textId="77777777" w:rsidR="00F64633" w:rsidRPr="005910F2" w:rsidRDefault="00F64633" w:rsidP="00BD112E">
            <w:pPr>
              <w:pStyle w:val="ListParagraph"/>
              <w:ind w:left="0"/>
              <w:jc w:val="center"/>
              <w:rPr>
                <w:rFonts w:cs="Arial"/>
                <w:b/>
                <w:color w:val="FFFFFF" w:themeColor="background1"/>
              </w:rPr>
            </w:pPr>
            <w:r w:rsidRPr="005910F2">
              <w:rPr>
                <w:rFonts w:cs="Arial"/>
                <w:b/>
                <w:color w:val="FFFFFF" w:themeColor="background1"/>
              </w:rPr>
              <w:t>Interest Earned</w:t>
            </w:r>
          </w:p>
        </w:tc>
      </w:tr>
      <w:tr w:rsidR="00F64633" w:rsidRPr="005910F2" w14:paraId="6BE66875" w14:textId="77777777" w:rsidTr="00BD112E">
        <w:trPr>
          <w:trHeight w:val="397"/>
        </w:trPr>
        <w:tc>
          <w:tcPr>
            <w:tcW w:w="3969" w:type="dxa"/>
            <w:vAlign w:val="center"/>
          </w:tcPr>
          <w:p w14:paraId="6E51769D" w14:textId="77777777" w:rsidR="00F64633" w:rsidRPr="005910F2" w:rsidRDefault="00F64633" w:rsidP="00BD112E">
            <w:pPr>
              <w:pStyle w:val="ListParagraph"/>
              <w:ind w:left="0"/>
              <w:rPr>
                <w:rFonts w:cs="Arial"/>
                <w:bCs/>
                <w:szCs w:val="24"/>
              </w:rPr>
            </w:pPr>
            <w:r w:rsidRPr="005910F2">
              <w:rPr>
                <w:rFonts w:cs="Arial"/>
                <w:bCs/>
                <w:szCs w:val="24"/>
              </w:rPr>
              <w:lastRenderedPageBreak/>
              <w:t>CCLA Public Sector Deposit Fund</w:t>
            </w:r>
          </w:p>
        </w:tc>
        <w:tc>
          <w:tcPr>
            <w:tcW w:w="1276" w:type="dxa"/>
            <w:vAlign w:val="center"/>
          </w:tcPr>
          <w:p w14:paraId="464046E4" w14:textId="77777777" w:rsidR="00F64633" w:rsidRPr="005910F2" w:rsidRDefault="00F64633" w:rsidP="00BD112E">
            <w:pPr>
              <w:pStyle w:val="ListParagraph"/>
              <w:ind w:left="0"/>
              <w:jc w:val="center"/>
              <w:rPr>
                <w:rFonts w:cs="Arial"/>
                <w:szCs w:val="24"/>
              </w:rPr>
            </w:pPr>
            <w:r w:rsidRPr="005910F2">
              <w:rPr>
                <w:rFonts w:cs="Arial"/>
                <w:szCs w:val="24"/>
              </w:rPr>
              <w:t>£3.0m</w:t>
            </w:r>
          </w:p>
        </w:tc>
        <w:tc>
          <w:tcPr>
            <w:tcW w:w="1276" w:type="dxa"/>
            <w:vAlign w:val="center"/>
          </w:tcPr>
          <w:p w14:paraId="2AEC7B5C"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4D454CCA" w14:textId="77777777" w:rsidR="00F64633" w:rsidRPr="005910F2" w:rsidRDefault="00F64633" w:rsidP="00BD112E">
            <w:pPr>
              <w:pStyle w:val="ListParagraph"/>
              <w:ind w:left="0"/>
              <w:jc w:val="center"/>
              <w:rPr>
                <w:rFonts w:cs="Arial"/>
                <w:szCs w:val="24"/>
              </w:rPr>
            </w:pPr>
            <w:r w:rsidRPr="005910F2">
              <w:rPr>
                <w:rFonts w:cs="Arial"/>
                <w:szCs w:val="24"/>
              </w:rPr>
              <w:t>514%</w:t>
            </w:r>
          </w:p>
        </w:tc>
        <w:tc>
          <w:tcPr>
            <w:tcW w:w="1274" w:type="dxa"/>
            <w:vAlign w:val="center"/>
          </w:tcPr>
          <w:p w14:paraId="769FCF73" w14:textId="77777777" w:rsidR="00F64633" w:rsidRPr="005910F2" w:rsidRDefault="00F64633" w:rsidP="00BD112E">
            <w:pPr>
              <w:pStyle w:val="ListParagraph"/>
              <w:ind w:left="0"/>
              <w:jc w:val="right"/>
              <w:rPr>
                <w:rFonts w:cs="Arial"/>
                <w:szCs w:val="24"/>
              </w:rPr>
            </w:pPr>
            <w:r w:rsidRPr="005910F2">
              <w:rPr>
                <w:rFonts w:cs="Arial"/>
                <w:szCs w:val="24"/>
              </w:rPr>
              <w:t>£78,076</w:t>
            </w:r>
          </w:p>
        </w:tc>
      </w:tr>
      <w:tr w:rsidR="00F64633" w:rsidRPr="005910F2" w14:paraId="368FA1F6" w14:textId="77777777" w:rsidTr="00BD112E">
        <w:trPr>
          <w:trHeight w:val="397"/>
        </w:trPr>
        <w:tc>
          <w:tcPr>
            <w:tcW w:w="3969" w:type="dxa"/>
            <w:vAlign w:val="center"/>
          </w:tcPr>
          <w:p w14:paraId="0142501C" w14:textId="77777777" w:rsidR="00F64633" w:rsidRPr="005910F2" w:rsidRDefault="00F64633" w:rsidP="00BD112E">
            <w:pPr>
              <w:pStyle w:val="ListParagraph"/>
              <w:ind w:left="0"/>
              <w:rPr>
                <w:rFonts w:cs="Arial"/>
                <w:bCs/>
                <w:szCs w:val="24"/>
              </w:rPr>
            </w:pPr>
            <w:r w:rsidRPr="005910F2">
              <w:rPr>
                <w:rFonts w:cs="Arial"/>
                <w:bCs/>
                <w:szCs w:val="24"/>
              </w:rPr>
              <w:t>Invesco Investment Mgt Ltd</w:t>
            </w:r>
          </w:p>
        </w:tc>
        <w:tc>
          <w:tcPr>
            <w:tcW w:w="1276" w:type="dxa"/>
            <w:vAlign w:val="center"/>
          </w:tcPr>
          <w:p w14:paraId="68080288" w14:textId="77777777" w:rsidR="00F64633" w:rsidRPr="005910F2" w:rsidRDefault="00F64633" w:rsidP="00BD112E">
            <w:pPr>
              <w:pStyle w:val="ListParagraph"/>
              <w:ind w:left="0"/>
              <w:jc w:val="center"/>
              <w:rPr>
                <w:rFonts w:cs="Arial"/>
                <w:szCs w:val="24"/>
              </w:rPr>
            </w:pPr>
            <w:r w:rsidRPr="005910F2">
              <w:rPr>
                <w:rFonts w:cs="Arial"/>
                <w:szCs w:val="24"/>
              </w:rPr>
              <w:t>£2.9m</w:t>
            </w:r>
          </w:p>
        </w:tc>
        <w:tc>
          <w:tcPr>
            <w:tcW w:w="1276" w:type="dxa"/>
            <w:vAlign w:val="center"/>
          </w:tcPr>
          <w:p w14:paraId="16561CBD"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00992ADF" w14:textId="77777777" w:rsidR="00F64633" w:rsidRPr="005910F2" w:rsidRDefault="00F64633" w:rsidP="00BD112E">
            <w:pPr>
              <w:pStyle w:val="ListParagraph"/>
              <w:ind w:left="0"/>
              <w:jc w:val="center"/>
              <w:rPr>
                <w:rFonts w:cs="Arial"/>
                <w:szCs w:val="24"/>
              </w:rPr>
            </w:pPr>
            <w:r w:rsidRPr="005910F2">
              <w:rPr>
                <w:rFonts w:cs="Arial"/>
                <w:szCs w:val="24"/>
              </w:rPr>
              <w:t>5.15%</w:t>
            </w:r>
          </w:p>
        </w:tc>
        <w:tc>
          <w:tcPr>
            <w:tcW w:w="1274" w:type="dxa"/>
            <w:vAlign w:val="center"/>
          </w:tcPr>
          <w:p w14:paraId="0F0E66EF" w14:textId="77777777" w:rsidR="00F64633" w:rsidRPr="005910F2" w:rsidRDefault="00F64633" w:rsidP="00BD112E">
            <w:pPr>
              <w:pStyle w:val="ListParagraph"/>
              <w:ind w:left="0"/>
              <w:jc w:val="right"/>
              <w:rPr>
                <w:rFonts w:cs="Arial"/>
                <w:szCs w:val="24"/>
              </w:rPr>
            </w:pPr>
            <w:r w:rsidRPr="005910F2">
              <w:rPr>
                <w:rFonts w:cs="Arial"/>
                <w:szCs w:val="24"/>
              </w:rPr>
              <w:t>£76,095</w:t>
            </w:r>
          </w:p>
        </w:tc>
      </w:tr>
      <w:tr w:rsidR="00F64633" w:rsidRPr="005910F2" w14:paraId="6D4A4BF1" w14:textId="77777777" w:rsidTr="00BD112E">
        <w:trPr>
          <w:trHeight w:val="397"/>
        </w:trPr>
        <w:tc>
          <w:tcPr>
            <w:tcW w:w="3969" w:type="dxa"/>
            <w:vAlign w:val="center"/>
          </w:tcPr>
          <w:p w14:paraId="3F45361E" w14:textId="77777777" w:rsidR="00F64633" w:rsidRPr="005910F2" w:rsidRDefault="00F64633" w:rsidP="00BD112E">
            <w:pPr>
              <w:pStyle w:val="ListParagraph"/>
              <w:ind w:left="0"/>
              <w:rPr>
                <w:rFonts w:cs="Arial"/>
                <w:bCs/>
                <w:szCs w:val="24"/>
              </w:rPr>
            </w:pPr>
            <w:r w:rsidRPr="005910F2">
              <w:rPr>
                <w:rFonts w:cs="Arial"/>
                <w:bCs/>
                <w:szCs w:val="24"/>
              </w:rPr>
              <w:t>State Street Global Advisors</w:t>
            </w:r>
          </w:p>
        </w:tc>
        <w:tc>
          <w:tcPr>
            <w:tcW w:w="1276" w:type="dxa"/>
            <w:vAlign w:val="center"/>
          </w:tcPr>
          <w:p w14:paraId="5D39F3AA" w14:textId="77777777" w:rsidR="00F64633" w:rsidRPr="005910F2" w:rsidRDefault="00F64633" w:rsidP="00BD112E">
            <w:pPr>
              <w:pStyle w:val="ListParagraph"/>
              <w:ind w:left="0"/>
              <w:jc w:val="center"/>
              <w:rPr>
                <w:rFonts w:cs="Arial"/>
                <w:szCs w:val="24"/>
              </w:rPr>
            </w:pPr>
            <w:r w:rsidRPr="005910F2">
              <w:rPr>
                <w:rFonts w:cs="Arial"/>
                <w:szCs w:val="24"/>
              </w:rPr>
              <w:t>£3.0m</w:t>
            </w:r>
          </w:p>
        </w:tc>
        <w:tc>
          <w:tcPr>
            <w:tcW w:w="1276" w:type="dxa"/>
            <w:vAlign w:val="center"/>
          </w:tcPr>
          <w:p w14:paraId="1345A7A3"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723CDAC0" w14:textId="77777777" w:rsidR="00F64633" w:rsidRPr="005910F2" w:rsidRDefault="00F64633" w:rsidP="00BD112E">
            <w:pPr>
              <w:pStyle w:val="ListParagraph"/>
              <w:ind w:left="0"/>
              <w:jc w:val="center"/>
              <w:rPr>
                <w:rFonts w:cs="Arial"/>
                <w:szCs w:val="24"/>
              </w:rPr>
            </w:pPr>
            <w:r w:rsidRPr="005910F2">
              <w:rPr>
                <w:rFonts w:cs="Arial"/>
                <w:szCs w:val="24"/>
              </w:rPr>
              <w:t>5.13%</w:t>
            </w:r>
          </w:p>
        </w:tc>
        <w:tc>
          <w:tcPr>
            <w:tcW w:w="1274" w:type="dxa"/>
            <w:vAlign w:val="center"/>
          </w:tcPr>
          <w:p w14:paraId="23A0DCFB" w14:textId="77777777" w:rsidR="00F64633" w:rsidRPr="005910F2" w:rsidRDefault="00F64633" w:rsidP="00BD112E">
            <w:pPr>
              <w:pStyle w:val="ListParagraph"/>
              <w:ind w:left="0"/>
              <w:jc w:val="right"/>
              <w:rPr>
                <w:rFonts w:cs="Arial"/>
                <w:szCs w:val="24"/>
              </w:rPr>
            </w:pPr>
            <w:r w:rsidRPr="005910F2">
              <w:rPr>
                <w:rFonts w:cs="Arial"/>
                <w:szCs w:val="24"/>
              </w:rPr>
              <w:t>£77,844</w:t>
            </w:r>
          </w:p>
        </w:tc>
      </w:tr>
      <w:tr w:rsidR="00F64633" w:rsidRPr="005910F2" w14:paraId="7AF412FE" w14:textId="77777777" w:rsidTr="00BD112E">
        <w:trPr>
          <w:trHeight w:val="397"/>
        </w:trPr>
        <w:tc>
          <w:tcPr>
            <w:tcW w:w="3969" w:type="dxa"/>
            <w:vAlign w:val="center"/>
          </w:tcPr>
          <w:p w14:paraId="565056AF" w14:textId="77777777" w:rsidR="00F64633" w:rsidRPr="005910F2" w:rsidRDefault="00F64633" w:rsidP="00BD112E">
            <w:pPr>
              <w:pStyle w:val="ListParagraph"/>
              <w:ind w:left="0"/>
              <w:rPr>
                <w:rFonts w:cs="Arial"/>
                <w:bCs/>
                <w:szCs w:val="24"/>
              </w:rPr>
            </w:pPr>
            <w:r w:rsidRPr="005910F2">
              <w:rPr>
                <w:rFonts w:cs="Arial"/>
                <w:bCs/>
                <w:szCs w:val="24"/>
              </w:rPr>
              <w:t>Barclays Bank</w:t>
            </w:r>
          </w:p>
        </w:tc>
        <w:tc>
          <w:tcPr>
            <w:tcW w:w="1276" w:type="dxa"/>
            <w:vAlign w:val="center"/>
          </w:tcPr>
          <w:p w14:paraId="631A5469" w14:textId="77777777" w:rsidR="00F64633" w:rsidRPr="005910F2" w:rsidRDefault="00F64633" w:rsidP="00BD112E">
            <w:pPr>
              <w:pStyle w:val="ListParagraph"/>
              <w:ind w:left="0"/>
              <w:jc w:val="center"/>
              <w:rPr>
                <w:rFonts w:cs="Arial"/>
                <w:szCs w:val="24"/>
              </w:rPr>
            </w:pPr>
            <w:r w:rsidRPr="005910F2">
              <w:rPr>
                <w:rFonts w:cs="Arial"/>
                <w:szCs w:val="24"/>
              </w:rPr>
              <w:t>£1.6m</w:t>
            </w:r>
          </w:p>
        </w:tc>
        <w:tc>
          <w:tcPr>
            <w:tcW w:w="1276" w:type="dxa"/>
            <w:vAlign w:val="center"/>
          </w:tcPr>
          <w:p w14:paraId="04251C03"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1EB046BB" w14:textId="77777777" w:rsidR="00F64633" w:rsidRPr="005910F2" w:rsidRDefault="00F64633" w:rsidP="00BD112E">
            <w:pPr>
              <w:pStyle w:val="ListParagraph"/>
              <w:ind w:left="0"/>
              <w:jc w:val="center"/>
              <w:rPr>
                <w:rFonts w:cs="Arial"/>
                <w:szCs w:val="24"/>
              </w:rPr>
            </w:pPr>
            <w:r w:rsidRPr="005910F2">
              <w:rPr>
                <w:rFonts w:cs="Arial"/>
                <w:szCs w:val="24"/>
              </w:rPr>
              <w:t>4.92%</w:t>
            </w:r>
          </w:p>
        </w:tc>
        <w:tc>
          <w:tcPr>
            <w:tcW w:w="1274" w:type="dxa"/>
            <w:vAlign w:val="center"/>
          </w:tcPr>
          <w:p w14:paraId="6B962AC7" w14:textId="77777777" w:rsidR="00F64633" w:rsidRPr="005910F2" w:rsidRDefault="00F64633" w:rsidP="00BD112E">
            <w:pPr>
              <w:pStyle w:val="ListParagraph"/>
              <w:ind w:left="0"/>
              <w:jc w:val="right"/>
              <w:rPr>
                <w:rFonts w:cs="Arial"/>
                <w:szCs w:val="24"/>
              </w:rPr>
            </w:pPr>
            <w:r w:rsidRPr="005910F2">
              <w:rPr>
                <w:rFonts w:cs="Arial"/>
                <w:szCs w:val="24"/>
              </w:rPr>
              <w:t>£39,826</w:t>
            </w:r>
          </w:p>
        </w:tc>
      </w:tr>
      <w:tr w:rsidR="00F64633" w:rsidRPr="005910F2" w14:paraId="71CE58D8" w14:textId="77777777" w:rsidTr="00BD112E">
        <w:trPr>
          <w:trHeight w:val="397"/>
        </w:trPr>
        <w:tc>
          <w:tcPr>
            <w:tcW w:w="3969" w:type="dxa"/>
            <w:vAlign w:val="center"/>
          </w:tcPr>
          <w:p w14:paraId="0089A079" w14:textId="77777777" w:rsidR="00F64633" w:rsidRPr="005910F2" w:rsidRDefault="00F64633" w:rsidP="00BD112E">
            <w:pPr>
              <w:pStyle w:val="ListParagraph"/>
              <w:ind w:left="0"/>
              <w:rPr>
                <w:rFonts w:cs="Arial"/>
                <w:bCs/>
                <w:szCs w:val="24"/>
              </w:rPr>
            </w:pPr>
            <w:r w:rsidRPr="005910F2">
              <w:rPr>
                <w:rFonts w:cs="Arial"/>
                <w:bCs/>
                <w:szCs w:val="24"/>
              </w:rPr>
              <w:t>Bank of Scotland</w:t>
            </w:r>
          </w:p>
        </w:tc>
        <w:tc>
          <w:tcPr>
            <w:tcW w:w="1276" w:type="dxa"/>
            <w:vAlign w:val="center"/>
          </w:tcPr>
          <w:p w14:paraId="3ADE01B9" w14:textId="77777777" w:rsidR="00F64633" w:rsidRPr="005910F2" w:rsidRDefault="00F64633" w:rsidP="00BD112E">
            <w:pPr>
              <w:pStyle w:val="ListParagraph"/>
              <w:ind w:left="0"/>
              <w:jc w:val="center"/>
              <w:rPr>
                <w:rFonts w:cs="Arial"/>
                <w:szCs w:val="24"/>
              </w:rPr>
            </w:pPr>
            <w:r w:rsidRPr="005910F2">
              <w:rPr>
                <w:rFonts w:cs="Arial"/>
                <w:szCs w:val="24"/>
              </w:rPr>
              <w:t>£2.2m</w:t>
            </w:r>
          </w:p>
        </w:tc>
        <w:tc>
          <w:tcPr>
            <w:tcW w:w="1276" w:type="dxa"/>
            <w:vAlign w:val="center"/>
          </w:tcPr>
          <w:p w14:paraId="71F4DFC9"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5A3A158F" w14:textId="77777777" w:rsidR="00F64633" w:rsidRPr="005910F2" w:rsidRDefault="00F64633" w:rsidP="00BD112E">
            <w:pPr>
              <w:pStyle w:val="ListParagraph"/>
              <w:ind w:left="0"/>
              <w:jc w:val="center"/>
              <w:rPr>
                <w:rFonts w:cs="Arial"/>
                <w:szCs w:val="24"/>
              </w:rPr>
            </w:pPr>
            <w:r w:rsidRPr="005910F2">
              <w:rPr>
                <w:rFonts w:cs="Arial"/>
                <w:szCs w:val="24"/>
              </w:rPr>
              <w:t>5.14%</w:t>
            </w:r>
          </w:p>
        </w:tc>
        <w:tc>
          <w:tcPr>
            <w:tcW w:w="1274" w:type="dxa"/>
            <w:vAlign w:val="center"/>
          </w:tcPr>
          <w:p w14:paraId="0159EC64" w14:textId="77777777" w:rsidR="00F64633" w:rsidRPr="005910F2" w:rsidRDefault="00F64633" w:rsidP="00BD112E">
            <w:pPr>
              <w:pStyle w:val="ListParagraph"/>
              <w:ind w:left="0"/>
              <w:jc w:val="right"/>
              <w:rPr>
                <w:rFonts w:cs="Arial"/>
                <w:szCs w:val="24"/>
              </w:rPr>
            </w:pPr>
            <w:r w:rsidRPr="005910F2">
              <w:rPr>
                <w:rFonts w:cs="Arial"/>
                <w:szCs w:val="24"/>
              </w:rPr>
              <w:t>£49,114</w:t>
            </w:r>
          </w:p>
        </w:tc>
      </w:tr>
      <w:tr w:rsidR="00F64633" w:rsidRPr="005910F2" w14:paraId="0A796E7C" w14:textId="77777777" w:rsidTr="00BD112E">
        <w:trPr>
          <w:trHeight w:val="397"/>
        </w:trPr>
        <w:tc>
          <w:tcPr>
            <w:tcW w:w="3969" w:type="dxa"/>
            <w:vAlign w:val="center"/>
          </w:tcPr>
          <w:p w14:paraId="1433503B" w14:textId="77777777" w:rsidR="00F64633" w:rsidRPr="005910F2" w:rsidRDefault="00F64633" w:rsidP="00BD112E">
            <w:pPr>
              <w:pStyle w:val="ListParagraph"/>
              <w:ind w:left="0"/>
              <w:rPr>
                <w:rFonts w:cs="Arial"/>
                <w:bCs/>
                <w:szCs w:val="24"/>
              </w:rPr>
            </w:pPr>
            <w:r w:rsidRPr="005910F2">
              <w:rPr>
                <w:rFonts w:cs="Arial"/>
                <w:bCs/>
                <w:szCs w:val="24"/>
              </w:rPr>
              <w:t>Santander</w:t>
            </w:r>
          </w:p>
        </w:tc>
        <w:tc>
          <w:tcPr>
            <w:tcW w:w="1276" w:type="dxa"/>
            <w:vAlign w:val="center"/>
          </w:tcPr>
          <w:p w14:paraId="0F99ACE5" w14:textId="77777777" w:rsidR="00F64633" w:rsidRPr="005910F2" w:rsidRDefault="00F64633" w:rsidP="00BD112E">
            <w:pPr>
              <w:pStyle w:val="ListParagraph"/>
              <w:ind w:left="0"/>
              <w:jc w:val="center"/>
              <w:rPr>
                <w:rFonts w:cs="Arial"/>
                <w:szCs w:val="24"/>
              </w:rPr>
            </w:pPr>
            <w:r w:rsidRPr="005910F2">
              <w:rPr>
                <w:rFonts w:cs="Arial"/>
                <w:szCs w:val="24"/>
              </w:rPr>
              <w:t>£0.8m</w:t>
            </w:r>
          </w:p>
        </w:tc>
        <w:tc>
          <w:tcPr>
            <w:tcW w:w="1276" w:type="dxa"/>
            <w:vAlign w:val="center"/>
          </w:tcPr>
          <w:p w14:paraId="158A8F48" w14:textId="77777777" w:rsidR="00F64633" w:rsidRPr="005910F2" w:rsidRDefault="00F64633" w:rsidP="00BD112E">
            <w:pPr>
              <w:pStyle w:val="ListParagraph"/>
              <w:ind w:left="0"/>
              <w:jc w:val="center"/>
              <w:rPr>
                <w:rFonts w:cs="Arial"/>
                <w:szCs w:val="24"/>
              </w:rPr>
            </w:pPr>
            <w:r w:rsidRPr="005910F2">
              <w:rPr>
                <w:rFonts w:cs="Arial"/>
                <w:szCs w:val="24"/>
              </w:rPr>
              <w:t>Call A/c</w:t>
            </w:r>
          </w:p>
        </w:tc>
        <w:tc>
          <w:tcPr>
            <w:tcW w:w="1277" w:type="dxa"/>
            <w:vAlign w:val="center"/>
          </w:tcPr>
          <w:p w14:paraId="7FA77892" w14:textId="77777777" w:rsidR="00F64633" w:rsidRPr="005910F2" w:rsidRDefault="00F64633" w:rsidP="00BD112E">
            <w:pPr>
              <w:pStyle w:val="ListParagraph"/>
              <w:ind w:left="0"/>
              <w:jc w:val="center"/>
              <w:rPr>
                <w:rFonts w:cs="Arial"/>
                <w:szCs w:val="24"/>
              </w:rPr>
            </w:pPr>
            <w:r w:rsidRPr="005910F2">
              <w:rPr>
                <w:rFonts w:cs="Arial"/>
                <w:szCs w:val="24"/>
              </w:rPr>
              <w:t>3.35%</w:t>
            </w:r>
          </w:p>
        </w:tc>
        <w:tc>
          <w:tcPr>
            <w:tcW w:w="1274" w:type="dxa"/>
            <w:vAlign w:val="center"/>
          </w:tcPr>
          <w:p w14:paraId="56C97AD0" w14:textId="77777777" w:rsidR="00F64633" w:rsidRPr="005910F2" w:rsidRDefault="00F64633" w:rsidP="00BD112E">
            <w:pPr>
              <w:pStyle w:val="ListParagraph"/>
              <w:ind w:left="0"/>
              <w:jc w:val="right"/>
              <w:rPr>
                <w:rFonts w:cs="Arial"/>
                <w:szCs w:val="24"/>
              </w:rPr>
            </w:pPr>
            <w:r w:rsidRPr="005910F2">
              <w:rPr>
                <w:rFonts w:cs="Arial"/>
                <w:szCs w:val="24"/>
              </w:rPr>
              <w:t>£897</w:t>
            </w:r>
          </w:p>
        </w:tc>
      </w:tr>
      <w:tr w:rsidR="00F64633" w:rsidRPr="005910F2" w14:paraId="2C89E724" w14:textId="77777777" w:rsidTr="00BD112E">
        <w:trPr>
          <w:trHeight w:val="397"/>
        </w:trPr>
        <w:tc>
          <w:tcPr>
            <w:tcW w:w="7798" w:type="dxa"/>
            <w:gridSpan w:val="4"/>
            <w:shd w:val="clear" w:color="auto" w:fill="D9D9D9" w:themeFill="background1" w:themeFillShade="D9"/>
            <w:vAlign w:val="center"/>
          </w:tcPr>
          <w:p w14:paraId="6F903441" w14:textId="77777777" w:rsidR="00F64633" w:rsidRPr="005910F2" w:rsidRDefault="00F64633" w:rsidP="00BD112E">
            <w:pPr>
              <w:pStyle w:val="ListParagraph"/>
              <w:ind w:left="0"/>
              <w:rPr>
                <w:rFonts w:cs="Arial"/>
                <w:b/>
                <w:szCs w:val="24"/>
              </w:rPr>
            </w:pPr>
            <w:r w:rsidRPr="005910F2">
              <w:rPr>
                <w:rFonts w:cs="Arial"/>
                <w:b/>
                <w:szCs w:val="24"/>
              </w:rPr>
              <w:t>Totals</w:t>
            </w:r>
          </w:p>
        </w:tc>
        <w:tc>
          <w:tcPr>
            <w:tcW w:w="1274" w:type="dxa"/>
            <w:shd w:val="clear" w:color="auto" w:fill="D9D9D9" w:themeFill="background1" w:themeFillShade="D9"/>
            <w:vAlign w:val="center"/>
          </w:tcPr>
          <w:p w14:paraId="0A319E13" w14:textId="77777777" w:rsidR="00F64633" w:rsidRPr="005910F2" w:rsidRDefault="00F64633" w:rsidP="00BD112E">
            <w:pPr>
              <w:pStyle w:val="ListParagraph"/>
              <w:ind w:left="0"/>
              <w:jc w:val="right"/>
              <w:rPr>
                <w:rFonts w:cs="Arial"/>
                <w:b/>
                <w:szCs w:val="24"/>
              </w:rPr>
            </w:pPr>
            <w:r w:rsidRPr="005910F2">
              <w:rPr>
                <w:rFonts w:cs="Arial"/>
                <w:b/>
                <w:szCs w:val="24"/>
              </w:rPr>
              <w:t>£321,852</w:t>
            </w:r>
          </w:p>
        </w:tc>
      </w:tr>
    </w:tbl>
    <w:p w14:paraId="4175184F" w14:textId="77777777" w:rsidR="00F64633" w:rsidRPr="005910F2" w:rsidRDefault="00F64633" w:rsidP="007A0584">
      <w:pPr>
        <w:rPr>
          <w:rFonts w:cs="Arial"/>
        </w:rPr>
      </w:pPr>
    </w:p>
    <w:p w14:paraId="44326C6F" w14:textId="7833FAF0" w:rsidR="00F64633" w:rsidRPr="005910F2" w:rsidRDefault="00F64633" w:rsidP="007A0584">
      <w:pPr>
        <w:rPr>
          <w:rFonts w:cs="Arial"/>
        </w:rPr>
      </w:pPr>
      <w:r w:rsidRPr="005910F2">
        <w:rPr>
          <w:rFonts w:cs="Arial"/>
        </w:rPr>
        <w:t>This compare</w:t>
      </w:r>
      <w:r w:rsidR="003C7B4C">
        <w:rPr>
          <w:rFonts w:cs="Arial"/>
        </w:rPr>
        <w:t>d</w:t>
      </w:r>
      <w:r w:rsidRPr="005910F2">
        <w:rPr>
          <w:rFonts w:cs="Arial"/>
        </w:rPr>
        <w:t xml:space="preserve"> favourably to the budget set for the same period of £273</w:t>
      </w:r>
      <w:r>
        <w:rPr>
          <w:rFonts w:cs="Arial"/>
        </w:rPr>
        <w:t>K</w:t>
      </w:r>
      <w:r w:rsidRPr="005910F2">
        <w:rPr>
          <w:rFonts w:cs="Arial"/>
        </w:rPr>
        <w:t>, resulting in a favourable variance of £49</w:t>
      </w:r>
      <w:r>
        <w:rPr>
          <w:rFonts w:cs="Arial"/>
        </w:rPr>
        <w:t>K</w:t>
      </w:r>
      <w:r w:rsidRPr="005910F2">
        <w:rPr>
          <w:rFonts w:cs="Arial"/>
        </w:rPr>
        <w:t xml:space="preserve">.  </w:t>
      </w:r>
    </w:p>
    <w:p w14:paraId="5D76C114" w14:textId="77777777" w:rsidR="00F64633" w:rsidRPr="005910F2" w:rsidRDefault="00F64633" w:rsidP="007A0584">
      <w:pPr>
        <w:rPr>
          <w:rFonts w:cs="Arial"/>
        </w:rPr>
      </w:pPr>
    </w:p>
    <w:p w14:paraId="2FDA058B" w14:textId="77777777" w:rsidR="00F64633" w:rsidRDefault="00F64633" w:rsidP="007A0584">
      <w:pPr>
        <w:rPr>
          <w:rFonts w:cs="Arial"/>
        </w:rPr>
      </w:pPr>
      <w:r w:rsidRPr="005910F2">
        <w:rPr>
          <w:rFonts w:cs="Arial"/>
        </w:rPr>
        <w:t>The total balance of funds held in investment accounts at 30 September 24 was £10.3</w:t>
      </w:r>
      <w:r>
        <w:rPr>
          <w:rFonts w:cs="Arial"/>
        </w:rPr>
        <w:t>M</w:t>
      </w:r>
      <w:r w:rsidRPr="005910F2">
        <w:rPr>
          <w:rFonts w:cs="Arial"/>
        </w:rPr>
        <w:t xml:space="preserve">.  </w:t>
      </w:r>
    </w:p>
    <w:p w14:paraId="5A1360D7" w14:textId="77777777" w:rsidR="00F64633" w:rsidRDefault="00F64633" w:rsidP="007A0584">
      <w:pPr>
        <w:rPr>
          <w:rFonts w:cs="Arial"/>
        </w:rPr>
      </w:pPr>
    </w:p>
    <w:p w14:paraId="3476EC8D" w14:textId="3B091804" w:rsidR="00F64633" w:rsidRDefault="00F64633" w:rsidP="007A0584">
      <w:pPr>
        <w:rPr>
          <w:rFonts w:cs="Arial"/>
        </w:rPr>
      </w:pPr>
      <w:r>
        <w:rPr>
          <w:rFonts w:cs="Arial"/>
        </w:rPr>
        <w:t>T</w:t>
      </w:r>
      <w:r w:rsidRPr="00B51C0C">
        <w:rPr>
          <w:rFonts w:cs="Arial"/>
        </w:rPr>
        <w:t>he table below</w:t>
      </w:r>
      <w:r>
        <w:rPr>
          <w:rFonts w:cs="Arial"/>
        </w:rPr>
        <w:t xml:space="preserve"> show</w:t>
      </w:r>
      <w:r w:rsidR="007A0584">
        <w:rPr>
          <w:rFonts w:cs="Arial"/>
        </w:rPr>
        <w:t>ed</w:t>
      </w:r>
      <w:r>
        <w:rPr>
          <w:rFonts w:cs="Arial"/>
        </w:rPr>
        <w:t xml:space="preserve"> the risk and return metrics on the Council’s investments held at 30 September 2024 against other NI Councils.</w:t>
      </w:r>
    </w:p>
    <w:p w14:paraId="515DABE6" w14:textId="77777777" w:rsidR="00F64633" w:rsidRDefault="00F64633" w:rsidP="00F64633">
      <w:pPr>
        <w:jc w:val="both"/>
        <w:rPr>
          <w:rFonts w:cs="Arial"/>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F64633" w:rsidRPr="00785D11" w14:paraId="50E0D8C7" w14:textId="77777777" w:rsidTr="00BD112E">
        <w:trPr>
          <w:trHeight w:val="454"/>
        </w:trPr>
        <w:tc>
          <w:tcPr>
            <w:tcW w:w="3124" w:type="dxa"/>
            <w:tcBorders>
              <w:top w:val="nil"/>
              <w:left w:val="nil"/>
              <w:bottom w:val="single" w:sz="4" w:space="0" w:color="auto"/>
              <w:right w:val="single" w:sz="4" w:space="0" w:color="auto"/>
            </w:tcBorders>
          </w:tcPr>
          <w:p w14:paraId="119865C2" w14:textId="77777777" w:rsidR="00F64633" w:rsidRPr="00C81460" w:rsidRDefault="00F64633" w:rsidP="00BD112E">
            <w:pPr>
              <w:pStyle w:val="ListParagraph"/>
              <w:ind w:left="0"/>
              <w:rPr>
                <w:rFonts w:cs="Arial"/>
                <w:b/>
                <w:color w:val="FFFFFF" w:themeColor="background1"/>
              </w:rPr>
            </w:pPr>
            <w:r w:rsidRPr="00C81460">
              <w:rPr>
                <w:rFonts w:cs="Arial"/>
                <w:b/>
                <w:color w:val="FFFFFF" w:themeColor="background1"/>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1E8476BB" w14:textId="77777777" w:rsidR="00F64633" w:rsidRPr="00A2580D" w:rsidRDefault="00F64633" w:rsidP="00BD112E">
            <w:pPr>
              <w:pStyle w:val="ListParagraph"/>
              <w:ind w:left="0"/>
              <w:jc w:val="center"/>
              <w:rPr>
                <w:rFonts w:cs="Arial"/>
                <w:b/>
                <w:color w:val="FFFFFF" w:themeColor="background1"/>
              </w:rPr>
            </w:pPr>
            <w:r w:rsidRPr="00A2580D">
              <w:rPr>
                <w:rFonts w:cs="Arial"/>
                <w:b/>
                <w:color w:val="FFFFFF" w:themeColor="background1"/>
              </w:rPr>
              <w:t>Counterparties</w:t>
            </w:r>
          </w:p>
        </w:tc>
        <w:tc>
          <w:tcPr>
            <w:tcW w:w="3686" w:type="dxa"/>
            <w:gridSpan w:val="2"/>
            <w:tcBorders>
              <w:left w:val="single" w:sz="4" w:space="0" w:color="auto"/>
            </w:tcBorders>
            <w:shd w:val="clear" w:color="auto" w:fill="0070C0"/>
            <w:vAlign w:val="center"/>
          </w:tcPr>
          <w:p w14:paraId="5ACBA0B3" w14:textId="77777777" w:rsidR="00F64633" w:rsidRPr="00A2580D" w:rsidRDefault="00F64633" w:rsidP="00BD112E">
            <w:pPr>
              <w:pStyle w:val="ListParagraph"/>
              <w:ind w:left="0"/>
              <w:jc w:val="center"/>
              <w:rPr>
                <w:rFonts w:cs="Arial"/>
                <w:b/>
                <w:color w:val="FFFFFF" w:themeColor="background1"/>
              </w:rPr>
            </w:pPr>
            <w:r w:rsidRPr="00A2580D">
              <w:rPr>
                <w:rFonts w:cs="Arial"/>
                <w:b/>
                <w:color w:val="FFFFFF" w:themeColor="background1"/>
              </w:rPr>
              <w:t>Investments</w:t>
            </w:r>
          </w:p>
        </w:tc>
      </w:tr>
      <w:tr w:rsidR="00F64633" w:rsidRPr="00785D11" w14:paraId="68571485" w14:textId="77777777" w:rsidTr="00BD112E">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5CE93DC2" w14:textId="77777777" w:rsidR="00F64633" w:rsidRPr="00C81460" w:rsidRDefault="00F64633" w:rsidP="00BD112E">
            <w:pPr>
              <w:pStyle w:val="ListParagraph"/>
              <w:ind w:left="0"/>
              <w:rPr>
                <w:rFonts w:cs="Arial"/>
                <w:b/>
                <w:color w:val="FFFFFF" w:themeColor="background1"/>
              </w:rPr>
            </w:pPr>
            <w:r w:rsidRPr="00C81460">
              <w:rPr>
                <w:rFonts w:cs="Arial"/>
                <w:b/>
                <w:color w:val="FFFFFF" w:themeColor="background1"/>
              </w:rPr>
              <w:t>Table 2.32</w:t>
            </w:r>
          </w:p>
        </w:tc>
        <w:tc>
          <w:tcPr>
            <w:tcW w:w="1984" w:type="dxa"/>
            <w:tcBorders>
              <w:top w:val="single" w:sz="4" w:space="0" w:color="auto"/>
            </w:tcBorders>
            <w:shd w:val="clear" w:color="auto" w:fill="0070C0"/>
            <w:vAlign w:val="center"/>
          </w:tcPr>
          <w:p w14:paraId="7AF311CA" w14:textId="77777777" w:rsidR="00F64633" w:rsidRPr="00A2580D" w:rsidRDefault="00F64633" w:rsidP="00BD112E">
            <w:pPr>
              <w:pStyle w:val="ListParagraph"/>
              <w:ind w:left="0"/>
              <w:jc w:val="center"/>
              <w:rPr>
                <w:rFonts w:cs="Arial"/>
                <w:b/>
                <w:color w:val="FFFFFF" w:themeColor="background1"/>
              </w:rPr>
            </w:pPr>
            <w:r w:rsidRPr="00A2580D">
              <w:rPr>
                <w:rFonts w:cs="Arial"/>
                <w:b/>
                <w:color w:val="FFFFFF" w:themeColor="background1"/>
              </w:rPr>
              <w:t xml:space="preserve">Credit Rating </w:t>
            </w:r>
          </w:p>
        </w:tc>
        <w:tc>
          <w:tcPr>
            <w:tcW w:w="1418" w:type="dxa"/>
            <w:shd w:val="clear" w:color="auto" w:fill="0070C0"/>
            <w:vAlign w:val="center"/>
          </w:tcPr>
          <w:p w14:paraId="59FE7C2D" w14:textId="77777777" w:rsidR="00F64633" w:rsidRPr="00A2580D" w:rsidRDefault="00F64633" w:rsidP="00BD112E">
            <w:pPr>
              <w:pStyle w:val="ListParagraph"/>
              <w:ind w:left="0"/>
              <w:jc w:val="center"/>
              <w:rPr>
                <w:rFonts w:cs="Arial"/>
                <w:b/>
                <w:color w:val="FFFFFF" w:themeColor="background1"/>
              </w:rPr>
            </w:pPr>
            <w:r w:rsidRPr="00A2580D">
              <w:rPr>
                <w:rFonts w:cs="Arial"/>
                <w:b/>
                <w:color w:val="FFFFFF" w:themeColor="background1"/>
              </w:rPr>
              <w:t>Liquidity</w:t>
            </w:r>
            <w:r>
              <w:rPr>
                <w:rFonts w:cs="Arial"/>
                <w:b/>
                <w:color w:val="FFFFFF" w:themeColor="background1"/>
              </w:rPr>
              <w:t xml:space="preserve"> (&lt; 7 days)</w:t>
            </w:r>
          </w:p>
        </w:tc>
        <w:tc>
          <w:tcPr>
            <w:tcW w:w="2268" w:type="dxa"/>
            <w:shd w:val="clear" w:color="auto" w:fill="0070C0"/>
            <w:vAlign w:val="center"/>
          </w:tcPr>
          <w:p w14:paraId="12EEA5B0" w14:textId="77777777" w:rsidR="00F64633" w:rsidRPr="00A2580D" w:rsidRDefault="00F64633" w:rsidP="00BD112E">
            <w:pPr>
              <w:pStyle w:val="ListParagraph"/>
              <w:ind w:left="0"/>
              <w:jc w:val="center"/>
              <w:rPr>
                <w:rFonts w:cs="Arial"/>
                <w:b/>
                <w:color w:val="FFFFFF" w:themeColor="background1"/>
              </w:rPr>
            </w:pPr>
            <w:r w:rsidRPr="00A2580D">
              <w:rPr>
                <w:rFonts w:cs="Arial"/>
                <w:b/>
                <w:color w:val="FFFFFF" w:themeColor="background1"/>
              </w:rPr>
              <w:t>Rate of Return (%)</w:t>
            </w:r>
          </w:p>
        </w:tc>
      </w:tr>
      <w:tr w:rsidR="00F64633" w:rsidRPr="001A0D11" w14:paraId="1519F3E5" w14:textId="77777777" w:rsidTr="00BD112E">
        <w:trPr>
          <w:trHeight w:val="340"/>
        </w:trPr>
        <w:tc>
          <w:tcPr>
            <w:tcW w:w="3124" w:type="dxa"/>
            <w:tcBorders>
              <w:top w:val="single" w:sz="4" w:space="0" w:color="auto"/>
            </w:tcBorders>
            <w:vAlign w:val="center"/>
          </w:tcPr>
          <w:p w14:paraId="6FBB2C5F" w14:textId="77777777" w:rsidR="00F64633" w:rsidRPr="00A214C9" w:rsidRDefault="00F64633" w:rsidP="00BD112E">
            <w:pPr>
              <w:pStyle w:val="ListParagraph"/>
              <w:ind w:left="0"/>
              <w:rPr>
                <w:rFonts w:cs="Arial"/>
                <w:bCs/>
                <w:szCs w:val="24"/>
              </w:rPr>
            </w:pPr>
            <w:r>
              <w:rPr>
                <w:rFonts w:cs="Arial"/>
                <w:bCs/>
                <w:szCs w:val="24"/>
              </w:rPr>
              <w:t>ANDBC</w:t>
            </w:r>
          </w:p>
        </w:tc>
        <w:tc>
          <w:tcPr>
            <w:tcW w:w="1984" w:type="dxa"/>
            <w:vAlign w:val="center"/>
          </w:tcPr>
          <w:p w14:paraId="7AA23497" w14:textId="77777777" w:rsidR="00F64633" w:rsidRPr="00B3591A" w:rsidRDefault="00F64633" w:rsidP="00BD112E">
            <w:pPr>
              <w:pStyle w:val="ListParagraph"/>
              <w:ind w:left="0"/>
              <w:jc w:val="center"/>
              <w:rPr>
                <w:rFonts w:cs="Arial"/>
                <w:color w:val="FF0000"/>
                <w:szCs w:val="24"/>
              </w:rPr>
            </w:pPr>
            <w:r w:rsidRPr="00A2580D">
              <w:rPr>
                <w:rFonts w:cs="Arial"/>
                <w:szCs w:val="24"/>
              </w:rPr>
              <w:t>A+</w:t>
            </w:r>
          </w:p>
        </w:tc>
        <w:tc>
          <w:tcPr>
            <w:tcW w:w="1418" w:type="dxa"/>
            <w:vAlign w:val="center"/>
          </w:tcPr>
          <w:p w14:paraId="3BC87D44" w14:textId="77777777" w:rsidR="00F64633" w:rsidRPr="00B3591A" w:rsidRDefault="00F64633" w:rsidP="00BD112E">
            <w:pPr>
              <w:pStyle w:val="ListParagraph"/>
              <w:ind w:left="0"/>
              <w:jc w:val="center"/>
              <w:rPr>
                <w:rFonts w:cs="Arial"/>
                <w:color w:val="FF0000"/>
                <w:szCs w:val="24"/>
              </w:rPr>
            </w:pPr>
            <w:r w:rsidRPr="00A2580D">
              <w:rPr>
                <w:rFonts w:cs="Arial"/>
                <w:szCs w:val="24"/>
              </w:rPr>
              <w:t>100%</w:t>
            </w:r>
          </w:p>
        </w:tc>
        <w:tc>
          <w:tcPr>
            <w:tcW w:w="2268" w:type="dxa"/>
            <w:vAlign w:val="center"/>
          </w:tcPr>
          <w:p w14:paraId="157A6FA6" w14:textId="77777777" w:rsidR="00F64633" w:rsidRPr="00B3591A" w:rsidRDefault="00F64633" w:rsidP="00BD112E">
            <w:pPr>
              <w:pStyle w:val="ListParagraph"/>
              <w:ind w:left="0"/>
              <w:jc w:val="center"/>
              <w:rPr>
                <w:rFonts w:cs="Arial"/>
                <w:color w:val="FF0000"/>
                <w:szCs w:val="24"/>
              </w:rPr>
            </w:pPr>
            <w:r w:rsidRPr="00A2580D">
              <w:rPr>
                <w:rFonts w:cs="Arial"/>
                <w:szCs w:val="24"/>
              </w:rPr>
              <w:t>4.98%</w:t>
            </w:r>
          </w:p>
        </w:tc>
      </w:tr>
      <w:tr w:rsidR="00F64633" w:rsidRPr="003C1E7A" w14:paraId="0DAC18A9" w14:textId="77777777" w:rsidTr="00BD112E">
        <w:trPr>
          <w:trHeight w:val="340"/>
        </w:trPr>
        <w:tc>
          <w:tcPr>
            <w:tcW w:w="3124" w:type="dxa"/>
            <w:vAlign w:val="center"/>
          </w:tcPr>
          <w:p w14:paraId="1FAE61B3" w14:textId="77777777" w:rsidR="00F64633" w:rsidRPr="00A214C9" w:rsidRDefault="00F64633" w:rsidP="00BD112E">
            <w:pPr>
              <w:pStyle w:val="ListParagraph"/>
              <w:ind w:left="0"/>
              <w:rPr>
                <w:rFonts w:cs="Arial"/>
                <w:bCs/>
                <w:szCs w:val="24"/>
              </w:rPr>
            </w:pPr>
            <w:r>
              <w:rPr>
                <w:rFonts w:cs="Arial"/>
                <w:bCs/>
                <w:szCs w:val="24"/>
              </w:rPr>
              <w:t>NI Council Average</w:t>
            </w:r>
          </w:p>
        </w:tc>
        <w:tc>
          <w:tcPr>
            <w:tcW w:w="1984" w:type="dxa"/>
            <w:vAlign w:val="center"/>
          </w:tcPr>
          <w:p w14:paraId="7FE6CAC4" w14:textId="77777777" w:rsidR="00F64633" w:rsidRPr="00A2580D" w:rsidRDefault="00F64633" w:rsidP="00BD112E">
            <w:pPr>
              <w:pStyle w:val="ListParagraph"/>
              <w:ind w:left="0"/>
              <w:jc w:val="center"/>
              <w:rPr>
                <w:rFonts w:cs="Arial"/>
                <w:szCs w:val="24"/>
              </w:rPr>
            </w:pPr>
            <w:r w:rsidRPr="00A2580D">
              <w:rPr>
                <w:rFonts w:cs="Arial"/>
                <w:szCs w:val="24"/>
              </w:rPr>
              <w:t>A+</w:t>
            </w:r>
          </w:p>
        </w:tc>
        <w:tc>
          <w:tcPr>
            <w:tcW w:w="1418" w:type="dxa"/>
            <w:vAlign w:val="center"/>
          </w:tcPr>
          <w:p w14:paraId="53FDD0FD" w14:textId="77777777" w:rsidR="00F64633" w:rsidRPr="00A2580D" w:rsidRDefault="00F64633" w:rsidP="00BD112E">
            <w:pPr>
              <w:pStyle w:val="ListParagraph"/>
              <w:ind w:left="0"/>
              <w:jc w:val="center"/>
              <w:rPr>
                <w:rFonts w:cs="Arial"/>
                <w:szCs w:val="24"/>
              </w:rPr>
            </w:pPr>
            <w:r w:rsidRPr="00A2580D">
              <w:rPr>
                <w:rFonts w:cs="Arial"/>
                <w:szCs w:val="24"/>
              </w:rPr>
              <w:t>54%</w:t>
            </w:r>
          </w:p>
        </w:tc>
        <w:tc>
          <w:tcPr>
            <w:tcW w:w="2268" w:type="dxa"/>
            <w:vAlign w:val="center"/>
          </w:tcPr>
          <w:p w14:paraId="4B4769A1" w14:textId="77777777" w:rsidR="00F64633" w:rsidRPr="00A2580D" w:rsidRDefault="00F64633" w:rsidP="00BD112E">
            <w:pPr>
              <w:pStyle w:val="ListParagraph"/>
              <w:ind w:left="0"/>
              <w:jc w:val="center"/>
              <w:rPr>
                <w:rFonts w:cs="Arial"/>
                <w:szCs w:val="24"/>
              </w:rPr>
            </w:pPr>
            <w:r w:rsidRPr="00A2580D">
              <w:rPr>
                <w:rFonts w:cs="Arial"/>
                <w:szCs w:val="24"/>
              </w:rPr>
              <w:t>4.77%</w:t>
            </w:r>
          </w:p>
        </w:tc>
      </w:tr>
    </w:tbl>
    <w:p w14:paraId="1E3AD6B3" w14:textId="77777777" w:rsidR="00F64633" w:rsidRPr="00C81460" w:rsidRDefault="00F64633" w:rsidP="00F64633">
      <w:pPr>
        <w:jc w:val="both"/>
        <w:rPr>
          <w:rFonts w:cs="Arial"/>
          <w:color w:val="0A2F41" w:themeColor="accent1" w:themeShade="80"/>
          <w:sz w:val="20"/>
          <w:szCs w:val="16"/>
        </w:rPr>
      </w:pPr>
      <w:r w:rsidRPr="00C81460">
        <w:rPr>
          <w:rFonts w:cs="Arial"/>
          <w:color w:val="0A2F41" w:themeColor="accent1" w:themeShade="80"/>
          <w:sz w:val="20"/>
          <w:szCs w:val="16"/>
        </w:rPr>
        <w:t>Source: Arlingclose Ltd L</w:t>
      </w:r>
      <w:r>
        <w:rPr>
          <w:rFonts w:cs="Arial"/>
          <w:color w:val="0A2F41" w:themeColor="accent1" w:themeShade="80"/>
          <w:sz w:val="20"/>
          <w:szCs w:val="16"/>
        </w:rPr>
        <w:t xml:space="preserve">ocal </w:t>
      </w:r>
      <w:r w:rsidRPr="00C81460">
        <w:rPr>
          <w:rFonts w:cs="Arial"/>
          <w:color w:val="0A2F41" w:themeColor="accent1" w:themeShade="80"/>
          <w:sz w:val="20"/>
          <w:szCs w:val="16"/>
        </w:rPr>
        <w:t>A</w:t>
      </w:r>
      <w:r>
        <w:rPr>
          <w:rFonts w:cs="Arial"/>
          <w:color w:val="0A2F41" w:themeColor="accent1" w:themeShade="80"/>
          <w:sz w:val="20"/>
          <w:szCs w:val="16"/>
        </w:rPr>
        <w:t>uthority</w:t>
      </w:r>
      <w:r w:rsidRPr="00C81460">
        <w:rPr>
          <w:rFonts w:cs="Arial"/>
          <w:color w:val="0A2F41" w:themeColor="accent1" w:themeShade="80"/>
          <w:sz w:val="20"/>
          <w:szCs w:val="16"/>
        </w:rPr>
        <w:t xml:space="preserve"> Quarterly Investment Benchmarking report </w:t>
      </w:r>
      <w:r>
        <w:rPr>
          <w:rFonts w:cs="Arial"/>
          <w:color w:val="0A2F41" w:themeColor="accent1" w:themeShade="80"/>
          <w:sz w:val="20"/>
          <w:szCs w:val="16"/>
        </w:rPr>
        <w:t>Sep-24</w:t>
      </w:r>
    </w:p>
    <w:p w14:paraId="524B598F" w14:textId="77777777" w:rsidR="00F64633" w:rsidRDefault="00F64633" w:rsidP="007A0584">
      <w:pPr>
        <w:rPr>
          <w:rFonts w:cs="Arial"/>
        </w:rPr>
      </w:pPr>
    </w:p>
    <w:p w14:paraId="2FB79632" w14:textId="5B473269" w:rsidR="00F64633" w:rsidRPr="005809F0" w:rsidRDefault="00F64633" w:rsidP="007A0584">
      <w:pPr>
        <w:rPr>
          <w:rFonts w:cs="Arial"/>
        </w:rPr>
      </w:pPr>
      <w:r w:rsidRPr="00935FC7">
        <w:rPr>
          <w:rFonts w:cs="Arial"/>
        </w:rPr>
        <w:t xml:space="preserve">The Council’s limit for total principal sums invested for periods longer than 364 days </w:t>
      </w:r>
      <w:r w:rsidR="007A0584">
        <w:rPr>
          <w:rFonts w:cs="Arial"/>
        </w:rPr>
        <w:t xml:space="preserve">was </w:t>
      </w:r>
      <w:r w:rsidRPr="00935FC7">
        <w:rPr>
          <w:rFonts w:cs="Arial"/>
        </w:rPr>
        <w:t xml:space="preserve">£500k.  </w:t>
      </w:r>
      <w:r>
        <w:rPr>
          <w:rFonts w:cs="Arial"/>
        </w:rPr>
        <w:t>T</w:t>
      </w:r>
      <w:r w:rsidRPr="00935FC7">
        <w:rPr>
          <w:rFonts w:cs="Arial"/>
        </w:rPr>
        <w:t>he Council ha</w:t>
      </w:r>
      <w:r w:rsidR="007A0584">
        <w:rPr>
          <w:rFonts w:cs="Arial"/>
        </w:rPr>
        <w:t>d</w:t>
      </w:r>
      <w:r w:rsidRPr="00935FC7">
        <w:rPr>
          <w:rFonts w:cs="Arial"/>
        </w:rPr>
        <w:t xml:space="preserve"> not entered into any such investments. </w:t>
      </w:r>
    </w:p>
    <w:p w14:paraId="3109CE70" w14:textId="77777777" w:rsidR="00F64633" w:rsidRPr="004146DB" w:rsidRDefault="00F64633" w:rsidP="00F64633"/>
    <w:p w14:paraId="1C468D25" w14:textId="5AA23E9F" w:rsidR="00F64633" w:rsidRDefault="007A0584" w:rsidP="00F64633">
      <w:r w:rsidRPr="007A0584">
        <w:rPr>
          <w:caps/>
        </w:rPr>
        <w:t>R</w:t>
      </w:r>
      <w:r w:rsidR="00F64633" w:rsidRPr="007A0584">
        <w:rPr>
          <w:caps/>
        </w:rPr>
        <w:t>ecommended</w:t>
      </w:r>
      <w:r w:rsidR="00F64633" w:rsidRPr="00BB3A80">
        <w:t xml:space="preserve"> that </w:t>
      </w:r>
      <w:r w:rsidR="00F64633">
        <w:t>Council notes this report.</w:t>
      </w:r>
    </w:p>
    <w:p w14:paraId="725C4427" w14:textId="59A1743F" w:rsidR="00C94CF7" w:rsidRDefault="00C94CF7" w:rsidP="00C94CF7">
      <w:pPr>
        <w:tabs>
          <w:tab w:val="left" w:pos="567"/>
        </w:tabs>
        <w:rPr>
          <w:rFonts w:cs="Arial"/>
          <w:color w:val="000000" w:themeColor="text1"/>
          <w:szCs w:val="24"/>
        </w:rPr>
      </w:pPr>
    </w:p>
    <w:p w14:paraId="5B83ABE4" w14:textId="7DF23843" w:rsidR="00F64633" w:rsidRDefault="00255BD1" w:rsidP="00C94CF7">
      <w:pPr>
        <w:tabs>
          <w:tab w:val="left" w:pos="567"/>
        </w:tabs>
        <w:rPr>
          <w:rFonts w:cs="Arial"/>
          <w:color w:val="000000" w:themeColor="text1"/>
          <w:szCs w:val="24"/>
        </w:rPr>
      </w:pPr>
      <w:r>
        <w:rPr>
          <w:rFonts w:cs="Arial"/>
          <w:color w:val="000000" w:themeColor="text1"/>
          <w:szCs w:val="24"/>
        </w:rPr>
        <w:t xml:space="preserve">Proposed by Alderman Smith, seconded by Alderman McRandal, that the recommendation be adopted.  </w:t>
      </w:r>
    </w:p>
    <w:p w14:paraId="2DE1488D" w14:textId="77777777" w:rsidR="00255BD1" w:rsidRDefault="00255BD1" w:rsidP="00C94CF7">
      <w:pPr>
        <w:tabs>
          <w:tab w:val="left" w:pos="567"/>
        </w:tabs>
        <w:rPr>
          <w:rFonts w:cs="Arial"/>
          <w:color w:val="000000" w:themeColor="text1"/>
          <w:szCs w:val="24"/>
        </w:rPr>
      </w:pPr>
    </w:p>
    <w:p w14:paraId="5A269B66" w14:textId="5D95FD71" w:rsidR="00255BD1" w:rsidRDefault="00255BD1" w:rsidP="00C94CF7">
      <w:pPr>
        <w:tabs>
          <w:tab w:val="left" w:pos="567"/>
        </w:tabs>
        <w:rPr>
          <w:rFonts w:cs="Arial"/>
          <w:color w:val="000000" w:themeColor="text1"/>
          <w:szCs w:val="24"/>
        </w:rPr>
      </w:pPr>
      <w:r>
        <w:rPr>
          <w:rFonts w:cs="Arial"/>
          <w:color w:val="000000" w:themeColor="text1"/>
          <w:szCs w:val="24"/>
        </w:rPr>
        <w:t>Alderman Smith questioned how close the Council was to peak borrowing capacity.  The Head of Finance advised that the Council was still a considerable way off peak borrowing capacity. A number of projects had just commenced construction, there was still an underspend in capital and that would rectify in the coming years</w:t>
      </w:r>
    </w:p>
    <w:p w14:paraId="1A95A73E" w14:textId="77777777" w:rsidR="00F64633" w:rsidRPr="00C94CF7" w:rsidRDefault="00F64633" w:rsidP="00C94CF7">
      <w:pPr>
        <w:tabs>
          <w:tab w:val="left" w:pos="567"/>
        </w:tabs>
        <w:rPr>
          <w:rFonts w:cs="Arial"/>
          <w:color w:val="000000" w:themeColor="text1"/>
          <w:szCs w:val="24"/>
        </w:rPr>
      </w:pPr>
    </w:p>
    <w:p w14:paraId="6351EAEE" w14:textId="207B5375" w:rsidR="004E5534" w:rsidRPr="00EF661B" w:rsidRDefault="00EF661B" w:rsidP="00EF661B">
      <w:pPr>
        <w:rPr>
          <w:rFonts w:cs="Arial"/>
          <w:b/>
          <w:bCs/>
          <w:color w:val="000000" w:themeColor="text1"/>
          <w:szCs w:val="24"/>
        </w:rPr>
      </w:pPr>
      <w:r w:rsidRPr="00EF661B">
        <w:rPr>
          <w:rFonts w:cs="Arial"/>
          <w:b/>
          <w:bCs/>
          <w:color w:val="000000" w:themeColor="text1"/>
          <w:szCs w:val="24"/>
        </w:rPr>
        <w:t xml:space="preserve">AGREED TO RECOMMEND, on the proposal </w:t>
      </w:r>
      <w:r w:rsidR="00255BD1">
        <w:rPr>
          <w:rFonts w:cs="Arial"/>
          <w:b/>
          <w:bCs/>
          <w:color w:val="000000" w:themeColor="text1"/>
          <w:szCs w:val="24"/>
        </w:rPr>
        <w:t>Alderman Smith</w:t>
      </w:r>
      <w:r w:rsidRPr="00EF661B">
        <w:rPr>
          <w:rFonts w:cs="Arial"/>
          <w:b/>
          <w:bCs/>
          <w:color w:val="000000" w:themeColor="text1"/>
          <w:szCs w:val="24"/>
        </w:rPr>
        <w:t xml:space="preserve">, seconded by </w:t>
      </w:r>
      <w:r w:rsidR="00255BD1">
        <w:rPr>
          <w:rFonts w:cs="Arial"/>
          <w:b/>
          <w:bCs/>
          <w:color w:val="000000" w:themeColor="text1"/>
          <w:szCs w:val="24"/>
        </w:rPr>
        <w:t>Alderman McRandal</w:t>
      </w:r>
      <w:r w:rsidRPr="00EF661B">
        <w:rPr>
          <w:rFonts w:cs="Arial"/>
          <w:b/>
          <w:bCs/>
          <w:color w:val="000000" w:themeColor="text1"/>
          <w:szCs w:val="24"/>
        </w:rPr>
        <w:t xml:space="preserve">, that the recommendation be adopted. </w:t>
      </w:r>
    </w:p>
    <w:p w14:paraId="5BB91064" w14:textId="77777777" w:rsidR="00EF661B" w:rsidRPr="00EF661B" w:rsidRDefault="00EF661B" w:rsidP="00EF661B">
      <w:pPr>
        <w:rPr>
          <w:rFonts w:cs="Arial"/>
          <w:color w:val="000000" w:themeColor="text1"/>
          <w:szCs w:val="24"/>
        </w:rPr>
      </w:pPr>
    </w:p>
    <w:p w14:paraId="58AE870C" w14:textId="3536B6CA" w:rsidR="004E5534" w:rsidRPr="00C94CF7" w:rsidRDefault="00C94CF7" w:rsidP="00C94CF7">
      <w:pPr>
        <w:pStyle w:val="Heading1"/>
      </w:pPr>
      <w:r w:rsidRPr="00C94CF7">
        <w:t>13.</w:t>
      </w:r>
      <w:r w:rsidRPr="00C94CF7">
        <w:tab/>
      </w:r>
      <w:r w:rsidR="004E5534" w:rsidRPr="00C94CF7">
        <w:rPr>
          <w:u w:val="single"/>
        </w:rPr>
        <w:t xml:space="preserve">Strategic Budget Report September </w:t>
      </w:r>
      <w:r w:rsidR="004E5534" w:rsidRPr="006B3094">
        <w:rPr>
          <w:u w:val="single"/>
        </w:rPr>
        <w:t xml:space="preserve">2024 </w:t>
      </w:r>
      <w:r w:rsidR="006B3094" w:rsidRPr="006B3094">
        <w:rPr>
          <w:u w:val="single"/>
        </w:rPr>
        <w:t>(FIN23)</w:t>
      </w:r>
    </w:p>
    <w:p w14:paraId="3A7FC85A" w14:textId="6740ECDD" w:rsidR="004E5534" w:rsidRDefault="002F1D8D" w:rsidP="006B3094">
      <w:pPr>
        <w:rPr>
          <w:rFonts w:cs="Arial"/>
          <w:color w:val="000000" w:themeColor="text1"/>
          <w:szCs w:val="24"/>
        </w:rPr>
      </w:pPr>
      <w:r>
        <w:rPr>
          <w:rFonts w:cs="Arial"/>
          <w:color w:val="000000" w:themeColor="text1"/>
          <w:szCs w:val="24"/>
        </w:rPr>
        <w:tab/>
        <w:t>(Appendix XII)</w:t>
      </w:r>
    </w:p>
    <w:p w14:paraId="7CC389BD" w14:textId="77777777" w:rsidR="002F1D8D" w:rsidRDefault="002F1D8D" w:rsidP="006B3094">
      <w:pPr>
        <w:rPr>
          <w:rFonts w:cs="Arial"/>
          <w:color w:val="000000" w:themeColor="text1"/>
          <w:szCs w:val="24"/>
        </w:rPr>
      </w:pPr>
    </w:p>
    <w:p w14:paraId="14370A39" w14:textId="255004AB" w:rsidR="006B3094" w:rsidRPr="006B3094" w:rsidRDefault="006B3094" w:rsidP="006B3094">
      <w:pPr>
        <w:rPr>
          <w:rFonts w:cs="Arial"/>
          <w:color w:val="000000" w:themeColor="text1"/>
          <w:szCs w:val="24"/>
        </w:rPr>
      </w:pPr>
      <w:r w:rsidRPr="006B3094">
        <w:rPr>
          <w:rFonts w:cs="Arial"/>
          <w:caps/>
          <w:color w:val="000000" w:themeColor="text1"/>
          <w:szCs w:val="24"/>
        </w:rPr>
        <w:t>Previously circulated:-</w:t>
      </w:r>
      <w:r>
        <w:rPr>
          <w:rFonts w:cs="Arial"/>
          <w:color w:val="000000" w:themeColor="text1"/>
          <w:szCs w:val="24"/>
        </w:rPr>
        <w:t xml:space="preserve"> Report from Director of Corporate Services that this was </w:t>
      </w:r>
      <w:r w:rsidRPr="006B3094">
        <w:rPr>
          <w:rFonts w:cs="Arial"/>
          <w:color w:val="000000" w:themeColor="text1"/>
          <w:szCs w:val="24"/>
        </w:rPr>
        <w:t>the second budget report for the financial year. It set out the variances for</w:t>
      </w:r>
    </w:p>
    <w:p w14:paraId="1E8FF4DE" w14:textId="4E3E160B" w:rsidR="006B3094" w:rsidRPr="006B3094" w:rsidRDefault="006B3094" w:rsidP="006B3094">
      <w:pPr>
        <w:rPr>
          <w:rFonts w:cs="Arial"/>
          <w:color w:val="000000" w:themeColor="text1"/>
          <w:szCs w:val="24"/>
        </w:rPr>
      </w:pPr>
      <w:r w:rsidRPr="006B3094">
        <w:rPr>
          <w:rFonts w:cs="Arial"/>
          <w:color w:val="000000" w:themeColor="text1"/>
          <w:szCs w:val="24"/>
        </w:rPr>
        <w:t>expenditure and income for the first six months and show</w:t>
      </w:r>
      <w:r>
        <w:rPr>
          <w:rFonts w:cs="Arial"/>
          <w:color w:val="000000" w:themeColor="text1"/>
          <w:szCs w:val="24"/>
        </w:rPr>
        <w:t>ed</w:t>
      </w:r>
      <w:r w:rsidRPr="006B3094">
        <w:rPr>
          <w:rFonts w:cs="Arial"/>
          <w:color w:val="000000" w:themeColor="text1"/>
          <w:szCs w:val="24"/>
        </w:rPr>
        <w:t xml:space="preserve"> a budgetary surplus of</w:t>
      </w:r>
    </w:p>
    <w:p w14:paraId="13B1990E" w14:textId="77777777" w:rsidR="006B3094" w:rsidRDefault="006B3094" w:rsidP="006B3094">
      <w:pPr>
        <w:rPr>
          <w:rFonts w:cs="Arial"/>
          <w:color w:val="000000" w:themeColor="text1"/>
          <w:szCs w:val="24"/>
        </w:rPr>
      </w:pPr>
      <w:r w:rsidRPr="006B3094">
        <w:rPr>
          <w:rFonts w:cs="Arial"/>
          <w:color w:val="000000" w:themeColor="text1"/>
          <w:szCs w:val="24"/>
        </w:rPr>
        <w:t>£208k, thus far.</w:t>
      </w:r>
    </w:p>
    <w:p w14:paraId="43D57D19" w14:textId="77777777" w:rsidR="006B3094" w:rsidRPr="006B3094" w:rsidRDefault="006B3094" w:rsidP="006B3094">
      <w:pPr>
        <w:rPr>
          <w:rFonts w:cs="Arial"/>
          <w:color w:val="000000" w:themeColor="text1"/>
          <w:szCs w:val="24"/>
        </w:rPr>
      </w:pPr>
    </w:p>
    <w:p w14:paraId="1F496E9A" w14:textId="08CC76A0" w:rsidR="006B3094" w:rsidRPr="006B3094" w:rsidRDefault="006B3094" w:rsidP="006B3094">
      <w:pPr>
        <w:rPr>
          <w:rFonts w:cs="Arial"/>
          <w:color w:val="000000" w:themeColor="text1"/>
          <w:szCs w:val="24"/>
        </w:rPr>
      </w:pPr>
      <w:r w:rsidRPr="006B3094">
        <w:rPr>
          <w:rFonts w:cs="Arial"/>
          <w:color w:val="000000" w:themeColor="text1"/>
          <w:szCs w:val="24"/>
        </w:rPr>
        <w:t>The budgeting policy agreed during the year require</w:t>
      </w:r>
      <w:r>
        <w:rPr>
          <w:rFonts w:cs="Arial"/>
          <w:color w:val="000000" w:themeColor="text1"/>
          <w:szCs w:val="24"/>
        </w:rPr>
        <w:t>d</w:t>
      </w:r>
      <w:r w:rsidRPr="006B3094">
        <w:rPr>
          <w:rFonts w:cs="Arial"/>
          <w:color w:val="000000" w:themeColor="text1"/>
          <w:szCs w:val="24"/>
        </w:rPr>
        <w:t xml:space="preserve"> officers to forecast potential</w:t>
      </w:r>
    </w:p>
    <w:p w14:paraId="5F24CC7B" w14:textId="417B8131" w:rsidR="006B3094" w:rsidRPr="006B3094" w:rsidRDefault="006B3094" w:rsidP="006B3094">
      <w:pPr>
        <w:rPr>
          <w:rFonts w:cs="Arial"/>
          <w:color w:val="000000" w:themeColor="text1"/>
          <w:szCs w:val="24"/>
        </w:rPr>
      </w:pPr>
      <w:r w:rsidRPr="006B3094">
        <w:rPr>
          <w:rFonts w:cs="Arial"/>
          <w:color w:val="000000" w:themeColor="text1"/>
          <w:szCs w:val="24"/>
        </w:rPr>
        <w:t>outturn on four occasions during the financial year – th</w:t>
      </w:r>
      <w:r w:rsidR="00D22D73">
        <w:rPr>
          <w:rFonts w:cs="Arial"/>
          <w:color w:val="000000" w:themeColor="text1"/>
          <w:szCs w:val="24"/>
        </w:rPr>
        <w:t>o</w:t>
      </w:r>
      <w:r w:rsidRPr="006B3094">
        <w:rPr>
          <w:rFonts w:cs="Arial"/>
          <w:color w:val="000000" w:themeColor="text1"/>
          <w:szCs w:val="24"/>
        </w:rPr>
        <w:t xml:space="preserve">se </w:t>
      </w:r>
      <w:r w:rsidR="00D22D73">
        <w:rPr>
          <w:rFonts w:cs="Arial"/>
          <w:color w:val="000000" w:themeColor="text1"/>
          <w:szCs w:val="24"/>
        </w:rPr>
        <w:t>would</w:t>
      </w:r>
      <w:r w:rsidRPr="006B3094">
        <w:rPr>
          <w:rFonts w:cs="Arial"/>
          <w:color w:val="000000" w:themeColor="text1"/>
          <w:szCs w:val="24"/>
        </w:rPr>
        <w:t xml:space="preserve"> occur at the end of</w:t>
      </w:r>
    </w:p>
    <w:p w14:paraId="712D2A2E" w14:textId="43663833" w:rsidR="006B3094" w:rsidRPr="006B3094" w:rsidRDefault="006B3094" w:rsidP="006B3094">
      <w:pPr>
        <w:rPr>
          <w:rFonts w:cs="Arial"/>
          <w:color w:val="000000" w:themeColor="text1"/>
          <w:szCs w:val="24"/>
        </w:rPr>
      </w:pPr>
      <w:r w:rsidRPr="006B3094">
        <w:rPr>
          <w:rFonts w:cs="Arial"/>
          <w:color w:val="000000" w:themeColor="text1"/>
          <w:szCs w:val="24"/>
        </w:rPr>
        <w:t>June, August, November and January. The final column on page 2 of the report show</w:t>
      </w:r>
      <w:r w:rsidR="00D22D73">
        <w:rPr>
          <w:rFonts w:cs="Arial"/>
          <w:color w:val="000000" w:themeColor="text1"/>
          <w:szCs w:val="24"/>
        </w:rPr>
        <w:t>ed</w:t>
      </w:r>
      <w:r>
        <w:rPr>
          <w:rFonts w:cs="Arial"/>
          <w:color w:val="000000" w:themeColor="text1"/>
          <w:szCs w:val="24"/>
        </w:rPr>
        <w:t xml:space="preserve"> </w:t>
      </w:r>
      <w:r w:rsidRPr="006B3094">
        <w:rPr>
          <w:rFonts w:cs="Arial"/>
          <w:color w:val="000000" w:themeColor="text1"/>
          <w:szCs w:val="24"/>
        </w:rPr>
        <w:t xml:space="preserve">that management </w:t>
      </w:r>
      <w:r>
        <w:rPr>
          <w:rFonts w:cs="Arial"/>
          <w:color w:val="000000" w:themeColor="text1"/>
          <w:szCs w:val="24"/>
        </w:rPr>
        <w:t>were</w:t>
      </w:r>
      <w:r w:rsidRPr="006B3094">
        <w:rPr>
          <w:rFonts w:cs="Arial"/>
          <w:color w:val="000000" w:themeColor="text1"/>
          <w:szCs w:val="24"/>
        </w:rPr>
        <w:t xml:space="preserve"> forecasting a potential surplus of around £485k which </w:t>
      </w:r>
      <w:r w:rsidR="00D22D73">
        <w:rPr>
          <w:rFonts w:cs="Arial"/>
          <w:color w:val="000000" w:themeColor="text1"/>
          <w:szCs w:val="24"/>
        </w:rPr>
        <w:t>was</w:t>
      </w:r>
      <w:r w:rsidRPr="006B3094">
        <w:rPr>
          <w:rFonts w:cs="Arial"/>
          <w:color w:val="000000" w:themeColor="text1"/>
          <w:szCs w:val="24"/>
        </w:rPr>
        <w:t xml:space="preserve"> broadly</w:t>
      </w:r>
      <w:r w:rsidR="00D22D73">
        <w:rPr>
          <w:rFonts w:cs="Arial"/>
          <w:color w:val="000000" w:themeColor="text1"/>
          <w:szCs w:val="24"/>
        </w:rPr>
        <w:t xml:space="preserve"> </w:t>
      </w:r>
      <w:r w:rsidRPr="006B3094">
        <w:rPr>
          <w:rFonts w:cs="Arial"/>
          <w:color w:val="000000" w:themeColor="text1"/>
          <w:szCs w:val="24"/>
        </w:rPr>
        <w:t>in line with budget. Th</w:t>
      </w:r>
      <w:r w:rsidR="00D22D73">
        <w:rPr>
          <w:rFonts w:cs="Arial"/>
          <w:color w:val="000000" w:themeColor="text1"/>
          <w:szCs w:val="24"/>
        </w:rPr>
        <w:t>at</w:t>
      </w:r>
      <w:r w:rsidRPr="006B3094">
        <w:rPr>
          <w:rFonts w:cs="Arial"/>
          <w:color w:val="000000" w:themeColor="text1"/>
          <w:szCs w:val="24"/>
        </w:rPr>
        <w:t xml:space="preserve"> forecast and the next one </w:t>
      </w:r>
      <w:r w:rsidR="00D22D73">
        <w:rPr>
          <w:rFonts w:cs="Arial"/>
          <w:color w:val="000000" w:themeColor="text1"/>
          <w:szCs w:val="24"/>
        </w:rPr>
        <w:t>would</w:t>
      </w:r>
      <w:r w:rsidRPr="006B3094">
        <w:rPr>
          <w:rFonts w:cs="Arial"/>
          <w:color w:val="000000" w:themeColor="text1"/>
          <w:szCs w:val="24"/>
        </w:rPr>
        <w:t xml:space="preserve"> feed into the estimates process</w:t>
      </w:r>
      <w:r w:rsidR="00D22D73">
        <w:rPr>
          <w:rFonts w:cs="Arial"/>
          <w:color w:val="000000" w:themeColor="text1"/>
          <w:szCs w:val="24"/>
        </w:rPr>
        <w:t xml:space="preserve"> </w:t>
      </w:r>
      <w:r w:rsidRPr="006B3094">
        <w:rPr>
          <w:rFonts w:cs="Arial"/>
          <w:color w:val="000000" w:themeColor="text1"/>
          <w:szCs w:val="24"/>
        </w:rPr>
        <w:t>and allow judgements to be made in respect of potential reserves positions at the year</w:t>
      </w:r>
      <w:r w:rsidR="00D22D73">
        <w:rPr>
          <w:rFonts w:cs="Arial"/>
          <w:color w:val="000000" w:themeColor="text1"/>
          <w:szCs w:val="24"/>
        </w:rPr>
        <w:t xml:space="preserve"> </w:t>
      </w:r>
      <w:r w:rsidRPr="006B3094">
        <w:rPr>
          <w:rFonts w:cs="Arial"/>
          <w:color w:val="000000" w:themeColor="text1"/>
          <w:szCs w:val="24"/>
        </w:rPr>
        <w:t>end.</w:t>
      </w:r>
    </w:p>
    <w:p w14:paraId="4B1CE337" w14:textId="77777777" w:rsidR="00D22D73" w:rsidRDefault="00D22D73" w:rsidP="006B3094">
      <w:pPr>
        <w:rPr>
          <w:rFonts w:cs="Arial"/>
          <w:color w:val="000000" w:themeColor="text1"/>
          <w:szCs w:val="24"/>
        </w:rPr>
      </w:pPr>
    </w:p>
    <w:p w14:paraId="27B9C4D9" w14:textId="5A93EF37" w:rsidR="006B3094" w:rsidRDefault="00D22D73" w:rsidP="006B3094">
      <w:pPr>
        <w:rPr>
          <w:rFonts w:cs="Arial"/>
          <w:color w:val="000000" w:themeColor="text1"/>
          <w:szCs w:val="24"/>
        </w:rPr>
      </w:pPr>
      <w:r w:rsidRPr="00D22D73">
        <w:rPr>
          <w:rFonts w:cs="Arial"/>
          <w:caps/>
          <w:color w:val="000000" w:themeColor="text1"/>
          <w:szCs w:val="24"/>
        </w:rPr>
        <w:t>Recommended</w:t>
      </w:r>
      <w:r>
        <w:rPr>
          <w:rFonts w:cs="Arial"/>
          <w:color w:val="000000" w:themeColor="text1"/>
          <w:szCs w:val="24"/>
        </w:rPr>
        <w:t xml:space="preserve"> t</w:t>
      </w:r>
      <w:r w:rsidR="006B3094" w:rsidRPr="006B3094">
        <w:rPr>
          <w:rFonts w:cs="Arial"/>
          <w:color w:val="000000" w:themeColor="text1"/>
          <w:szCs w:val="24"/>
        </w:rPr>
        <w:t>hat Council notes the Strategic Budget Report for September.</w:t>
      </w:r>
    </w:p>
    <w:p w14:paraId="46ED12A5" w14:textId="77777777" w:rsidR="006B3094" w:rsidRDefault="006B3094" w:rsidP="006B3094">
      <w:pPr>
        <w:rPr>
          <w:rFonts w:cs="Arial"/>
          <w:color w:val="000000" w:themeColor="text1"/>
          <w:szCs w:val="24"/>
        </w:rPr>
      </w:pPr>
    </w:p>
    <w:p w14:paraId="6F1DE48D" w14:textId="1B3366F7" w:rsidR="00C4339C" w:rsidRDefault="00C4339C" w:rsidP="006B3094">
      <w:pPr>
        <w:rPr>
          <w:rFonts w:cs="Arial"/>
          <w:color w:val="000000" w:themeColor="text1"/>
          <w:szCs w:val="24"/>
        </w:rPr>
      </w:pPr>
      <w:r>
        <w:rPr>
          <w:rFonts w:cs="Arial"/>
          <w:color w:val="000000" w:themeColor="text1"/>
          <w:szCs w:val="24"/>
        </w:rPr>
        <w:t xml:space="preserve">Proposed by Alderman McRandal, seconded by Alderman P Smith, that the recommendation be adopted.  </w:t>
      </w:r>
    </w:p>
    <w:p w14:paraId="5E027476" w14:textId="77777777" w:rsidR="00C4339C" w:rsidRDefault="00C4339C" w:rsidP="006B3094">
      <w:pPr>
        <w:rPr>
          <w:rFonts w:cs="Arial"/>
          <w:color w:val="000000" w:themeColor="text1"/>
          <w:szCs w:val="24"/>
        </w:rPr>
      </w:pPr>
    </w:p>
    <w:p w14:paraId="198041D1" w14:textId="62A41A68" w:rsidR="00C4339C" w:rsidRDefault="00C4339C" w:rsidP="006B3094">
      <w:pPr>
        <w:rPr>
          <w:rFonts w:cs="Arial"/>
          <w:color w:val="000000" w:themeColor="text1"/>
          <w:szCs w:val="24"/>
        </w:rPr>
      </w:pPr>
      <w:r>
        <w:rPr>
          <w:rFonts w:cs="Arial"/>
          <w:color w:val="000000" w:themeColor="text1"/>
          <w:szCs w:val="24"/>
        </w:rPr>
        <w:t>Alderman McRandal referred to page 8 which detailed recruitment costs, yet he was of the understanding that recruitment was below</w:t>
      </w:r>
      <w:r w:rsidR="003C7B4C">
        <w:rPr>
          <w:rFonts w:cs="Arial"/>
          <w:color w:val="000000" w:themeColor="text1"/>
          <w:szCs w:val="24"/>
        </w:rPr>
        <w:t xml:space="preserve"> what had been</w:t>
      </w:r>
      <w:r>
        <w:rPr>
          <w:rFonts w:cs="Arial"/>
          <w:color w:val="000000" w:themeColor="text1"/>
          <w:szCs w:val="24"/>
        </w:rPr>
        <w:t xml:space="preserve"> anticipated. The Director advised that cost was largely due to the recruitment of the Chief Executive during the financial year.  </w:t>
      </w:r>
    </w:p>
    <w:p w14:paraId="3B033300" w14:textId="77777777" w:rsidR="00C4339C" w:rsidRDefault="00C4339C" w:rsidP="006B3094">
      <w:pPr>
        <w:rPr>
          <w:rFonts w:cs="Arial"/>
          <w:color w:val="000000" w:themeColor="text1"/>
          <w:szCs w:val="24"/>
        </w:rPr>
      </w:pPr>
    </w:p>
    <w:p w14:paraId="64CF17DD" w14:textId="1332CCB9" w:rsidR="00BA6926" w:rsidRDefault="00C4339C" w:rsidP="006B3094">
      <w:pPr>
        <w:rPr>
          <w:rFonts w:cs="Arial"/>
          <w:color w:val="000000" w:themeColor="text1"/>
          <w:szCs w:val="24"/>
        </w:rPr>
      </w:pPr>
      <w:r>
        <w:rPr>
          <w:rFonts w:cs="Arial"/>
          <w:color w:val="000000" w:themeColor="text1"/>
          <w:szCs w:val="24"/>
        </w:rPr>
        <w:t xml:space="preserve">Alderman Smith referenced </w:t>
      </w:r>
      <w:r w:rsidR="00BA6926">
        <w:rPr>
          <w:rFonts w:cs="Arial"/>
          <w:color w:val="000000" w:themeColor="text1"/>
          <w:szCs w:val="24"/>
        </w:rPr>
        <w:t>t</w:t>
      </w:r>
      <w:r>
        <w:rPr>
          <w:rFonts w:cs="Arial"/>
          <w:color w:val="000000" w:themeColor="text1"/>
          <w:szCs w:val="24"/>
        </w:rPr>
        <w:t>he increase in insurance premium</w:t>
      </w:r>
      <w:r w:rsidR="00BA6926">
        <w:rPr>
          <w:rFonts w:cs="Arial"/>
          <w:color w:val="000000" w:themeColor="text1"/>
          <w:szCs w:val="24"/>
        </w:rPr>
        <w:t>s</w:t>
      </w:r>
      <w:r>
        <w:rPr>
          <w:rFonts w:cs="Arial"/>
          <w:color w:val="000000" w:themeColor="text1"/>
          <w:szCs w:val="24"/>
        </w:rPr>
        <w:t xml:space="preserve"> and asked if that was envisaged to run forward in the years ahead. The Director noted that insurance was one of the biggest risk area</w:t>
      </w:r>
      <w:r w:rsidR="00BA6926">
        <w:rPr>
          <w:rFonts w:cs="Arial"/>
          <w:color w:val="000000" w:themeColor="text1"/>
          <w:szCs w:val="24"/>
        </w:rPr>
        <w:t>s</w:t>
      </w:r>
      <w:r>
        <w:rPr>
          <w:rFonts w:cs="Arial"/>
          <w:color w:val="000000" w:themeColor="text1"/>
          <w:szCs w:val="24"/>
        </w:rPr>
        <w:t xml:space="preserve"> in terms of its growth in cost.  </w:t>
      </w:r>
      <w:r w:rsidR="00BA6926">
        <w:rPr>
          <w:rFonts w:cs="Arial"/>
          <w:color w:val="000000" w:themeColor="text1"/>
          <w:szCs w:val="24"/>
        </w:rPr>
        <w:t xml:space="preserve">A large reason for the increase was due to insurance providers leaving the market in Northern Ireland.  Solace were working on commissioning a piece of work to </w:t>
      </w:r>
      <w:r w:rsidR="004C05E8">
        <w:rPr>
          <w:rFonts w:cs="Arial"/>
          <w:color w:val="000000" w:themeColor="text1"/>
          <w:szCs w:val="24"/>
        </w:rPr>
        <w:t>look at this Northern Ireland wide</w:t>
      </w:r>
      <w:r w:rsidR="00BA6926">
        <w:rPr>
          <w:rFonts w:cs="Arial"/>
          <w:color w:val="000000" w:themeColor="text1"/>
          <w:szCs w:val="24"/>
        </w:rPr>
        <w:t xml:space="preserve">. </w:t>
      </w:r>
      <w:r w:rsidR="00C53006">
        <w:rPr>
          <w:rFonts w:cs="Arial"/>
          <w:color w:val="000000" w:themeColor="text1"/>
          <w:szCs w:val="24"/>
        </w:rPr>
        <w:t>Self-insurance</w:t>
      </w:r>
      <w:r w:rsidR="00BA6926">
        <w:rPr>
          <w:rFonts w:cs="Arial"/>
          <w:color w:val="000000" w:themeColor="text1"/>
          <w:szCs w:val="24"/>
        </w:rPr>
        <w:t xml:space="preserve"> was also being explored as an option. The Director advised that the insurance renewals had come  late in the financial year resulting in being over budget. Extra provision would need to be included in the budget next year. </w:t>
      </w:r>
    </w:p>
    <w:p w14:paraId="65BF4A46" w14:textId="77777777" w:rsidR="00BA6926" w:rsidRDefault="00BA6926" w:rsidP="006B3094">
      <w:pPr>
        <w:rPr>
          <w:rFonts w:cs="Arial"/>
          <w:color w:val="000000" w:themeColor="text1"/>
          <w:szCs w:val="24"/>
        </w:rPr>
      </w:pPr>
    </w:p>
    <w:p w14:paraId="3FFAD373" w14:textId="054CC0DD" w:rsidR="00BA6926" w:rsidRDefault="00BA6926" w:rsidP="006B3094">
      <w:pPr>
        <w:rPr>
          <w:rFonts w:cs="Arial"/>
          <w:color w:val="000000" w:themeColor="text1"/>
          <w:szCs w:val="24"/>
        </w:rPr>
      </w:pPr>
      <w:r>
        <w:rPr>
          <w:rFonts w:cs="Arial"/>
          <w:color w:val="000000" w:themeColor="text1"/>
          <w:szCs w:val="24"/>
        </w:rPr>
        <w:t xml:space="preserve">Alderman McAlpine advised that the Education Authority </w:t>
      </w:r>
      <w:r w:rsidR="008354BE">
        <w:rPr>
          <w:rFonts w:cs="Arial"/>
          <w:color w:val="000000" w:themeColor="text1"/>
          <w:szCs w:val="24"/>
        </w:rPr>
        <w:t>self-insured</w:t>
      </w:r>
      <w:r>
        <w:rPr>
          <w:rFonts w:cs="Arial"/>
          <w:color w:val="000000" w:themeColor="text1"/>
          <w:szCs w:val="24"/>
        </w:rPr>
        <w:t xml:space="preserve"> all their buildings including schools and explor</w:t>
      </w:r>
      <w:r w:rsidR="003C7B4C">
        <w:rPr>
          <w:rFonts w:cs="Arial"/>
          <w:color w:val="000000" w:themeColor="text1"/>
          <w:szCs w:val="24"/>
        </w:rPr>
        <w:t>ing</w:t>
      </w:r>
      <w:r>
        <w:rPr>
          <w:rFonts w:cs="Arial"/>
          <w:color w:val="000000" w:themeColor="text1"/>
          <w:szCs w:val="24"/>
        </w:rPr>
        <w:t xml:space="preserve"> their approach could be worth considering. </w:t>
      </w:r>
    </w:p>
    <w:p w14:paraId="26644BA9" w14:textId="77777777" w:rsidR="006B3094" w:rsidRPr="006B3094" w:rsidRDefault="006B3094" w:rsidP="006B3094">
      <w:pPr>
        <w:rPr>
          <w:rFonts w:cs="Arial"/>
          <w:color w:val="000000" w:themeColor="text1"/>
          <w:szCs w:val="24"/>
        </w:rPr>
      </w:pPr>
    </w:p>
    <w:p w14:paraId="576AECBD" w14:textId="0429B935" w:rsidR="00C94CF7" w:rsidRPr="00EF661B" w:rsidRDefault="00EF661B" w:rsidP="006B3094">
      <w:pPr>
        <w:rPr>
          <w:rFonts w:cs="Arial"/>
          <w:b/>
          <w:bCs/>
          <w:color w:val="000000" w:themeColor="text1"/>
          <w:szCs w:val="24"/>
        </w:rPr>
      </w:pPr>
      <w:r w:rsidRPr="00EF661B">
        <w:rPr>
          <w:rFonts w:cs="Arial"/>
          <w:b/>
          <w:bCs/>
          <w:color w:val="000000" w:themeColor="text1"/>
          <w:szCs w:val="24"/>
        </w:rPr>
        <w:t xml:space="preserve">AGREED TO RECOMMEND, on the proposal of </w:t>
      </w:r>
      <w:r w:rsidR="00C4339C">
        <w:rPr>
          <w:rFonts w:cs="Arial"/>
          <w:b/>
          <w:bCs/>
          <w:color w:val="000000" w:themeColor="text1"/>
          <w:szCs w:val="24"/>
        </w:rPr>
        <w:t>Alderman McRandal</w:t>
      </w:r>
      <w:r w:rsidRPr="00EF661B">
        <w:rPr>
          <w:rFonts w:cs="Arial"/>
          <w:b/>
          <w:bCs/>
          <w:color w:val="000000" w:themeColor="text1"/>
          <w:szCs w:val="24"/>
        </w:rPr>
        <w:t xml:space="preserve">, seconded by </w:t>
      </w:r>
      <w:r w:rsidR="00C4339C">
        <w:rPr>
          <w:rFonts w:cs="Arial"/>
          <w:b/>
          <w:bCs/>
          <w:color w:val="000000" w:themeColor="text1"/>
          <w:szCs w:val="24"/>
        </w:rPr>
        <w:t>Alderman P Smith</w:t>
      </w:r>
      <w:r w:rsidRPr="00EF661B">
        <w:rPr>
          <w:rFonts w:cs="Arial"/>
          <w:b/>
          <w:bCs/>
          <w:color w:val="000000" w:themeColor="text1"/>
          <w:szCs w:val="24"/>
        </w:rPr>
        <w:t xml:space="preserve">, that the recommendation be adopted. </w:t>
      </w:r>
    </w:p>
    <w:p w14:paraId="47CCE84C" w14:textId="42BDD4D8" w:rsidR="00B540B9" w:rsidRDefault="00B540B9" w:rsidP="00EF661B">
      <w:pPr>
        <w:rPr>
          <w:rFonts w:cs="Arial"/>
          <w:color w:val="000000" w:themeColor="text1"/>
          <w:szCs w:val="24"/>
        </w:rPr>
      </w:pPr>
    </w:p>
    <w:p w14:paraId="6A6268FD" w14:textId="16ABCDB9" w:rsidR="00B540B9" w:rsidRDefault="00B540B9" w:rsidP="00EF661B">
      <w:pPr>
        <w:rPr>
          <w:rFonts w:cs="Arial"/>
          <w:color w:val="000000" w:themeColor="text1"/>
          <w:szCs w:val="24"/>
        </w:rPr>
      </w:pPr>
      <w:r>
        <w:rPr>
          <w:rFonts w:cs="Arial"/>
          <w:color w:val="000000" w:themeColor="text1"/>
          <w:szCs w:val="24"/>
        </w:rPr>
        <w:t xml:space="preserve">The below item was brought forward in the meeting to be considered </w:t>
      </w:r>
      <w:r w:rsidR="00864362">
        <w:rPr>
          <w:rFonts w:cs="Arial"/>
          <w:color w:val="000000" w:themeColor="text1"/>
          <w:szCs w:val="24"/>
        </w:rPr>
        <w:t xml:space="preserve">in the public domain.  </w:t>
      </w:r>
    </w:p>
    <w:p w14:paraId="33CD977E" w14:textId="77777777" w:rsidR="00B540B9" w:rsidRDefault="00B540B9" w:rsidP="00EF661B">
      <w:pPr>
        <w:rPr>
          <w:rFonts w:cs="Arial"/>
          <w:color w:val="000000" w:themeColor="text1"/>
          <w:szCs w:val="24"/>
        </w:rPr>
      </w:pPr>
    </w:p>
    <w:p w14:paraId="496A0847" w14:textId="77777777" w:rsidR="00B540B9" w:rsidRPr="008B4892" w:rsidRDefault="00B540B9" w:rsidP="00B540B9">
      <w:pPr>
        <w:pStyle w:val="Heading1"/>
        <w:rPr>
          <w:u w:val="single"/>
        </w:rPr>
      </w:pPr>
      <w:r>
        <w:t>20.</w:t>
      </w:r>
      <w:r>
        <w:tab/>
      </w:r>
      <w:r w:rsidRPr="008B4892">
        <w:rPr>
          <w:u w:val="single"/>
        </w:rPr>
        <w:t xml:space="preserve">Blair Mayne Bursary Awards </w:t>
      </w:r>
    </w:p>
    <w:p w14:paraId="03CC5BAC" w14:textId="38E5D4DC" w:rsidR="00B540B9" w:rsidRPr="000220C2" w:rsidRDefault="00B540B9" w:rsidP="00B540B9">
      <w:pPr>
        <w:rPr>
          <w:rFonts w:eastAsia="Times New Roman" w:cs="Arial"/>
          <w:bCs/>
          <w:color w:val="000000" w:themeColor="text1"/>
          <w:szCs w:val="24"/>
          <w:lang w:eastAsia="en-GB"/>
        </w:rPr>
      </w:pPr>
      <w:r>
        <w:rPr>
          <w:rFonts w:eastAsia="Times New Roman" w:cs="Arial"/>
          <w:b/>
          <w:color w:val="000000" w:themeColor="text1"/>
          <w:szCs w:val="24"/>
          <w:lang w:eastAsia="en-GB"/>
        </w:rPr>
        <w:tab/>
      </w:r>
      <w:r w:rsidRPr="000220C2">
        <w:rPr>
          <w:rFonts w:eastAsia="Times New Roman" w:cs="Arial"/>
          <w:bCs/>
          <w:color w:val="000000" w:themeColor="text1"/>
          <w:szCs w:val="24"/>
          <w:lang w:eastAsia="en-GB"/>
        </w:rPr>
        <w:t xml:space="preserve">(Appendix </w:t>
      </w:r>
      <w:r w:rsidR="002F1D8D">
        <w:rPr>
          <w:rFonts w:eastAsia="Times New Roman" w:cs="Arial"/>
          <w:bCs/>
          <w:color w:val="000000" w:themeColor="text1"/>
          <w:szCs w:val="24"/>
          <w:lang w:eastAsia="en-GB"/>
        </w:rPr>
        <w:t>XIII</w:t>
      </w:r>
      <w:r w:rsidRPr="000220C2">
        <w:rPr>
          <w:rFonts w:eastAsia="Times New Roman" w:cs="Arial"/>
          <w:bCs/>
          <w:color w:val="000000" w:themeColor="text1"/>
          <w:szCs w:val="24"/>
          <w:lang w:eastAsia="en-GB"/>
        </w:rPr>
        <w:t>)</w:t>
      </w:r>
    </w:p>
    <w:p w14:paraId="3E721CCC" w14:textId="77777777" w:rsidR="00B540B9" w:rsidRPr="000220C2" w:rsidRDefault="00B540B9" w:rsidP="00B540B9">
      <w:pPr>
        <w:rPr>
          <w:rFonts w:eastAsia="Times New Roman" w:cs="Arial"/>
          <w:b/>
          <w:color w:val="000000" w:themeColor="text1"/>
          <w:szCs w:val="24"/>
          <w:lang w:eastAsia="en-GB"/>
        </w:rPr>
      </w:pPr>
    </w:p>
    <w:p w14:paraId="3AC791F4" w14:textId="77777777" w:rsidR="00B540B9" w:rsidRDefault="00B540B9" w:rsidP="00B540B9">
      <w:pPr>
        <w:rPr>
          <w:rFonts w:cs="Arial"/>
          <w:szCs w:val="24"/>
        </w:rPr>
      </w:pPr>
      <w:r w:rsidRPr="000220C2">
        <w:rPr>
          <w:rFonts w:eastAsia="Calibri" w:cs="Arial"/>
          <w:caps/>
          <w:color w:val="000000" w:themeColor="text1"/>
          <w:szCs w:val="24"/>
        </w:rPr>
        <w:t>Previously circulated:-</w:t>
      </w:r>
      <w:r w:rsidRPr="000220C2">
        <w:rPr>
          <w:rFonts w:eastAsia="Calibri" w:cs="Arial"/>
          <w:color w:val="000000" w:themeColor="text1"/>
          <w:szCs w:val="24"/>
        </w:rPr>
        <w:t xml:space="preserve"> Report from the Director of Corporate Services attaching minutes </w:t>
      </w:r>
      <w:r w:rsidRPr="000220C2">
        <w:rPr>
          <w:rFonts w:cs="Arial"/>
          <w:szCs w:val="24"/>
        </w:rPr>
        <w:t>of the Blair Mayne Bursary Sub-Committee held on 7</w:t>
      </w:r>
      <w:r w:rsidRPr="000220C2">
        <w:rPr>
          <w:rFonts w:cs="Arial"/>
          <w:szCs w:val="24"/>
          <w:vertAlign w:val="superscript"/>
        </w:rPr>
        <w:t>th</w:t>
      </w:r>
      <w:r w:rsidRPr="000220C2">
        <w:rPr>
          <w:rFonts w:cs="Arial"/>
          <w:szCs w:val="24"/>
        </w:rPr>
        <w:t xml:space="preserve"> October 2024. They included recommendations to award four bursaries in 2025 at an </w:t>
      </w:r>
      <w:r w:rsidRPr="000220C2">
        <w:rPr>
          <w:rFonts w:cs="Arial"/>
          <w:szCs w:val="24"/>
        </w:rPr>
        <w:lastRenderedPageBreak/>
        <w:t>informal ceremony to be held in the Spring, in Londonderry Room, Ards Arts Centre, Town Hall, Newtownards.</w:t>
      </w:r>
    </w:p>
    <w:p w14:paraId="1537214C" w14:textId="77777777" w:rsidR="00B540B9" w:rsidRPr="000220C2" w:rsidRDefault="00B540B9" w:rsidP="00B540B9">
      <w:pPr>
        <w:rPr>
          <w:rFonts w:cs="Arial"/>
          <w:szCs w:val="24"/>
        </w:rPr>
      </w:pPr>
    </w:p>
    <w:p w14:paraId="7F052A69" w14:textId="77777777" w:rsidR="00B540B9" w:rsidRPr="000220C2" w:rsidRDefault="00B540B9" w:rsidP="00B540B9">
      <w:pPr>
        <w:rPr>
          <w:rFonts w:cs="Arial"/>
          <w:szCs w:val="24"/>
        </w:rPr>
      </w:pPr>
      <w:r w:rsidRPr="000220C2">
        <w:rPr>
          <w:rFonts w:cs="Arial"/>
          <w:caps/>
          <w:szCs w:val="24"/>
        </w:rPr>
        <w:t xml:space="preserve">Recommended </w:t>
      </w:r>
      <w:r w:rsidRPr="000220C2">
        <w:rPr>
          <w:rFonts w:cs="Arial"/>
          <w:szCs w:val="24"/>
        </w:rPr>
        <w:t xml:space="preserve">that Council adopt the </w:t>
      </w:r>
      <w:r>
        <w:rPr>
          <w:rFonts w:cs="Arial"/>
          <w:szCs w:val="24"/>
        </w:rPr>
        <w:t>m</w:t>
      </w:r>
      <w:r w:rsidRPr="000220C2">
        <w:rPr>
          <w:rFonts w:cs="Arial"/>
          <w:szCs w:val="24"/>
        </w:rPr>
        <w:t>inutes and the recommendations contained therein be adopted.</w:t>
      </w:r>
    </w:p>
    <w:p w14:paraId="1906D391" w14:textId="77777777" w:rsidR="00B540B9" w:rsidRDefault="00B540B9" w:rsidP="00B540B9"/>
    <w:p w14:paraId="35EF2C75" w14:textId="09846B93" w:rsidR="00B540B9" w:rsidRPr="00EF661B" w:rsidRDefault="00B540B9" w:rsidP="00B540B9">
      <w:pPr>
        <w:rPr>
          <w:rFonts w:cs="Arial"/>
          <w:b/>
          <w:bCs/>
          <w:color w:val="000000" w:themeColor="text1"/>
          <w:szCs w:val="24"/>
        </w:rPr>
      </w:pPr>
      <w:r w:rsidRPr="00EF661B">
        <w:rPr>
          <w:rFonts w:cs="Arial"/>
          <w:b/>
          <w:bCs/>
          <w:color w:val="000000" w:themeColor="text1"/>
          <w:szCs w:val="24"/>
        </w:rPr>
        <w:t xml:space="preserve">AGREED TO RECOMMEND, on the proposal of </w:t>
      </w:r>
      <w:r w:rsidR="00864362">
        <w:rPr>
          <w:rFonts w:cs="Arial"/>
          <w:b/>
          <w:bCs/>
          <w:color w:val="000000" w:themeColor="text1"/>
          <w:szCs w:val="24"/>
        </w:rPr>
        <w:t>Councillor Moore</w:t>
      </w:r>
      <w:r w:rsidRPr="00EF661B">
        <w:rPr>
          <w:rFonts w:cs="Arial"/>
          <w:b/>
          <w:bCs/>
          <w:color w:val="000000" w:themeColor="text1"/>
          <w:szCs w:val="24"/>
        </w:rPr>
        <w:t xml:space="preserve">, seconded by </w:t>
      </w:r>
      <w:r w:rsidR="00864362">
        <w:rPr>
          <w:rFonts w:cs="Arial"/>
          <w:b/>
          <w:bCs/>
          <w:color w:val="000000" w:themeColor="text1"/>
          <w:szCs w:val="24"/>
        </w:rPr>
        <w:t>Alderman P Smith</w:t>
      </w:r>
      <w:r w:rsidRPr="00EF661B">
        <w:rPr>
          <w:rFonts w:cs="Arial"/>
          <w:b/>
          <w:bCs/>
          <w:color w:val="000000" w:themeColor="text1"/>
          <w:szCs w:val="24"/>
        </w:rPr>
        <w:t xml:space="preserve">, that the recommendation be adopted. </w:t>
      </w:r>
    </w:p>
    <w:p w14:paraId="24C58AC9" w14:textId="77777777" w:rsidR="00B540B9" w:rsidRPr="00EF661B" w:rsidRDefault="00B540B9" w:rsidP="00EF661B">
      <w:pPr>
        <w:rPr>
          <w:rFonts w:cs="Arial"/>
          <w:color w:val="000000" w:themeColor="text1"/>
          <w:szCs w:val="24"/>
        </w:rPr>
      </w:pPr>
    </w:p>
    <w:p w14:paraId="5335FB3D" w14:textId="2874F88C" w:rsidR="004E5534" w:rsidRPr="00C94CF7" w:rsidRDefault="00C94CF7" w:rsidP="00C94CF7">
      <w:pPr>
        <w:pStyle w:val="Heading1"/>
      </w:pPr>
      <w:r>
        <w:t>14.</w:t>
      </w:r>
      <w:r>
        <w:tab/>
      </w:r>
      <w:r w:rsidR="004E5534" w:rsidRPr="00C94CF7">
        <w:rPr>
          <w:u w:val="single"/>
        </w:rPr>
        <w:t>Any other notified business</w:t>
      </w:r>
    </w:p>
    <w:p w14:paraId="58F42521" w14:textId="77777777" w:rsidR="004E5534" w:rsidRDefault="004E5534" w:rsidP="004E5534">
      <w:pPr>
        <w:rPr>
          <w:rFonts w:eastAsia="Times New Roman" w:cs="Arial"/>
          <w:b/>
          <w:color w:val="000000" w:themeColor="text1"/>
          <w:szCs w:val="24"/>
          <w:lang w:eastAsia="en-GB"/>
        </w:rPr>
      </w:pPr>
    </w:p>
    <w:p w14:paraId="17A656CC" w14:textId="49EEF8B9" w:rsidR="00C94CF7" w:rsidRPr="009D29E2" w:rsidRDefault="009D29E2" w:rsidP="004E5534">
      <w:pPr>
        <w:rPr>
          <w:rFonts w:eastAsia="Times New Roman" w:cs="Arial"/>
          <w:bCs/>
          <w:color w:val="000000" w:themeColor="text1"/>
          <w:szCs w:val="24"/>
          <w:lang w:eastAsia="en-GB"/>
        </w:rPr>
      </w:pPr>
      <w:r>
        <w:rPr>
          <w:rFonts w:eastAsia="Times New Roman" w:cs="Arial"/>
          <w:bCs/>
          <w:color w:val="000000" w:themeColor="text1"/>
          <w:szCs w:val="24"/>
          <w:lang w:eastAsia="en-GB"/>
        </w:rPr>
        <w:t xml:space="preserve">There were no items of any other notified business. </w:t>
      </w:r>
    </w:p>
    <w:p w14:paraId="6DFA7121" w14:textId="77777777" w:rsidR="00C94CF7" w:rsidRDefault="00C94CF7" w:rsidP="004E5534">
      <w:pPr>
        <w:rPr>
          <w:rFonts w:eastAsia="Times New Roman" w:cs="Arial"/>
          <w:b/>
          <w:color w:val="000000" w:themeColor="text1"/>
          <w:szCs w:val="24"/>
          <w:lang w:eastAsia="en-GB"/>
        </w:rPr>
      </w:pPr>
    </w:p>
    <w:p w14:paraId="263927B5" w14:textId="74C4A9B9" w:rsidR="00C94CF7" w:rsidRPr="002A4067" w:rsidRDefault="00C94CF7" w:rsidP="002A4067">
      <w:pPr>
        <w:rPr>
          <w:rFonts w:ascii="Arial Bold" w:hAnsi="Arial Bold"/>
          <w:b/>
          <w:bCs/>
          <w:caps/>
          <w:u w:val="single"/>
          <w:lang w:eastAsia="en-GB"/>
        </w:rPr>
      </w:pPr>
      <w:r w:rsidRPr="002A4067">
        <w:rPr>
          <w:rFonts w:ascii="Arial Bold" w:hAnsi="Arial Bold"/>
          <w:b/>
          <w:bCs/>
          <w:caps/>
          <w:u w:val="single"/>
          <w:lang w:eastAsia="en-GB"/>
        </w:rPr>
        <w:t xml:space="preserve">Exclusion of Public/Press </w:t>
      </w:r>
    </w:p>
    <w:p w14:paraId="7B20ED2A" w14:textId="77777777" w:rsidR="00C94CF7" w:rsidRDefault="00C94CF7" w:rsidP="004E5534">
      <w:pPr>
        <w:rPr>
          <w:rFonts w:eastAsia="Times New Roman" w:cs="Arial"/>
          <w:b/>
          <w:color w:val="000000" w:themeColor="text1"/>
          <w:szCs w:val="24"/>
          <w:lang w:eastAsia="en-GB"/>
        </w:rPr>
      </w:pPr>
    </w:p>
    <w:p w14:paraId="1AB1903D" w14:textId="213A1EF7" w:rsidR="00C94CF7" w:rsidRDefault="00C94CF7" w:rsidP="004E5534">
      <w:pPr>
        <w:rPr>
          <w:rFonts w:eastAsia="Times New Roman" w:cs="Arial"/>
          <w:b/>
          <w:color w:val="000000" w:themeColor="text1"/>
          <w:szCs w:val="24"/>
          <w:lang w:eastAsia="en-GB"/>
        </w:rPr>
      </w:pPr>
      <w:r>
        <w:rPr>
          <w:rFonts w:eastAsia="Times New Roman" w:cs="Arial"/>
          <w:b/>
          <w:color w:val="000000" w:themeColor="text1"/>
          <w:szCs w:val="24"/>
          <w:lang w:eastAsia="en-GB"/>
        </w:rPr>
        <w:t xml:space="preserve">AGREED TO RECOMMEND, on the proposal of </w:t>
      </w:r>
      <w:r w:rsidR="00864362">
        <w:rPr>
          <w:rFonts w:eastAsia="Times New Roman" w:cs="Arial"/>
          <w:b/>
          <w:color w:val="000000" w:themeColor="text1"/>
          <w:szCs w:val="24"/>
          <w:lang w:eastAsia="en-GB"/>
        </w:rPr>
        <w:t>Alderman McIlveen</w:t>
      </w:r>
      <w:r>
        <w:rPr>
          <w:rFonts w:eastAsia="Times New Roman" w:cs="Arial"/>
          <w:b/>
          <w:color w:val="000000" w:themeColor="text1"/>
          <w:szCs w:val="24"/>
          <w:lang w:eastAsia="en-GB"/>
        </w:rPr>
        <w:t xml:space="preserve">, seconded by </w:t>
      </w:r>
      <w:r w:rsidR="00864362">
        <w:rPr>
          <w:rFonts w:eastAsia="Times New Roman" w:cs="Arial"/>
          <w:b/>
          <w:color w:val="000000" w:themeColor="text1"/>
          <w:szCs w:val="24"/>
          <w:lang w:eastAsia="en-GB"/>
        </w:rPr>
        <w:t>Councillor Thompson</w:t>
      </w:r>
      <w:r>
        <w:rPr>
          <w:rFonts w:eastAsia="Times New Roman" w:cs="Arial"/>
          <w:b/>
          <w:color w:val="000000" w:themeColor="text1"/>
          <w:szCs w:val="24"/>
          <w:lang w:eastAsia="en-GB"/>
        </w:rPr>
        <w:t xml:space="preserve">, that the public/press be excluded during the discussion of the undernoted items of confidential business. </w:t>
      </w:r>
    </w:p>
    <w:p w14:paraId="65CFB5F4" w14:textId="77777777" w:rsidR="004E5534" w:rsidRPr="00540198" w:rsidRDefault="004E5534" w:rsidP="004E5534">
      <w:pPr>
        <w:rPr>
          <w:rFonts w:eastAsia="Times New Roman" w:cs="Arial"/>
          <w:b/>
          <w:color w:val="000000" w:themeColor="text1"/>
          <w:szCs w:val="24"/>
          <w:lang w:eastAsia="en-GB"/>
        </w:rPr>
      </w:pPr>
    </w:p>
    <w:p w14:paraId="25B89D08" w14:textId="418CB51D" w:rsidR="004E5534" w:rsidRPr="008B4892" w:rsidRDefault="008B4892" w:rsidP="008B4892">
      <w:pPr>
        <w:pStyle w:val="Heading1"/>
        <w:ind w:left="720" w:hanging="720"/>
        <w:rPr>
          <w:u w:val="single"/>
        </w:rPr>
      </w:pPr>
      <w:r>
        <w:rPr>
          <w:rFonts w:eastAsia="Calibri"/>
        </w:rPr>
        <w:t>15.</w:t>
      </w:r>
      <w:r>
        <w:rPr>
          <w:rFonts w:eastAsia="Calibri"/>
        </w:rPr>
        <w:tab/>
      </w:r>
      <w:r w:rsidR="004E5534" w:rsidRPr="008B4892">
        <w:rPr>
          <w:rFonts w:eastAsia="Calibri"/>
          <w:u w:val="single"/>
        </w:rPr>
        <w:t>Renewal of Lease of Foreshore of Strangford Lough at Kircubbin</w:t>
      </w:r>
      <w:r w:rsidR="004E5534" w:rsidRPr="008B4892">
        <w:rPr>
          <w:u w:val="single"/>
        </w:rPr>
        <w:t xml:space="preserve"> </w:t>
      </w:r>
    </w:p>
    <w:p w14:paraId="23B7309C" w14:textId="21470BC1" w:rsidR="008B4892" w:rsidRPr="002F1D8D" w:rsidRDefault="002F1D8D" w:rsidP="008B4892">
      <w:pPr>
        <w:rPr>
          <w:rFonts w:eastAsia="Times New Roman" w:cs="Arial"/>
          <w:bCs/>
          <w:color w:val="000000" w:themeColor="text1"/>
          <w:szCs w:val="24"/>
          <w:lang w:eastAsia="en-GB"/>
        </w:rPr>
      </w:pPr>
      <w:r>
        <w:rPr>
          <w:rFonts w:eastAsia="Times New Roman" w:cs="Arial"/>
          <w:b/>
          <w:color w:val="000000" w:themeColor="text1"/>
          <w:szCs w:val="24"/>
          <w:lang w:eastAsia="en-GB"/>
        </w:rPr>
        <w:tab/>
      </w:r>
      <w:r w:rsidRPr="002F1D8D">
        <w:rPr>
          <w:rFonts w:eastAsia="Times New Roman" w:cs="Arial"/>
          <w:bCs/>
          <w:color w:val="000000" w:themeColor="text1"/>
          <w:szCs w:val="24"/>
          <w:lang w:eastAsia="en-GB"/>
        </w:rPr>
        <w:t>(Appendices</w:t>
      </w:r>
      <w:r>
        <w:rPr>
          <w:rFonts w:eastAsia="Times New Roman" w:cs="Arial"/>
          <w:bCs/>
          <w:color w:val="000000" w:themeColor="text1"/>
          <w:szCs w:val="24"/>
          <w:lang w:eastAsia="en-GB"/>
        </w:rPr>
        <w:t xml:space="preserve"> XIV, XV)</w:t>
      </w:r>
    </w:p>
    <w:p w14:paraId="4EA121F1" w14:textId="77777777" w:rsidR="002F1D8D" w:rsidRPr="00540198" w:rsidRDefault="002F1D8D" w:rsidP="008B4892">
      <w:pPr>
        <w:rPr>
          <w:rFonts w:eastAsia="Times New Roman" w:cs="Arial"/>
          <w:b/>
          <w:color w:val="000000" w:themeColor="text1"/>
          <w:szCs w:val="24"/>
          <w:lang w:eastAsia="en-GB"/>
        </w:rPr>
      </w:pPr>
    </w:p>
    <w:p w14:paraId="45D08ABE"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0B997D39" w14:textId="77777777" w:rsidR="000C11CF" w:rsidRPr="003E1193" w:rsidRDefault="000C11CF" w:rsidP="000C11CF">
      <w:pPr>
        <w:shd w:val="clear" w:color="auto" w:fill="FFFFFF"/>
        <w:rPr>
          <w:rFonts w:eastAsia="Times New Roman" w:cs="Arial"/>
          <w:szCs w:val="24"/>
        </w:rPr>
      </w:pPr>
    </w:p>
    <w:p w14:paraId="0FFAEB9F" w14:textId="77777777" w:rsidR="000C11CF" w:rsidRDefault="000C11CF" w:rsidP="000C11CF">
      <w:pPr>
        <w:rPr>
          <w:rFonts w:cs="Arial"/>
          <w:b/>
          <w:bCs/>
          <w:szCs w:val="24"/>
        </w:rPr>
      </w:pPr>
      <w:r w:rsidRPr="003E1193">
        <w:rPr>
          <w:rFonts w:cs="Arial"/>
          <w:b/>
          <w:bCs/>
          <w:szCs w:val="24"/>
        </w:rPr>
        <w:t xml:space="preserve">NOT FOR PUBLICATION </w:t>
      </w:r>
    </w:p>
    <w:p w14:paraId="041A4182" w14:textId="77777777" w:rsidR="000C11CF" w:rsidRDefault="000C11CF" w:rsidP="000C11CF">
      <w:pPr>
        <w:rPr>
          <w:rFonts w:cs="Arial"/>
          <w:b/>
          <w:bCs/>
          <w:szCs w:val="24"/>
        </w:rPr>
      </w:pPr>
    </w:p>
    <w:p w14:paraId="1A65B87E" w14:textId="282DE797" w:rsidR="000C11CF" w:rsidRPr="003E1193" w:rsidRDefault="000C11CF" w:rsidP="000C11CF">
      <w:pPr>
        <w:rPr>
          <w:rFonts w:cs="Arial"/>
          <w:b/>
          <w:bCs/>
          <w:szCs w:val="24"/>
        </w:rPr>
      </w:pPr>
      <w:r w:rsidRPr="003E1193">
        <w:rPr>
          <w:rFonts w:cs="Arial"/>
          <w:b/>
          <w:bCs/>
          <w:szCs w:val="24"/>
        </w:rPr>
        <w:t>SCHEDULE 6 – INFORMATION RELATING TO THE FINANCIAL OR BUSINESS AFFAIRS OF ANY PARTICULAR PERSON (INCLUDING THE COUNCIL HOLDING THAT INFORMATION)</w:t>
      </w:r>
    </w:p>
    <w:p w14:paraId="4B6389DF" w14:textId="77777777" w:rsidR="000C11CF" w:rsidRPr="003E1193" w:rsidRDefault="000C11CF" w:rsidP="000C11CF">
      <w:pPr>
        <w:rPr>
          <w:rFonts w:cs="Arial"/>
          <w:szCs w:val="24"/>
        </w:rPr>
      </w:pPr>
    </w:p>
    <w:p w14:paraId="44AD1085" w14:textId="77777777" w:rsidR="000C11CF" w:rsidRPr="003E1193" w:rsidRDefault="000C11CF" w:rsidP="000C11CF">
      <w:pPr>
        <w:rPr>
          <w:rFonts w:cs="Arial"/>
          <w:color w:val="000000" w:themeColor="text1"/>
          <w:szCs w:val="24"/>
        </w:rPr>
      </w:pPr>
      <w:r w:rsidRPr="003E1193">
        <w:rPr>
          <w:rFonts w:cs="Arial"/>
          <w:color w:val="000000" w:themeColor="text1"/>
          <w:szCs w:val="24"/>
        </w:rPr>
        <w:t xml:space="preserve">The Council as lessee was asked to agree to renew the Lease of the foreshore of Strangford Lough in Kircubbin.  It was recommended that the Council acceded to the request.  </w:t>
      </w:r>
    </w:p>
    <w:p w14:paraId="3E5F965C" w14:textId="77777777" w:rsidR="000C11CF" w:rsidRPr="003E1193" w:rsidRDefault="000C11CF" w:rsidP="000C11CF">
      <w:pPr>
        <w:rPr>
          <w:rFonts w:cs="Arial"/>
          <w:szCs w:val="24"/>
        </w:rPr>
      </w:pPr>
    </w:p>
    <w:p w14:paraId="74180B4E" w14:textId="280C88B5" w:rsidR="000C11CF" w:rsidRDefault="000C11CF" w:rsidP="000C11CF">
      <w:pPr>
        <w:shd w:val="clear" w:color="auto" w:fill="FFFFFF"/>
        <w:rPr>
          <w:rFonts w:eastAsia="Times New Roman" w:cs="Arial"/>
          <w:szCs w:val="24"/>
        </w:rPr>
      </w:pPr>
      <w:r w:rsidRPr="003E1193">
        <w:rPr>
          <w:rFonts w:eastAsia="Times New Roman" w:cs="Arial"/>
          <w:szCs w:val="24"/>
        </w:rPr>
        <w:t xml:space="preserve">The recommendation was </w:t>
      </w:r>
      <w:r>
        <w:rPr>
          <w:rFonts w:eastAsia="Times New Roman" w:cs="Arial"/>
          <w:szCs w:val="24"/>
        </w:rPr>
        <w:t xml:space="preserve">agreed. </w:t>
      </w:r>
    </w:p>
    <w:p w14:paraId="2F2C384E" w14:textId="77777777" w:rsidR="008B4892" w:rsidRDefault="008B4892" w:rsidP="008B4892">
      <w:pPr>
        <w:rPr>
          <w:rFonts w:eastAsia="Calibri" w:cs="Arial"/>
          <w:color w:val="000000" w:themeColor="text1"/>
          <w:szCs w:val="24"/>
        </w:rPr>
      </w:pPr>
    </w:p>
    <w:p w14:paraId="2576C56D" w14:textId="5B837B77" w:rsidR="008B4892" w:rsidRDefault="008B4892" w:rsidP="008B4892">
      <w:pPr>
        <w:pStyle w:val="Heading1"/>
        <w:ind w:left="720" w:hanging="720"/>
        <w:rPr>
          <w:rFonts w:eastAsia="Calibri"/>
        </w:rPr>
      </w:pPr>
      <w:r>
        <w:rPr>
          <w:rFonts w:eastAsia="Calibri"/>
        </w:rPr>
        <w:t>16.</w:t>
      </w:r>
      <w:r>
        <w:rPr>
          <w:rFonts w:eastAsia="Calibri"/>
        </w:rPr>
        <w:tab/>
      </w:r>
      <w:r w:rsidR="004E5534" w:rsidRPr="008B4892">
        <w:rPr>
          <w:rFonts w:eastAsia="Calibri"/>
          <w:u w:val="single"/>
        </w:rPr>
        <w:t>Lease of Foreshore in Bangor Bay and Grant of Licence to Bangor Marine to start works at Queens Parade, Bangor</w:t>
      </w:r>
      <w:r w:rsidR="004E5534" w:rsidRPr="008B4892">
        <w:rPr>
          <w:rFonts w:eastAsia="Calibri"/>
        </w:rPr>
        <w:t xml:space="preserve"> </w:t>
      </w:r>
    </w:p>
    <w:p w14:paraId="370849E1" w14:textId="63AFD5C4" w:rsidR="008B4892" w:rsidRDefault="002F1D8D" w:rsidP="008B4892">
      <w:r>
        <w:tab/>
        <w:t>(Appendices XVI, XVII)</w:t>
      </w:r>
    </w:p>
    <w:p w14:paraId="7312D260" w14:textId="77777777" w:rsidR="002F1D8D" w:rsidRPr="008B4892" w:rsidRDefault="002F1D8D" w:rsidP="008B4892"/>
    <w:p w14:paraId="5880AD41"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6DB46C98" w14:textId="77777777" w:rsidR="000C11CF" w:rsidRPr="007E4A68" w:rsidRDefault="000C11CF" w:rsidP="000C11CF">
      <w:pPr>
        <w:shd w:val="clear" w:color="auto" w:fill="FFFFFF"/>
        <w:rPr>
          <w:rFonts w:eastAsia="Times New Roman" w:cs="Arial"/>
          <w:szCs w:val="24"/>
        </w:rPr>
      </w:pPr>
    </w:p>
    <w:p w14:paraId="2BDDDECD" w14:textId="77777777" w:rsidR="000C11CF" w:rsidRDefault="000C11CF" w:rsidP="000C11CF">
      <w:pPr>
        <w:rPr>
          <w:rFonts w:cs="Arial"/>
          <w:b/>
          <w:bCs/>
          <w:szCs w:val="24"/>
        </w:rPr>
      </w:pPr>
      <w:r w:rsidRPr="007E4A68">
        <w:rPr>
          <w:rFonts w:cs="Arial"/>
          <w:b/>
          <w:bCs/>
          <w:szCs w:val="24"/>
        </w:rPr>
        <w:t xml:space="preserve">NOT FOR PUBLICATION </w:t>
      </w:r>
    </w:p>
    <w:p w14:paraId="5061D5DD" w14:textId="77777777" w:rsidR="000C11CF" w:rsidRDefault="000C11CF" w:rsidP="000C11CF">
      <w:pPr>
        <w:rPr>
          <w:rFonts w:cs="Arial"/>
          <w:b/>
          <w:bCs/>
          <w:szCs w:val="24"/>
        </w:rPr>
      </w:pPr>
    </w:p>
    <w:p w14:paraId="3DB6E633" w14:textId="79B92F8B" w:rsidR="000C11CF" w:rsidRPr="007E4A68" w:rsidRDefault="000C11CF" w:rsidP="000C11CF">
      <w:pPr>
        <w:rPr>
          <w:rFonts w:cs="Arial"/>
          <w:b/>
          <w:bCs/>
          <w:szCs w:val="24"/>
        </w:rPr>
      </w:pPr>
      <w:r w:rsidRPr="007E4A68">
        <w:rPr>
          <w:rFonts w:cs="Arial"/>
          <w:b/>
          <w:bCs/>
          <w:szCs w:val="24"/>
        </w:rPr>
        <w:t>SCHEDULE 6 – INFORMATION RELATING TO THE FINANCIAL OR BUSINESS AFFAIRS OF ANY PARTICULAR PERSON (INCLUDING THE COUNCIL HOLDING THAT INFORMATION)</w:t>
      </w:r>
    </w:p>
    <w:p w14:paraId="2CAA0A6B" w14:textId="77777777" w:rsidR="000C11CF" w:rsidRPr="007E4A68" w:rsidRDefault="000C11CF" w:rsidP="000C11CF">
      <w:pPr>
        <w:rPr>
          <w:rFonts w:cs="Arial"/>
          <w:szCs w:val="24"/>
        </w:rPr>
      </w:pPr>
    </w:p>
    <w:p w14:paraId="125E8730" w14:textId="77777777" w:rsidR="000C11CF" w:rsidRPr="007E4A68" w:rsidRDefault="000C11CF" w:rsidP="000C11CF">
      <w:pPr>
        <w:rPr>
          <w:rFonts w:cs="Arial"/>
          <w:color w:val="000000" w:themeColor="text1"/>
          <w:szCs w:val="24"/>
        </w:rPr>
      </w:pPr>
      <w:r w:rsidRPr="007E4A68">
        <w:rPr>
          <w:rFonts w:cs="Arial"/>
          <w:color w:val="000000" w:themeColor="text1"/>
          <w:szCs w:val="24"/>
        </w:rPr>
        <w:t xml:space="preserve">The Council leases the Foreshore at Bangor Bay. The Lease to the Council provides for 5 yearly rent reviews.  The Council was asked to approve the new rent that has been revised and recommended by its independent valuer.  It was recommended that the Council accedes to the request. </w:t>
      </w:r>
    </w:p>
    <w:p w14:paraId="4F74E785" w14:textId="77777777" w:rsidR="000C11CF" w:rsidRPr="007E4A68" w:rsidRDefault="000C11CF" w:rsidP="000C11CF">
      <w:pPr>
        <w:rPr>
          <w:rFonts w:cs="Arial"/>
          <w:szCs w:val="24"/>
        </w:rPr>
      </w:pPr>
    </w:p>
    <w:p w14:paraId="52E2C42A" w14:textId="5B877E53" w:rsidR="000C11CF" w:rsidRDefault="000C11CF" w:rsidP="000C11CF">
      <w:pPr>
        <w:shd w:val="clear" w:color="auto" w:fill="FFFFFF"/>
        <w:rPr>
          <w:rFonts w:eastAsia="Times New Roman" w:cs="Arial"/>
          <w:szCs w:val="24"/>
        </w:rPr>
      </w:pPr>
      <w:r w:rsidRPr="007E4A68">
        <w:rPr>
          <w:rFonts w:eastAsia="Times New Roman" w:cs="Arial"/>
          <w:szCs w:val="24"/>
        </w:rPr>
        <w:t>The recommendation was</w:t>
      </w:r>
      <w:r>
        <w:rPr>
          <w:rFonts w:eastAsia="Times New Roman" w:cs="Arial"/>
          <w:szCs w:val="24"/>
        </w:rPr>
        <w:t xml:space="preserve"> agreed. </w:t>
      </w:r>
    </w:p>
    <w:p w14:paraId="72062768" w14:textId="77777777" w:rsidR="000C11CF" w:rsidRPr="000C11CF" w:rsidRDefault="000C11CF" w:rsidP="000C11CF">
      <w:pPr>
        <w:rPr>
          <w:rFonts w:eastAsia="Calibri" w:cs="Arial"/>
          <w:color w:val="000000" w:themeColor="text1"/>
          <w:szCs w:val="24"/>
        </w:rPr>
      </w:pPr>
    </w:p>
    <w:p w14:paraId="154EE548" w14:textId="45AE3DF8" w:rsidR="008B4892" w:rsidRDefault="008B4892" w:rsidP="008B4892">
      <w:pPr>
        <w:pStyle w:val="Heading1"/>
        <w:ind w:left="720" w:hanging="720"/>
        <w:rPr>
          <w:rFonts w:eastAsia="Calibri"/>
          <w:u w:val="single"/>
        </w:rPr>
      </w:pPr>
      <w:r>
        <w:rPr>
          <w:rFonts w:eastAsia="Calibri"/>
        </w:rPr>
        <w:t>17.</w:t>
      </w:r>
      <w:r>
        <w:rPr>
          <w:rFonts w:eastAsia="Calibri"/>
        </w:rPr>
        <w:tab/>
      </w:r>
      <w:r w:rsidR="004E5534" w:rsidRPr="008B4892">
        <w:rPr>
          <w:rFonts w:eastAsia="Calibri"/>
          <w:u w:val="single"/>
        </w:rPr>
        <w:t xml:space="preserve">Request to install a water monitoring buoy - Cook Street Jetty </w:t>
      </w:r>
    </w:p>
    <w:p w14:paraId="46034EB8" w14:textId="0DD0C742" w:rsidR="008B4892" w:rsidRPr="00C24B47" w:rsidRDefault="00C24B47" w:rsidP="008B4892">
      <w:pPr>
        <w:rPr>
          <w:rFonts w:cs="Arial"/>
          <w:szCs w:val="24"/>
        </w:rPr>
      </w:pPr>
      <w:r w:rsidRPr="00C24B47">
        <w:rPr>
          <w:rFonts w:cs="Arial"/>
          <w:szCs w:val="24"/>
        </w:rPr>
        <w:tab/>
        <w:t xml:space="preserve">(Appendices </w:t>
      </w:r>
      <w:r w:rsidR="002F1D8D">
        <w:rPr>
          <w:rFonts w:cs="Arial"/>
          <w:szCs w:val="24"/>
        </w:rPr>
        <w:t>XIX, XX</w:t>
      </w:r>
      <w:r w:rsidRPr="00C24B47">
        <w:rPr>
          <w:rFonts w:cs="Arial"/>
          <w:szCs w:val="24"/>
        </w:rPr>
        <w:t>)</w:t>
      </w:r>
    </w:p>
    <w:p w14:paraId="61584E89" w14:textId="77777777" w:rsidR="00C24B47" w:rsidRPr="008B4892" w:rsidRDefault="00C24B47" w:rsidP="008B4892"/>
    <w:p w14:paraId="0EBEB83A"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7058AF6D" w14:textId="77777777" w:rsidR="008B4892" w:rsidRPr="000C11CF" w:rsidRDefault="008B4892" w:rsidP="00C24B47">
      <w:pPr>
        <w:rPr>
          <w:rFonts w:cs="Arial"/>
          <w:b/>
          <w:bCs/>
          <w:color w:val="000000" w:themeColor="text1"/>
          <w:szCs w:val="24"/>
        </w:rPr>
      </w:pPr>
    </w:p>
    <w:p w14:paraId="1310A012" w14:textId="70C178B8" w:rsidR="000C11CF" w:rsidRDefault="000C11CF" w:rsidP="00C24B47">
      <w:pPr>
        <w:rPr>
          <w:rFonts w:cs="Arial"/>
          <w:b/>
          <w:bCs/>
          <w:color w:val="000000" w:themeColor="text1"/>
          <w:szCs w:val="24"/>
        </w:rPr>
      </w:pPr>
      <w:r w:rsidRPr="000C11CF">
        <w:rPr>
          <w:rFonts w:cs="Arial"/>
          <w:b/>
          <w:bCs/>
          <w:color w:val="000000" w:themeColor="text1"/>
          <w:szCs w:val="24"/>
        </w:rPr>
        <w:t>NOT FOR PUBLICATION</w:t>
      </w:r>
    </w:p>
    <w:p w14:paraId="6031AE4D" w14:textId="77777777" w:rsidR="000C11CF" w:rsidRPr="000C11CF" w:rsidRDefault="000C11CF" w:rsidP="00C24B47">
      <w:pPr>
        <w:rPr>
          <w:rFonts w:cs="Arial"/>
          <w:b/>
          <w:bCs/>
          <w:color w:val="000000" w:themeColor="text1"/>
          <w:szCs w:val="24"/>
        </w:rPr>
      </w:pPr>
    </w:p>
    <w:p w14:paraId="1D7CD6B6" w14:textId="54D556C3" w:rsidR="000C11CF" w:rsidRPr="007037CF" w:rsidRDefault="000C11CF" w:rsidP="000C11CF">
      <w:pPr>
        <w:rPr>
          <w:rFonts w:cs="Arial"/>
          <w:b/>
          <w:bCs/>
          <w:szCs w:val="24"/>
        </w:rPr>
      </w:pPr>
      <w:r>
        <w:rPr>
          <w:rFonts w:cs="Arial"/>
          <w:b/>
          <w:bCs/>
          <w:szCs w:val="24"/>
        </w:rPr>
        <w:t xml:space="preserve">SCHEDULE </w:t>
      </w:r>
      <w:r w:rsidRPr="007037CF">
        <w:rPr>
          <w:rFonts w:cs="Arial"/>
          <w:b/>
          <w:bCs/>
          <w:szCs w:val="24"/>
        </w:rPr>
        <w:t>6. – INFORMATION RELATING TO THE FINANCIAL OR BUSINESS AFFAIRS OF ANY PARTICULAR PERSON (INCLUDING THE COUNCIL HOLDING THAT INFORMATION)</w:t>
      </w:r>
    </w:p>
    <w:p w14:paraId="5945BDE3" w14:textId="77777777" w:rsidR="000C11CF" w:rsidRPr="007037CF" w:rsidRDefault="000C11CF" w:rsidP="000C11CF">
      <w:pPr>
        <w:rPr>
          <w:rFonts w:cs="Arial"/>
          <w:szCs w:val="24"/>
        </w:rPr>
      </w:pPr>
    </w:p>
    <w:p w14:paraId="63928906" w14:textId="77777777" w:rsidR="000C11CF" w:rsidRPr="007037CF" w:rsidRDefault="000C11CF" w:rsidP="000C11CF">
      <w:pPr>
        <w:rPr>
          <w:rFonts w:cs="Arial"/>
          <w:color w:val="000000" w:themeColor="text1"/>
          <w:szCs w:val="24"/>
        </w:rPr>
      </w:pPr>
      <w:r w:rsidRPr="007037CF">
        <w:rPr>
          <w:rFonts w:cs="Arial"/>
          <w:color w:val="000000" w:themeColor="text1"/>
          <w:szCs w:val="24"/>
        </w:rPr>
        <w:t xml:space="preserve">The Council was asked to approve a request to install at water buoy at Cook Street Jetty.  It was recommended that the Council acceded to the request.  </w:t>
      </w:r>
    </w:p>
    <w:p w14:paraId="079FAA09" w14:textId="77777777" w:rsidR="000C11CF" w:rsidRPr="007037CF" w:rsidRDefault="000C11CF" w:rsidP="000C11CF">
      <w:pPr>
        <w:rPr>
          <w:rFonts w:cs="Arial"/>
          <w:szCs w:val="24"/>
        </w:rPr>
      </w:pPr>
    </w:p>
    <w:p w14:paraId="74818F66" w14:textId="652D1129" w:rsidR="000C11CF" w:rsidRPr="000C11CF" w:rsidRDefault="000C11CF" w:rsidP="000C11CF">
      <w:pPr>
        <w:shd w:val="clear" w:color="auto" w:fill="FFFFFF"/>
        <w:rPr>
          <w:rFonts w:eastAsia="Times New Roman" w:cs="Arial"/>
          <w:szCs w:val="24"/>
        </w:rPr>
      </w:pPr>
      <w:r w:rsidRPr="007037CF">
        <w:rPr>
          <w:rFonts w:eastAsia="Times New Roman" w:cs="Arial"/>
          <w:szCs w:val="24"/>
        </w:rPr>
        <w:t xml:space="preserve">The recommendation was </w:t>
      </w:r>
      <w:r>
        <w:rPr>
          <w:rFonts w:eastAsia="Times New Roman" w:cs="Arial"/>
          <w:szCs w:val="24"/>
        </w:rPr>
        <w:t xml:space="preserve">agreed. </w:t>
      </w:r>
    </w:p>
    <w:p w14:paraId="77E168C2" w14:textId="77777777" w:rsidR="000C11CF" w:rsidRPr="00540198" w:rsidRDefault="000C11CF" w:rsidP="004E5534">
      <w:pPr>
        <w:contextualSpacing/>
        <w:rPr>
          <w:rFonts w:cs="Arial"/>
          <w:b/>
          <w:color w:val="000000" w:themeColor="text1"/>
          <w:szCs w:val="24"/>
          <w:u w:val="single"/>
        </w:rPr>
      </w:pPr>
    </w:p>
    <w:p w14:paraId="6B250D23" w14:textId="71CE714F" w:rsidR="004E5534" w:rsidRPr="008B4892" w:rsidRDefault="008B4892" w:rsidP="008B4892">
      <w:pPr>
        <w:pStyle w:val="Heading1"/>
      </w:pPr>
      <w:r>
        <w:rPr>
          <w:rFonts w:eastAsia="Calibri"/>
        </w:rPr>
        <w:t>18.</w:t>
      </w:r>
      <w:r>
        <w:rPr>
          <w:rFonts w:eastAsia="Calibri"/>
        </w:rPr>
        <w:tab/>
      </w:r>
      <w:r w:rsidR="004E5534" w:rsidRPr="008B4892">
        <w:rPr>
          <w:rFonts w:eastAsia="Calibri"/>
          <w:u w:val="single"/>
        </w:rPr>
        <w:t xml:space="preserve">Estimates </w:t>
      </w:r>
      <w:r w:rsidR="004E5534" w:rsidRPr="000D6F60">
        <w:rPr>
          <w:rFonts w:eastAsia="Calibri"/>
          <w:u w:val="single"/>
        </w:rPr>
        <w:t xml:space="preserve">Update </w:t>
      </w:r>
      <w:r w:rsidR="000D6F60" w:rsidRPr="000D6F60">
        <w:rPr>
          <w:rFonts w:eastAsia="Calibri"/>
          <w:u w:val="single"/>
        </w:rPr>
        <w:t>(FIN166)</w:t>
      </w:r>
    </w:p>
    <w:p w14:paraId="51F3DD10" w14:textId="628550CF" w:rsidR="008B4892" w:rsidRPr="00585CFF" w:rsidRDefault="00585CFF" w:rsidP="008B4892">
      <w:pPr>
        <w:rPr>
          <w:rFonts w:eastAsia="Times New Roman" w:cs="Arial"/>
          <w:bCs/>
          <w:color w:val="000000" w:themeColor="text1"/>
          <w:szCs w:val="24"/>
          <w:lang w:eastAsia="en-GB"/>
        </w:rPr>
      </w:pPr>
      <w:r>
        <w:rPr>
          <w:rFonts w:eastAsia="Times New Roman" w:cs="Arial"/>
          <w:b/>
          <w:color w:val="000000" w:themeColor="text1"/>
          <w:szCs w:val="24"/>
          <w:lang w:eastAsia="en-GB"/>
        </w:rPr>
        <w:tab/>
      </w:r>
      <w:r w:rsidRPr="00585CFF">
        <w:rPr>
          <w:rFonts w:eastAsia="Times New Roman" w:cs="Arial"/>
          <w:bCs/>
          <w:color w:val="000000" w:themeColor="text1"/>
          <w:szCs w:val="24"/>
          <w:lang w:eastAsia="en-GB"/>
        </w:rPr>
        <w:t xml:space="preserve">(Appendix </w:t>
      </w:r>
      <w:r w:rsidR="002F1D8D">
        <w:rPr>
          <w:rFonts w:eastAsia="Times New Roman" w:cs="Arial"/>
          <w:bCs/>
          <w:color w:val="000000" w:themeColor="text1"/>
          <w:szCs w:val="24"/>
          <w:lang w:eastAsia="en-GB"/>
        </w:rPr>
        <w:t>XXI</w:t>
      </w:r>
      <w:r w:rsidRPr="00585CFF">
        <w:rPr>
          <w:rFonts w:eastAsia="Times New Roman" w:cs="Arial"/>
          <w:bCs/>
          <w:color w:val="000000" w:themeColor="text1"/>
          <w:szCs w:val="24"/>
          <w:lang w:eastAsia="en-GB"/>
        </w:rPr>
        <w:t>)</w:t>
      </w:r>
    </w:p>
    <w:p w14:paraId="46F4F117" w14:textId="77777777" w:rsidR="00585CFF" w:rsidRPr="00540198" w:rsidRDefault="00585CFF" w:rsidP="008B4892">
      <w:pPr>
        <w:rPr>
          <w:rFonts w:eastAsia="Times New Roman" w:cs="Arial"/>
          <w:b/>
          <w:color w:val="000000" w:themeColor="text1"/>
          <w:szCs w:val="24"/>
          <w:lang w:eastAsia="en-GB"/>
        </w:rPr>
      </w:pPr>
    </w:p>
    <w:p w14:paraId="13749997"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4CD99347" w14:textId="77777777" w:rsidR="008B4892" w:rsidRDefault="008B4892" w:rsidP="00585CFF">
      <w:pPr>
        <w:rPr>
          <w:rFonts w:cs="Arial"/>
          <w:caps/>
          <w:color w:val="000000" w:themeColor="text1"/>
          <w:szCs w:val="24"/>
        </w:rPr>
      </w:pPr>
    </w:p>
    <w:p w14:paraId="4D247AF8" w14:textId="08DA0BF5" w:rsidR="000C11CF" w:rsidRPr="000C11CF" w:rsidRDefault="000C11CF" w:rsidP="00585CFF">
      <w:pPr>
        <w:rPr>
          <w:rFonts w:cs="Arial"/>
          <w:b/>
          <w:bCs/>
          <w:caps/>
          <w:color w:val="000000" w:themeColor="text1"/>
          <w:szCs w:val="24"/>
        </w:rPr>
      </w:pPr>
      <w:r w:rsidRPr="000C11CF">
        <w:rPr>
          <w:rFonts w:cs="Arial"/>
          <w:b/>
          <w:bCs/>
          <w:caps/>
          <w:color w:val="000000" w:themeColor="text1"/>
          <w:szCs w:val="24"/>
        </w:rPr>
        <w:t xml:space="preserve">NOT FOR PUBLICATION </w:t>
      </w:r>
    </w:p>
    <w:p w14:paraId="72BED542" w14:textId="77777777" w:rsidR="000C11CF" w:rsidRDefault="000C11CF" w:rsidP="00585CFF">
      <w:pPr>
        <w:rPr>
          <w:rFonts w:cs="Arial"/>
          <w:caps/>
          <w:color w:val="000000" w:themeColor="text1"/>
          <w:szCs w:val="24"/>
        </w:rPr>
      </w:pPr>
    </w:p>
    <w:p w14:paraId="3F7ADA36" w14:textId="5D37D73E" w:rsidR="000C11CF" w:rsidRPr="000C11CF" w:rsidRDefault="000C11CF" w:rsidP="00585CFF">
      <w:pPr>
        <w:rPr>
          <w:rFonts w:cs="Arial"/>
          <w:b/>
          <w:bCs/>
          <w:caps/>
          <w:color w:val="000000" w:themeColor="text1"/>
          <w:szCs w:val="24"/>
        </w:rPr>
      </w:pPr>
      <w:r w:rsidRPr="000C11CF">
        <w:rPr>
          <w:rFonts w:cs="Arial"/>
          <w:b/>
          <w:bCs/>
          <w:caps/>
          <w:color w:val="000000" w:themeColor="text1"/>
          <w:szCs w:val="24"/>
        </w:rPr>
        <w:t xml:space="preserve">Schedule 6:4 Consultations or negotiations. </w:t>
      </w:r>
    </w:p>
    <w:p w14:paraId="3DA7F153" w14:textId="2B23A208" w:rsidR="000C11CF" w:rsidRPr="000C11CF" w:rsidRDefault="000C11CF" w:rsidP="000C11CF">
      <w:pPr>
        <w:rPr>
          <w:rFonts w:eastAsia="Times New Roman" w:cs="Arial"/>
          <w:b/>
          <w:szCs w:val="24"/>
          <w:lang w:eastAsia="en-GB"/>
        </w:rPr>
      </w:pPr>
    </w:p>
    <w:p w14:paraId="2068D9FD" w14:textId="131592A8" w:rsidR="000C11CF" w:rsidRPr="00275308" w:rsidRDefault="000C11CF" w:rsidP="000C11CF">
      <w:pPr>
        <w:shd w:val="clear" w:color="auto" w:fill="FFFFFF"/>
        <w:rPr>
          <w:rFonts w:eastAsia="Times New Roman" w:cs="Arial"/>
          <w:bCs/>
          <w:szCs w:val="24"/>
          <w:lang w:eastAsia="en-GB"/>
        </w:rPr>
      </w:pPr>
      <w:r w:rsidRPr="00275308">
        <w:rPr>
          <w:rFonts w:eastAsia="Times New Roman" w:cs="Arial"/>
          <w:bCs/>
          <w:szCs w:val="24"/>
          <w:lang w:eastAsia="en-GB"/>
        </w:rPr>
        <w:t>Council was asked to consider an update from officers on the major areas of expenditure for the estimates process that will set the budget for the 2025/26 financial year.</w:t>
      </w:r>
    </w:p>
    <w:p w14:paraId="717F7C80" w14:textId="77777777" w:rsidR="000C11CF" w:rsidRPr="00275308" w:rsidRDefault="000C11CF" w:rsidP="000C11CF">
      <w:pPr>
        <w:shd w:val="clear" w:color="auto" w:fill="FFFFFF"/>
        <w:rPr>
          <w:rFonts w:eastAsia="Times New Roman" w:cs="Arial"/>
          <w:bCs/>
          <w:szCs w:val="24"/>
          <w:lang w:eastAsia="en-GB"/>
        </w:rPr>
      </w:pPr>
    </w:p>
    <w:p w14:paraId="42D8202E" w14:textId="77777777" w:rsidR="000C11CF" w:rsidRPr="00275308" w:rsidRDefault="000C11CF" w:rsidP="000C11CF">
      <w:pPr>
        <w:shd w:val="clear" w:color="auto" w:fill="FFFFFF"/>
        <w:rPr>
          <w:rFonts w:eastAsia="Times New Roman" w:cs="Arial"/>
          <w:bCs/>
          <w:szCs w:val="24"/>
          <w:lang w:eastAsia="en-GB"/>
        </w:rPr>
      </w:pPr>
      <w:r w:rsidRPr="00275308">
        <w:rPr>
          <w:rFonts w:eastAsia="Times New Roman" w:cs="Arial"/>
          <w:bCs/>
          <w:szCs w:val="24"/>
          <w:lang w:eastAsia="en-GB"/>
        </w:rPr>
        <w:t>The recommendation was to note the report.</w:t>
      </w:r>
    </w:p>
    <w:p w14:paraId="415417FC" w14:textId="77777777" w:rsidR="003C7B4C" w:rsidRPr="00B25428" w:rsidRDefault="003C7B4C" w:rsidP="008B4892">
      <w:pPr>
        <w:rPr>
          <w:rFonts w:cs="Arial"/>
          <w:b/>
          <w:bCs/>
          <w:color w:val="000000" w:themeColor="text1"/>
          <w:szCs w:val="24"/>
        </w:rPr>
      </w:pPr>
    </w:p>
    <w:p w14:paraId="53C32365" w14:textId="030787BF" w:rsidR="004E5534" w:rsidRPr="008B4892" w:rsidRDefault="008B4892" w:rsidP="008B4892">
      <w:pPr>
        <w:pStyle w:val="Heading1"/>
        <w:ind w:left="720" w:hanging="720"/>
      </w:pPr>
      <w:r>
        <w:rPr>
          <w:rFonts w:eastAsia="Calibri"/>
        </w:rPr>
        <w:t>19.</w:t>
      </w:r>
      <w:r>
        <w:rPr>
          <w:rFonts w:eastAsia="Calibri"/>
        </w:rPr>
        <w:tab/>
      </w:r>
      <w:r w:rsidR="004E5534" w:rsidRPr="008B4892">
        <w:rPr>
          <w:rFonts w:eastAsia="Calibri"/>
          <w:u w:val="single"/>
        </w:rPr>
        <w:t>ANDBC Absence Report - 1 July 2024 - 30 September 2024</w:t>
      </w:r>
      <w:r w:rsidR="004E5534" w:rsidRPr="008B4892">
        <w:rPr>
          <w:rFonts w:eastAsia="Calibri"/>
        </w:rPr>
        <w:t xml:space="preserve"> </w:t>
      </w:r>
    </w:p>
    <w:p w14:paraId="7B34E31C" w14:textId="009AC322" w:rsidR="008B4892" w:rsidRPr="002F1D8D" w:rsidRDefault="002F1D8D" w:rsidP="008B4892">
      <w:pPr>
        <w:rPr>
          <w:rFonts w:eastAsia="Times New Roman" w:cs="Arial"/>
          <w:bCs/>
          <w:color w:val="000000" w:themeColor="text1"/>
          <w:szCs w:val="24"/>
          <w:lang w:eastAsia="en-GB"/>
        </w:rPr>
      </w:pPr>
      <w:r w:rsidRPr="002F1D8D">
        <w:rPr>
          <w:rFonts w:eastAsia="Times New Roman" w:cs="Arial"/>
          <w:bCs/>
          <w:color w:val="000000" w:themeColor="text1"/>
          <w:szCs w:val="24"/>
          <w:lang w:eastAsia="en-GB"/>
        </w:rPr>
        <w:tab/>
        <w:t>(Appendices XXII, XXIII)</w:t>
      </w:r>
    </w:p>
    <w:p w14:paraId="77F8D495" w14:textId="77777777" w:rsidR="002F1D8D" w:rsidRPr="00540198" w:rsidRDefault="002F1D8D" w:rsidP="008B4892">
      <w:pPr>
        <w:rPr>
          <w:rFonts w:eastAsia="Times New Roman" w:cs="Arial"/>
          <w:b/>
          <w:color w:val="000000" w:themeColor="text1"/>
          <w:szCs w:val="24"/>
          <w:lang w:eastAsia="en-GB"/>
        </w:rPr>
      </w:pPr>
    </w:p>
    <w:p w14:paraId="36F99E49"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16E3ACB8" w14:textId="77777777" w:rsidR="00B540B9" w:rsidRDefault="00B540B9" w:rsidP="00EF661B">
      <w:pPr>
        <w:rPr>
          <w:rFonts w:cs="Arial"/>
          <w:caps/>
          <w:color w:val="000000" w:themeColor="text1"/>
          <w:szCs w:val="24"/>
        </w:rPr>
      </w:pPr>
    </w:p>
    <w:p w14:paraId="348AEF9F" w14:textId="579D9BB8" w:rsidR="000C11CF" w:rsidRPr="000C11CF" w:rsidRDefault="000C11CF" w:rsidP="00EF661B">
      <w:pPr>
        <w:rPr>
          <w:rFonts w:cs="Arial"/>
          <w:b/>
          <w:bCs/>
          <w:caps/>
          <w:color w:val="000000" w:themeColor="text1"/>
          <w:szCs w:val="24"/>
        </w:rPr>
      </w:pPr>
      <w:r w:rsidRPr="000C11CF">
        <w:rPr>
          <w:rFonts w:cs="Arial"/>
          <w:b/>
          <w:bCs/>
          <w:caps/>
          <w:color w:val="000000" w:themeColor="text1"/>
          <w:szCs w:val="24"/>
        </w:rPr>
        <w:t xml:space="preserve">NOT FOR PUBLICATION </w:t>
      </w:r>
    </w:p>
    <w:p w14:paraId="4872C78D" w14:textId="77777777" w:rsidR="000C11CF" w:rsidRDefault="000C11CF" w:rsidP="00EF661B">
      <w:pPr>
        <w:rPr>
          <w:rFonts w:cs="Arial"/>
          <w:caps/>
          <w:color w:val="000000" w:themeColor="text1"/>
          <w:szCs w:val="24"/>
        </w:rPr>
      </w:pPr>
    </w:p>
    <w:p w14:paraId="06D33E36" w14:textId="2B41361B" w:rsidR="000C11CF" w:rsidRPr="000C11CF" w:rsidRDefault="000C11CF" w:rsidP="00EF661B">
      <w:pPr>
        <w:rPr>
          <w:rFonts w:cs="Arial"/>
          <w:b/>
          <w:bCs/>
          <w:caps/>
          <w:color w:val="000000" w:themeColor="text1"/>
          <w:szCs w:val="24"/>
        </w:rPr>
      </w:pPr>
      <w:r w:rsidRPr="000C11CF">
        <w:rPr>
          <w:rFonts w:cs="Arial"/>
          <w:b/>
          <w:bCs/>
          <w:caps/>
          <w:color w:val="000000" w:themeColor="text1"/>
          <w:szCs w:val="24"/>
        </w:rPr>
        <w:t xml:space="preserve">Schedule 6:4 Consultations or negotiations. </w:t>
      </w:r>
    </w:p>
    <w:sdt>
      <w:sdtPr>
        <w:rPr>
          <w:rFonts w:eastAsia="Times New Roman" w:cs="Arial"/>
          <w:color w:val="002060"/>
          <w:szCs w:val="24"/>
        </w:rPr>
        <w:id w:val="-293995142"/>
        <w:showingPlcHd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7EF35046" w14:textId="54325DB1" w:rsidR="000C11CF" w:rsidRPr="008E5A9A" w:rsidRDefault="000C11CF" w:rsidP="000C11CF">
          <w:pPr>
            <w:shd w:val="clear" w:color="auto" w:fill="FFFFFF"/>
            <w:rPr>
              <w:rFonts w:eastAsia="Times New Roman" w:cs="Arial"/>
              <w:color w:val="002060"/>
              <w:szCs w:val="24"/>
            </w:rPr>
          </w:pPr>
          <w:r>
            <w:rPr>
              <w:rFonts w:eastAsia="Times New Roman" w:cs="Arial"/>
              <w:color w:val="002060"/>
              <w:szCs w:val="24"/>
            </w:rPr>
            <w:t xml:space="preserve">     </w:t>
          </w:r>
        </w:p>
      </w:sdtContent>
    </w:sdt>
    <w:p w14:paraId="575B7727" w14:textId="77777777" w:rsidR="000C11CF" w:rsidRPr="000C11CF" w:rsidRDefault="000C11CF" w:rsidP="000C11CF">
      <w:pPr>
        <w:shd w:val="clear" w:color="auto" w:fill="FFFFFF"/>
        <w:rPr>
          <w:rFonts w:eastAsia="Times New Roman" w:cs="Arial"/>
          <w:szCs w:val="24"/>
        </w:rPr>
      </w:pPr>
      <w:r w:rsidRPr="000C11CF">
        <w:rPr>
          <w:rFonts w:eastAsia="Times New Roman" w:cs="Arial"/>
          <w:szCs w:val="24"/>
        </w:rPr>
        <w:t xml:space="preserve">Council was asked to consider an update on Absence Management following a report produced by APSE was presented to Corporate Committee in June 2023 together with a proposed Absence Management Action Plan prepared by Senior Management intended to tackle the issues raised by APSE and to ensure the recommendations suggested were put in place. </w:t>
      </w:r>
    </w:p>
    <w:p w14:paraId="6AF6F865" w14:textId="77777777" w:rsidR="000C11CF" w:rsidRPr="008E5A9A" w:rsidRDefault="000C11CF" w:rsidP="000C11CF">
      <w:pPr>
        <w:shd w:val="clear" w:color="auto" w:fill="FFFFFF"/>
        <w:rPr>
          <w:rFonts w:eastAsia="Times New Roman" w:cs="Arial"/>
          <w:b/>
          <w:bCs/>
          <w:color w:val="002060"/>
          <w:szCs w:val="24"/>
          <w:u w:val="single"/>
        </w:rPr>
      </w:pPr>
    </w:p>
    <w:p w14:paraId="1FA423BE" w14:textId="51AD19F4" w:rsidR="000C11CF" w:rsidRPr="008E5A9A" w:rsidRDefault="000C11CF" w:rsidP="000C11CF">
      <w:pPr>
        <w:shd w:val="clear" w:color="auto" w:fill="FFFFFF"/>
        <w:rPr>
          <w:rFonts w:eastAsia="Times New Roman" w:cs="Arial"/>
          <w:color w:val="002060"/>
          <w:szCs w:val="24"/>
        </w:rPr>
      </w:pPr>
      <w:r w:rsidRPr="000C11CF">
        <w:rPr>
          <w:rFonts w:eastAsia="Times New Roman" w:cs="Arial"/>
          <w:szCs w:val="24"/>
        </w:rPr>
        <w:t xml:space="preserve">The recommendation was </w:t>
      </w:r>
      <w:r>
        <w:rPr>
          <w:rFonts w:eastAsia="Times New Roman" w:cs="Arial"/>
          <w:szCs w:val="24"/>
        </w:rPr>
        <w:t xml:space="preserve">agreed. </w:t>
      </w:r>
    </w:p>
    <w:p w14:paraId="4F35B172" w14:textId="77777777" w:rsidR="000C11CF" w:rsidRDefault="000C11CF" w:rsidP="00EF661B"/>
    <w:p w14:paraId="4E3F5958" w14:textId="789A00B9" w:rsidR="000D6F60" w:rsidRPr="002A4067" w:rsidRDefault="000D6F60" w:rsidP="002A4067">
      <w:pPr>
        <w:rPr>
          <w:rFonts w:ascii="Arial Bold" w:hAnsi="Arial Bold"/>
          <w:b/>
          <w:bCs/>
          <w:caps/>
          <w:u w:val="single"/>
        </w:rPr>
      </w:pPr>
      <w:r w:rsidRPr="002A4067">
        <w:rPr>
          <w:rFonts w:ascii="Arial Bold" w:hAnsi="Arial Bold"/>
          <w:b/>
          <w:bCs/>
          <w:caps/>
          <w:u w:val="single"/>
        </w:rPr>
        <w:t>Re-admittance of public/press</w:t>
      </w:r>
    </w:p>
    <w:p w14:paraId="668A0B6D" w14:textId="77777777" w:rsidR="000D6F60" w:rsidRPr="000D6F60" w:rsidRDefault="000D6F60" w:rsidP="000220C2">
      <w:pPr>
        <w:rPr>
          <w:b/>
          <w:bCs/>
        </w:rPr>
      </w:pPr>
    </w:p>
    <w:p w14:paraId="6CB19F28" w14:textId="69A6D14D" w:rsidR="000D6F60" w:rsidRPr="000D6F60" w:rsidRDefault="000D6F60" w:rsidP="000220C2">
      <w:pPr>
        <w:rPr>
          <w:b/>
          <w:bCs/>
        </w:rPr>
      </w:pPr>
      <w:r w:rsidRPr="000D6F60">
        <w:rPr>
          <w:b/>
          <w:bCs/>
        </w:rPr>
        <w:t xml:space="preserve">AGREED, on the proposal of </w:t>
      </w:r>
      <w:r w:rsidR="00BC503E">
        <w:rPr>
          <w:b/>
          <w:bCs/>
        </w:rPr>
        <w:t>Alderman McIlveen</w:t>
      </w:r>
      <w:r w:rsidRPr="000D6F60">
        <w:rPr>
          <w:b/>
          <w:bCs/>
        </w:rPr>
        <w:t xml:space="preserve">, seconded by </w:t>
      </w:r>
      <w:r w:rsidR="00BC503E">
        <w:rPr>
          <w:b/>
          <w:bCs/>
        </w:rPr>
        <w:t>Councillor Gilmour</w:t>
      </w:r>
      <w:r w:rsidRPr="000D6F60">
        <w:rPr>
          <w:b/>
          <w:bCs/>
        </w:rPr>
        <w:t xml:space="preserve">, that the public/press be re-admitted to the meeting. </w:t>
      </w:r>
    </w:p>
    <w:p w14:paraId="1B83F3E1" w14:textId="77777777" w:rsidR="009B5D9E" w:rsidRDefault="009B5D9E"/>
    <w:p w14:paraId="305EDEF5" w14:textId="6DF083B0" w:rsidR="009B5D9E" w:rsidRPr="002A4067" w:rsidRDefault="009B5D9E" w:rsidP="002A4067">
      <w:pPr>
        <w:rPr>
          <w:rFonts w:ascii="Arial Bold" w:hAnsi="Arial Bold"/>
          <w:b/>
          <w:bCs/>
          <w:caps/>
          <w:u w:val="single"/>
        </w:rPr>
      </w:pPr>
      <w:r w:rsidRPr="002A4067">
        <w:rPr>
          <w:rFonts w:ascii="Arial Bold" w:hAnsi="Arial Bold"/>
          <w:b/>
          <w:bCs/>
          <w:caps/>
          <w:u w:val="single"/>
        </w:rPr>
        <w:t xml:space="preserve">Termination of meeting </w:t>
      </w:r>
    </w:p>
    <w:p w14:paraId="18191C13" w14:textId="77777777" w:rsidR="009B5D9E" w:rsidRPr="00ED7B06" w:rsidRDefault="009B5D9E" w:rsidP="00ED7B06">
      <w:pPr>
        <w:rPr>
          <w:rFonts w:cs="Arial"/>
          <w:szCs w:val="24"/>
        </w:rPr>
      </w:pPr>
    </w:p>
    <w:p w14:paraId="16D7B632" w14:textId="430CD5D2" w:rsidR="00ED7B06" w:rsidRPr="00ED7B06" w:rsidRDefault="00ED7B06" w:rsidP="00ED7B06">
      <w:pPr>
        <w:rPr>
          <w:rFonts w:cs="Arial"/>
          <w:szCs w:val="24"/>
        </w:rPr>
      </w:pPr>
      <w:r w:rsidRPr="00ED7B06">
        <w:rPr>
          <w:rFonts w:cs="Arial"/>
          <w:szCs w:val="24"/>
        </w:rPr>
        <w:t xml:space="preserve">The meeting terminated at </w:t>
      </w:r>
      <w:r w:rsidR="00BC503E">
        <w:rPr>
          <w:rFonts w:cs="Arial"/>
          <w:szCs w:val="24"/>
        </w:rPr>
        <w:t>9.01 pm</w:t>
      </w:r>
      <w:r w:rsidRPr="00ED7B06">
        <w:rPr>
          <w:rFonts w:cs="Arial"/>
          <w:szCs w:val="24"/>
        </w:rPr>
        <w:t xml:space="preserve">. </w:t>
      </w:r>
    </w:p>
    <w:sectPr w:rsidR="00ED7B06" w:rsidRPr="00ED7B06" w:rsidSect="00C94C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8037" w14:textId="77777777" w:rsidR="005458B4" w:rsidRDefault="005458B4" w:rsidP="00C94CF7">
      <w:r>
        <w:separator/>
      </w:r>
    </w:p>
  </w:endnote>
  <w:endnote w:type="continuationSeparator" w:id="0">
    <w:p w14:paraId="12033591" w14:textId="77777777" w:rsidR="005458B4" w:rsidRDefault="005458B4" w:rsidP="00C9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96CE" w14:textId="77777777" w:rsidR="008D24A1" w:rsidRDefault="008D2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52821"/>
      <w:docPartObj>
        <w:docPartGallery w:val="Page Numbers (Bottom of Page)"/>
        <w:docPartUnique/>
      </w:docPartObj>
    </w:sdtPr>
    <w:sdtEndPr>
      <w:rPr>
        <w:noProof/>
      </w:rPr>
    </w:sdtEndPr>
    <w:sdtContent>
      <w:p w14:paraId="254AB41C" w14:textId="56789CC2" w:rsidR="00511B6C" w:rsidRDefault="00511B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83D93" w14:textId="77777777" w:rsidR="00511B6C" w:rsidRDefault="00511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572E" w14:textId="77777777" w:rsidR="008D24A1" w:rsidRDefault="008D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07B5" w14:textId="77777777" w:rsidR="005458B4" w:rsidRDefault="005458B4" w:rsidP="00C94CF7">
      <w:r>
        <w:separator/>
      </w:r>
    </w:p>
  </w:footnote>
  <w:footnote w:type="continuationSeparator" w:id="0">
    <w:p w14:paraId="09D73D0F" w14:textId="77777777" w:rsidR="005458B4" w:rsidRDefault="005458B4" w:rsidP="00C9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7261" w14:textId="77777777" w:rsidR="008D24A1" w:rsidRDefault="008D2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ACDE" w14:textId="46DD94F6" w:rsidR="00C94CF7" w:rsidRPr="00C94CF7" w:rsidRDefault="00C94CF7">
    <w:pPr>
      <w:pStyle w:val="Header"/>
      <w:rPr>
        <w:rFonts w:cs="Arial"/>
        <w:szCs w:val="24"/>
      </w:rPr>
    </w:pPr>
    <w:r>
      <w:tab/>
    </w:r>
    <w:r>
      <w:tab/>
    </w:r>
    <w:r w:rsidRPr="00C94CF7">
      <w:rPr>
        <w:rFonts w:cs="Arial"/>
        <w:szCs w:val="24"/>
      </w:rPr>
      <w:t>CS.12.11.24</w:t>
    </w:r>
    <w:r w:rsidR="000C11CF">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F22" w14:textId="3A687CBB" w:rsidR="00511B6C" w:rsidRPr="004F5E9F" w:rsidRDefault="004F5E9F">
    <w:pPr>
      <w:pStyle w:val="Header"/>
      <w:rPr>
        <w:b/>
        <w:bCs/>
        <w:sz w:val="36"/>
        <w:szCs w:val="36"/>
      </w:rPr>
    </w:pPr>
    <w:r>
      <w:tab/>
    </w:r>
    <w:r w:rsidRPr="004F5E9F">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64C"/>
    <w:multiLevelType w:val="hybridMultilevel"/>
    <w:tmpl w:val="8FEC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B4BC0"/>
    <w:multiLevelType w:val="hybridMultilevel"/>
    <w:tmpl w:val="ACDE54D2"/>
    <w:lvl w:ilvl="0" w:tplc="5ABC6A5E">
      <w:start w:val="1"/>
      <w:numFmt w:val="low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C5D65"/>
    <w:multiLevelType w:val="multilevel"/>
    <w:tmpl w:val="86A0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D3171"/>
    <w:multiLevelType w:val="multilevel"/>
    <w:tmpl w:val="102A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078E2"/>
    <w:multiLevelType w:val="multilevel"/>
    <w:tmpl w:val="8100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63D9B"/>
    <w:multiLevelType w:val="multilevel"/>
    <w:tmpl w:val="2B3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156D1"/>
    <w:multiLevelType w:val="multilevel"/>
    <w:tmpl w:val="6E7E4016"/>
    <w:lvl w:ilvl="0">
      <w:start w:val="1"/>
      <w:numFmt w:val="decimal"/>
      <w:lvlText w:val="%1."/>
      <w:lvlJc w:val="left"/>
      <w:pPr>
        <w:ind w:left="-1275"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1FFB210E"/>
    <w:multiLevelType w:val="hybridMultilevel"/>
    <w:tmpl w:val="478AF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4564B"/>
    <w:multiLevelType w:val="hybridMultilevel"/>
    <w:tmpl w:val="7DE2BB3E"/>
    <w:lvl w:ilvl="0" w:tplc="D806FE90">
      <w:start w:val="1"/>
      <w:numFmt w:val="bullet"/>
      <w:lvlText w:val="•"/>
      <w:lvlJc w:val="left"/>
      <w:pPr>
        <w:tabs>
          <w:tab w:val="num" w:pos="720"/>
        </w:tabs>
        <w:ind w:left="720" w:hanging="360"/>
      </w:pPr>
      <w:rPr>
        <w:rFonts w:ascii="Arial" w:hAnsi="Arial" w:hint="default"/>
      </w:rPr>
    </w:lvl>
    <w:lvl w:ilvl="1" w:tplc="8CCE5A64" w:tentative="1">
      <w:start w:val="1"/>
      <w:numFmt w:val="bullet"/>
      <w:lvlText w:val="•"/>
      <w:lvlJc w:val="left"/>
      <w:pPr>
        <w:tabs>
          <w:tab w:val="num" w:pos="1440"/>
        </w:tabs>
        <w:ind w:left="1440" w:hanging="360"/>
      </w:pPr>
      <w:rPr>
        <w:rFonts w:ascii="Arial" w:hAnsi="Arial" w:hint="default"/>
      </w:rPr>
    </w:lvl>
    <w:lvl w:ilvl="2" w:tplc="0674E210" w:tentative="1">
      <w:start w:val="1"/>
      <w:numFmt w:val="bullet"/>
      <w:lvlText w:val="•"/>
      <w:lvlJc w:val="left"/>
      <w:pPr>
        <w:tabs>
          <w:tab w:val="num" w:pos="2160"/>
        </w:tabs>
        <w:ind w:left="2160" w:hanging="360"/>
      </w:pPr>
      <w:rPr>
        <w:rFonts w:ascii="Arial" w:hAnsi="Arial" w:hint="default"/>
      </w:rPr>
    </w:lvl>
    <w:lvl w:ilvl="3" w:tplc="FB22F350" w:tentative="1">
      <w:start w:val="1"/>
      <w:numFmt w:val="bullet"/>
      <w:lvlText w:val="•"/>
      <w:lvlJc w:val="left"/>
      <w:pPr>
        <w:tabs>
          <w:tab w:val="num" w:pos="2880"/>
        </w:tabs>
        <w:ind w:left="2880" w:hanging="360"/>
      </w:pPr>
      <w:rPr>
        <w:rFonts w:ascii="Arial" w:hAnsi="Arial" w:hint="default"/>
      </w:rPr>
    </w:lvl>
    <w:lvl w:ilvl="4" w:tplc="CF2C6788" w:tentative="1">
      <w:start w:val="1"/>
      <w:numFmt w:val="bullet"/>
      <w:lvlText w:val="•"/>
      <w:lvlJc w:val="left"/>
      <w:pPr>
        <w:tabs>
          <w:tab w:val="num" w:pos="3600"/>
        </w:tabs>
        <w:ind w:left="3600" w:hanging="360"/>
      </w:pPr>
      <w:rPr>
        <w:rFonts w:ascii="Arial" w:hAnsi="Arial" w:hint="default"/>
      </w:rPr>
    </w:lvl>
    <w:lvl w:ilvl="5" w:tplc="62ACBADE" w:tentative="1">
      <w:start w:val="1"/>
      <w:numFmt w:val="bullet"/>
      <w:lvlText w:val="•"/>
      <w:lvlJc w:val="left"/>
      <w:pPr>
        <w:tabs>
          <w:tab w:val="num" w:pos="4320"/>
        </w:tabs>
        <w:ind w:left="4320" w:hanging="360"/>
      </w:pPr>
      <w:rPr>
        <w:rFonts w:ascii="Arial" w:hAnsi="Arial" w:hint="default"/>
      </w:rPr>
    </w:lvl>
    <w:lvl w:ilvl="6" w:tplc="649C2D10" w:tentative="1">
      <w:start w:val="1"/>
      <w:numFmt w:val="bullet"/>
      <w:lvlText w:val="•"/>
      <w:lvlJc w:val="left"/>
      <w:pPr>
        <w:tabs>
          <w:tab w:val="num" w:pos="5040"/>
        </w:tabs>
        <w:ind w:left="5040" w:hanging="360"/>
      </w:pPr>
      <w:rPr>
        <w:rFonts w:ascii="Arial" w:hAnsi="Arial" w:hint="default"/>
      </w:rPr>
    </w:lvl>
    <w:lvl w:ilvl="7" w:tplc="3E0CA6F2" w:tentative="1">
      <w:start w:val="1"/>
      <w:numFmt w:val="bullet"/>
      <w:lvlText w:val="•"/>
      <w:lvlJc w:val="left"/>
      <w:pPr>
        <w:tabs>
          <w:tab w:val="num" w:pos="5760"/>
        </w:tabs>
        <w:ind w:left="5760" w:hanging="360"/>
      </w:pPr>
      <w:rPr>
        <w:rFonts w:ascii="Arial" w:hAnsi="Arial" w:hint="default"/>
      </w:rPr>
    </w:lvl>
    <w:lvl w:ilvl="8" w:tplc="157ECE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CE245A"/>
    <w:multiLevelType w:val="multilevel"/>
    <w:tmpl w:val="9EF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4F7EEC"/>
    <w:multiLevelType w:val="hybridMultilevel"/>
    <w:tmpl w:val="09A6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63E92"/>
    <w:multiLevelType w:val="multilevel"/>
    <w:tmpl w:val="3C9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7661F"/>
    <w:multiLevelType w:val="multilevel"/>
    <w:tmpl w:val="E6BAE9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91B18"/>
    <w:multiLevelType w:val="multilevel"/>
    <w:tmpl w:val="363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51D"/>
    <w:multiLevelType w:val="hybridMultilevel"/>
    <w:tmpl w:val="09848F2E"/>
    <w:lvl w:ilvl="0" w:tplc="5E72BA70">
      <w:start w:val="1"/>
      <w:numFmt w:val="bullet"/>
      <w:lvlText w:val="•"/>
      <w:lvlJc w:val="left"/>
      <w:pPr>
        <w:tabs>
          <w:tab w:val="num" w:pos="720"/>
        </w:tabs>
        <w:ind w:left="720" w:hanging="360"/>
      </w:pPr>
      <w:rPr>
        <w:rFonts w:ascii="Arial" w:hAnsi="Arial" w:hint="default"/>
      </w:rPr>
    </w:lvl>
    <w:lvl w:ilvl="1" w:tplc="D1F8D016" w:tentative="1">
      <w:start w:val="1"/>
      <w:numFmt w:val="bullet"/>
      <w:lvlText w:val="•"/>
      <w:lvlJc w:val="left"/>
      <w:pPr>
        <w:tabs>
          <w:tab w:val="num" w:pos="1440"/>
        </w:tabs>
        <w:ind w:left="1440" w:hanging="360"/>
      </w:pPr>
      <w:rPr>
        <w:rFonts w:ascii="Arial" w:hAnsi="Arial" w:hint="default"/>
      </w:rPr>
    </w:lvl>
    <w:lvl w:ilvl="2" w:tplc="76EEF98C" w:tentative="1">
      <w:start w:val="1"/>
      <w:numFmt w:val="bullet"/>
      <w:lvlText w:val="•"/>
      <w:lvlJc w:val="left"/>
      <w:pPr>
        <w:tabs>
          <w:tab w:val="num" w:pos="2160"/>
        </w:tabs>
        <w:ind w:left="2160" w:hanging="360"/>
      </w:pPr>
      <w:rPr>
        <w:rFonts w:ascii="Arial" w:hAnsi="Arial" w:hint="default"/>
      </w:rPr>
    </w:lvl>
    <w:lvl w:ilvl="3" w:tplc="050ABD26" w:tentative="1">
      <w:start w:val="1"/>
      <w:numFmt w:val="bullet"/>
      <w:lvlText w:val="•"/>
      <w:lvlJc w:val="left"/>
      <w:pPr>
        <w:tabs>
          <w:tab w:val="num" w:pos="2880"/>
        </w:tabs>
        <w:ind w:left="2880" w:hanging="360"/>
      </w:pPr>
      <w:rPr>
        <w:rFonts w:ascii="Arial" w:hAnsi="Arial" w:hint="default"/>
      </w:rPr>
    </w:lvl>
    <w:lvl w:ilvl="4" w:tplc="E93ADE26" w:tentative="1">
      <w:start w:val="1"/>
      <w:numFmt w:val="bullet"/>
      <w:lvlText w:val="•"/>
      <w:lvlJc w:val="left"/>
      <w:pPr>
        <w:tabs>
          <w:tab w:val="num" w:pos="3600"/>
        </w:tabs>
        <w:ind w:left="3600" w:hanging="360"/>
      </w:pPr>
      <w:rPr>
        <w:rFonts w:ascii="Arial" w:hAnsi="Arial" w:hint="default"/>
      </w:rPr>
    </w:lvl>
    <w:lvl w:ilvl="5" w:tplc="E2CAF244" w:tentative="1">
      <w:start w:val="1"/>
      <w:numFmt w:val="bullet"/>
      <w:lvlText w:val="•"/>
      <w:lvlJc w:val="left"/>
      <w:pPr>
        <w:tabs>
          <w:tab w:val="num" w:pos="4320"/>
        </w:tabs>
        <w:ind w:left="4320" w:hanging="360"/>
      </w:pPr>
      <w:rPr>
        <w:rFonts w:ascii="Arial" w:hAnsi="Arial" w:hint="default"/>
      </w:rPr>
    </w:lvl>
    <w:lvl w:ilvl="6" w:tplc="A42EED7E" w:tentative="1">
      <w:start w:val="1"/>
      <w:numFmt w:val="bullet"/>
      <w:lvlText w:val="•"/>
      <w:lvlJc w:val="left"/>
      <w:pPr>
        <w:tabs>
          <w:tab w:val="num" w:pos="5040"/>
        </w:tabs>
        <w:ind w:left="5040" w:hanging="360"/>
      </w:pPr>
      <w:rPr>
        <w:rFonts w:ascii="Arial" w:hAnsi="Arial" w:hint="default"/>
      </w:rPr>
    </w:lvl>
    <w:lvl w:ilvl="7" w:tplc="C12C6DFC" w:tentative="1">
      <w:start w:val="1"/>
      <w:numFmt w:val="bullet"/>
      <w:lvlText w:val="•"/>
      <w:lvlJc w:val="left"/>
      <w:pPr>
        <w:tabs>
          <w:tab w:val="num" w:pos="5760"/>
        </w:tabs>
        <w:ind w:left="5760" w:hanging="360"/>
      </w:pPr>
      <w:rPr>
        <w:rFonts w:ascii="Arial" w:hAnsi="Arial" w:hint="default"/>
      </w:rPr>
    </w:lvl>
    <w:lvl w:ilvl="8" w:tplc="EBA813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BF77CD"/>
    <w:multiLevelType w:val="hybridMultilevel"/>
    <w:tmpl w:val="7300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F5AAD"/>
    <w:multiLevelType w:val="hybridMultilevel"/>
    <w:tmpl w:val="CD561760"/>
    <w:lvl w:ilvl="0" w:tplc="2C96D058">
      <w:start w:val="1"/>
      <w:numFmt w:val="bullet"/>
      <w:lvlText w:val="•"/>
      <w:lvlJc w:val="left"/>
      <w:pPr>
        <w:tabs>
          <w:tab w:val="num" w:pos="720"/>
        </w:tabs>
        <w:ind w:left="720" w:hanging="360"/>
      </w:pPr>
      <w:rPr>
        <w:rFonts w:ascii="Arial" w:hAnsi="Arial" w:hint="default"/>
      </w:rPr>
    </w:lvl>
    <w:lvl w:ilvl="1" w:tplc="7C0E86DA" w:tentative="1">
      <w:start w:val="1"/>
      <w:numFmt w:val="bullet"/>
      <w:lvlText w:val="•"/>
      <w:lvlJc w:val="left"/>
      <w:pPr>
        <w:tabs>
          <w:tab w:val="num" w:pos="1440"/>
        </w:tabs>
        <w:ind w:left="1440" w:hanging="360"/>
      </w:pPr>
      <w:rPr>
        <w:rFonts w:ascii="Arial" w:hAnsi="Arial" w:hint="default"/>
      </w:rPr>
    </w:lvl>
    <w:lvl w:ilvl="2" w:tplc="E0AEFB56" w:tentative="1">
      <w:start w:val="1"/>
      <w:numFmt w:val="bullet"/>
      <w:lvlText w:val="•"/>
      <w:lvlJc w:val="left"/>
      <w:pPr>
        <w:tabs>
          <w:tab w:val="num" w:pos="2160"/>
        </w:tabs>
        <w:ind w:left="2160" w:hanging="360"/>
      </w:pPr>
      <w:rPr>
        <w:rFonts w:ascii="Arial" w:hAnsi="Arial" w:hint="default"/>
      </w:rPr>
    </w:lvl>
    <w:lvl w:ilvl="3" w:tplc="9AC4E03E" w:tentative="1">
      <w:start w:val="1"/>
      <w:numFmt w:val="bullet"/>
      <w:lvlText w:val="•"/>
      <w:lvlJc w:val="left"/>
      <w:pPr>
        <w:tabs>
          <w:tab w:val="num" w:pos="2880"/>
        </w:tabs>
        <w:ind w:left="2880" w:hanging="360"/>
      </w:pPr>
      <w:rPr>
        <w:rFonts w:ascii="Arial" w:hAnsi="Arial" w:hint="default"/>
      </w:rPr>
    </w:lvl>
    <w:lvl w:ilvl="4" w:tplc="6F741E94" w:tentative="1">
      <w:start w:val="1"/>
      <w:numFmt w:val="bullet"/>
      <w:lvlText w:val="•"/>
      <w:lvlJc w:val="left"/>
      <w:pPr>
        <w:tabs>
          <w:tab w:val="num" w:pos="3600"/>
        </w:tabs>
        <w:ind w:left="3600" w:hanging="360"/>
      </w:pPr>
      <w:rPr>
        <w:rFonts w:ascii="Arial" w:hAnsi="Arial" w:hint="default"/>
      </w:rPr>
    </w:lvl>
    <w:lvl w:ilvl="5" w:tplc="6B68EB8E" w:tentative="1">
      <w:start w:val="1"/>
      <w:numFmt w:val="bullet"/>
      <w:lvlText w:val="•"/>
      <w:lvlJc w:val="left"/>
      <w:pPr>
        <w:tabs>
          <w:tab w:val="num" w:pos="4320"/>
        </w:tabs>
        <w:ind w:left="4320" w:hanging="360"/>
      </w:pPr>
      <w:rPr>
        <w:rFonts w:ascii="Arial" w:hAnsi="Arial" w:hint="default"/>
      </w:rPr>
    </w:lvl>
    <w:lvl w:ilvl="6" w:tplc="564AA4EC" w:tentative="1">
      <w:start w:val="1"/>
      <w:numFmt w:val="bullet"/>
      <w:lvlText w:val="•"/>
      <w:lvlJc w:val="left"/>
      <w:pPr>
        <w:tabs>
          <w:tab w:val="num" w:pos="5040"/>
        </w:tabs>
        <w:ind w:left="5040" w:hanging="360"/>
      </w:pPr>
      <w:rPr>
        <w:rFonts w:ascii="Arial" w:hAnsi="Arial" w:hint="default"/>
      </w:rPr>
    </w:lvl>
    <w:lvl w:ilvl="7" w:tplc="643A840A" w:tentative="1">
      <w:start w:val="1"/>
      <w:numFmt w:val="bullet"/>
      <w:lvlText w:val="•"/>
      <w:lvlJc w:val="left"/>
      <w:pPr>
        <w:tabs>
          <w:tab w:val="num" w:pos="5760"/>
        </w:tabs>
        <w:ind w:left="5760" w:hanging="360"/>
      </w:pPr>
      <w:rPr>
        <w:rFonts w:ascii="Arial" w:hAnsi="Arial" w:hint="default"/>
      </w:rPr>
    </w:lvl>
    <w:lvl w:ilvl="8" w:tplc="DBF832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576673"/>
    <w:multiLevelType w:val="hybridMultilevel"/>
    <w:tmpl w:val="2100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43C96"/>
    <w:multiLevelType w:val="hybridMultilevel"/>
    <w:tmpl w:val="0040ECF8"/>
    <w:lvl w:ilvl="0" w:tplc="A8E83992">
      <w:start w:val="1"/>
      <w:numFmt w:val="bullet"/>
      <w:lvlText w:val="•"/>
      <w:lvlJc w:val="left"/>
      <w:pPr>
        <w:tabs>
          <w:tab w:val="num" w:pos="720"/>
        </w:tabs>
        <w:ind w:left="720" w:hanging="360"/>
      </w:pPr>
      <w:rPr>
        <w:rFonts w:ascii="Arial" w:hAnsi="Arial" w:hint="default"/>
      </w:rPr>
    </w:lvl>
    <w:lvl w:ilvl="1" w:tplc="1ADE0C46" w:tentative="1">
      <w:start w:val="1"/>
      <w:numFmt w:val="bullet"/>
      <w:lvlText w:val="•"/>
      <w:lvlJc w:val="left"/>
      <w:pPr>
        <w:tabs>
          <w:tab w:val="num" w:pos="1440"/>
        </w:tabs>
        <w:ind w:left="1440" w:hanging="360"/>
      </w:pPr>
      <w:rPr>
        <w:rFonts w:ascii="Arial" w:hAnsi="Arial" w:hint="default"/>
      </w:rPr>
    </w:lvl>
    <w:lvl w:ilvl="2" w:tplc="433A7C38" w:tentative="1">
      <w:start w:val="1"/>
      <w:numFmt w:val="bullet"/>
      <w:lvlText w:val="•"/>
      <w:lvlJc w:val="left"/>
      <w:pPr>
        <w:tabs>
          <w:tab w:val="num" w:pos="2160"/>
        </w:tabs>
        <w:ind w:left="2160" w:hanging="360"/>
      </w:pPr>
      <w:rPr>
        <w:rFonts w:ascii="Arial" w:hAnsi="Arial" w:hint="default"/>
      </w:rPr>
    </w:lvl>
    <w:lvl w:ilvl="3" w:tplc="DAB01B1C" w:tentative="1">
      <w:start w:val="1"/>
      <w:numFmt w:val="bullet"/>
      <w:lvlText w:val="•"/>
      <w:lvlJc w:val="left"/>
      <w:pPr>
        <w:tabs>
          <w:tab w:val="num" w:pos="2880"/>
        </w:tabs>
        <w:ind w:left="2880" w:hanging="360"/>
      </w:pPr>
      <w:rPr>
        <w:rFonts w:ascii="Arial" w:hAnsi="Arial" w:hint="default"/>
      </w:rPr>
    </w:lvl>
    <w:lvl w:ilvl="4" w:tplc="41E4538C" w:tentative="1">
      <w:start w:val="1"/>
      <w:numFmt w:val="bullet"/>
      <w:lvlText w:val="•"/>
      <w:lvlJc w:val="left"/>
      <w:pPr>
        <w:tabs>
          <w:tab w:val="num" w:pos="3600"/>
        </w:tabs>
        <w:ind w:left="3600" w:hanging="360"/>
      </w:pPr>
      <w:rPr>
        <w:rFonts w:ascii="Arial" w:hAnsi="Arial" w:hint="default"/>
      </w:rPr>
    </w:lvl>
    <w:lvl w:ilvl="5" w:tplc="96085316" w:tentative="1">
      <w:start w:val="1"/>
      <w:numFmt w:val="bullet"/>
      <w:lvlText w:val="•"/>
      <w:lvlJc w:val="left"/>
      <w:pPr>
        <w:tabs>
          <w:tab w:val="num" w:pos="4320"/>
        </w:tabs>
        <w:ind w:left="4320" w:hanging="360"/>
      </w:pPr>
      <w:rPr>
        <w:rFonts w:ascii="Arial" w:hAnsi="Arial" w:hint="default"/>
      </w:rPr>
    </w:lvl>
    <w:lvl w:ilvl="6" w:tplc="DADCBC02" w:tentative="1">
      <w:start w:val="1"/>
      <w:numFmt w:val="bullet"/>
      <w:lvlText w:val="•"/>
      <w:lvlJc w:val="left"/>
      <w:pPr>
        <w:tabs>
          <w:tab w:val="num" w:pos="5040"/>
        </w:tabs>
        <w:ind w:left="5040" w:hanging="360"/>
      </w:pPr>
      <w:rPr>
        <w:rFonts w:ascii="Arial" w:hAnsi="Arial" w:hint="default"/>
      </w:rPr>
    </w:lvl>
    <w:lvl w:ilvl="7" w:tplc="2B26B07E" w:tentative="1">
      <w:start w:val="1"/>
      <w:numFmt w:val="bullet"/>
      <w:lvlText w:val="•"/>
      <w:lvlJc w:val="left"/>
      <w:pPr>
        <w:tabs>
          <w:tab w:val="num" w:pos="5760"/>
        </w:tabs>
        <w:ind w:left="5760" w:hanging="360"/>
      </w:pPr>
      <w:rPr>
        <w:rFonts w:ascii="Arial" w:hAnsi="Arial" w:hint="default"/>
      </w:rPr>
    </w:lvl>
    <w:lvl w:ilvl="8" w:tplc="81E6D8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6A662B"/>
    <w:multiLevelType w:val="hybridMultilevel"/>
    <w:tmpl w:val="86FCF26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572A3EC1"/>
    <w:multiLevelType w:val="hybridMultilevel"/>
    <w:tmpl w:val="859E7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C497E"/>
    <w:multiLevelType w:val="multilevel"/>
    <w:tmpl w:val="362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037F5"/>
    <w:multiLevelType w:val="multilevel"/>
    <w:tmpl w:val="F18AF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08B7908"/>
    <w:multiLevelType w:val="multilevel"/>
    <w:tmpl w:val="1AB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47915"/>
    <w:multiLevelType w:val="hybridMultilevel"/>
    <w:tmpl w:val="CE7C2A12"/>
    <w:lvl w:ilvl="0" w:tplc="7F5C8EEE">
      <w:start w:val="1"/>
      <w:numFmt w:val="bullet"/>
      <w:lvlText w:val="•"/>
      <w:lvlJc w:val="left"/>
      <w:pPr>
        <w:tabs>
          <w:tab w:val="num" w:pos="720"/>
        </w:tabs>
        <w:ind w:left="720" w:hanging="360"/>
      </w:pPr>
      <w:rPr>
        <w:rFonts w:ascii="Arial" w:hAnsi="Arial" w:hint="default"/>
      </w:rPr>
    </w:lvl>
    <w:lvl w:ilvl="1" w:tplc="A50C38FA" w:tentative="1">
      <w:start w:val="1"/>
      <w:numFmt w:val="bullet"/>
      <w:lvlText w:val="•"/>
      <w:lvlJc w:val="left"/>
      <w:pPr>
        <w:tabs>
          <w:tab w:val="num" w:pos="1440"/>
        </w:tabs>
        <w:ind w:left="1440" w:hanging="360"/>
      </w:pPr>
      <w:rPr>
        <w:rFonts w:ascii="Arial" w:hAnsi="Arial" w:hint="default"/>
      </w:rPr>
    </w:lvl>
    <w:lvl w:ilvl="2" w:tplc="18409A32" w:tentative="1">
      <w:start w:val="1"/>
      <w:numFmt w:val="bullet"/>
      <w:lvlText w:val="•"/>
      <w:lvlJc w:val="left"/>
      <w:pPr>
        <w:tabs>
          <w:tab w:val="num" w:pos="2160"/>
        </w:tabs>
        <w:ind w:left="2160" w:hanging="360"/>
      </w:pPr>
      <w:rPr>
        <w:rFonts w:ascii="Arial" w:hAnsi="Arial" w:hint="default"/>
      </w:rPr>
    </w:lvl>
    <w:lvl w:ilvl="3" w:tplc="D8A009FE" w:tentative="1">
      <w:start w:val="1"/>
      <w:numFmt w:val="bullet"/>
      <w:lvlText w:val="•"/>
      <w:lvlJc w:val="left"/>
      <w:pPr>
        <w:tabs>
          <w:tab w:val="num" w:pos="2880"/>
        </w:tabs>
        <w:ind w:left="2880" w:hanging="360"/>
      </w:pPr>
      <w:rPr>
        <w:rFonts w:ascii="Arial" w:hAnsi="Arial" w:hint="default"/>
      </w:rPr>
    </w:lvl>
    <w:lvl w:ilvl="4" w:tplc="D9D42F76" w:tentative="1">
      <w:start w:val="1"/>
      <w:numFmt w:val="bullet"/>
      <w:lvlText w:val="•"/>
      <w:lvlJc w:val="left"/>
      <w:pPr>
        <w:tabs>
          <w:tab w:val="num" w:pos="3600"/>
        </w:tabs>
        <w:ind w:left="3600" w:hanging="360"/>
      </w:pPr>
      <w:rPr>
        <w:rFonts w:ascii="Arial" w:hAnsi="Arial" w:hint="default"/>
      </w:rPr>
    </w:lvl>
    <w:lvl w:ilvl="5" w:tplc="467426EC" w:tentative="1">
      <w:start w:val="1"/>
      <w:numFmt w:val="bullet"/>
      <w:lvlText w:val="•"/>
      <w:lvlJc w:val="left"/>
      <w:pPr>
        <w:tabs>
          <w:tab w:val="num" w:pos="4320"/>
        </w:tabs>
        <w:ind w:left="4320" w:hanging="360"/>
      </w:pPr>
      <w:rPr>
        <w:rFonts w:ascii="Arial" w:hAnsi="Arial" w:hint="default"/>
      </w:rPr>
    </w:lvl>
    <w:lvl w:ilvl="6" w:tplc="B0C04218" w:tentative="1">
      <w:start w:val="1"/>
      <w:numFmt w:val="bullet"/>
      <w:lvlText w:val="•"/>
      <w:lvlJc w:val="left"/>
      <w:pPr>
        <w:tabs>
          <w:tab w:val="num" w:pos="5040"/>
        </w:tabs>
        <w:ind w:left="5040" w:hanging="360"/>
      </w:pPr>
      <w:rPr>
        <w:rFonts w:ascii="Arial" w:hAnsi="Arial" w:hint="default"/>
      </w:rPr>
    </w:lvl>
    <w:lvl w:ilvl="7" w:tplc="FA3A0EA4" w:tentative="1">
      <w:start w:val="1"/>
      <w:numFmt w:val="bullet"/>
      <w:lvlText w:val="•"/>
      <w:lvlJc w:val="left"/>
      <w:pPr>
        <w:tabs>
          <w:tab w:val="num" w:pos="5760"/>
        </w:tabs>
        <w:ind w:left="5760" w:hanging="360"/>
      </w:pPr>
      <w:rPr>
        <w:rFonts w:ascii="Arial" w:hAnsi="Arial" w:hint="default"/>
      </w:rPr>
    </w:lvl>
    <w:lvl w:ilvl="8" w:tplc="05B6997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1D28A0"/>
    <w:multiLevelType w:val="multilevel"/>
    <w:tmpl w:val="9B04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143649"/>
    <w:multiLevelType w:val="multilevel"/>
    <w:tmpl w:val="992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44485"/>
    <w:multiLevelType w:val="hybridMultilevel"/>
    <w:tmpl w:val="B7FCAF1E"/>
    <w:lvl w:ilvl="0" w:tplc="9446AB2A">
      <w:start w:val="1"/>
      <w:numFmt w:val="bullet"/>
      <w:lvlText w:val="•"/>
      <w:lvlJc w:val="left"/>
      <w:pPr>
        <w:tabs>
          <w:tab w:val="num" w:pos="720"/>
        </w:tabs>
        <w:ind w:left="720" w:hanging="360"/>
      </w:pPr>
      <w:rPr>
        <w:rFonts w:ascii="Arial" w:hAnsi="Arial" w:hint="default"/>
      </w:rPr>
    </w:lvl>
    <w:lvl w:ilvl="1" w:tplc="DE6C572E" w:tentative="1">
      <w:start w:val="1"/>
      <w:numFmt w:val="bullet"/>
      <w:lvlText w:val="•"/>
      <w:lvlJc w:val="left"/>
      <w:pPr>
        <w:tabs>
          <w:tab w:val="num" w:pos="1440"/>
        </w:tabs>
        <w:ind w:left="1440" w:hanging="360"/>
      </w:pPr>
      <w:rPr>
        <w:rFonts w:ascii="Arial" w:hAnsi="Arial" w:hint="default"/>
      </w:rPr>
    </w:lvl>
    <w:lvl w:ilvl="2" w:tplc="E3D4D14C" w:tentative="1">
      <w:start w:val="1"/>
      <w:numFmt w:val="bullet"/>
      <w:lvlText w:val="•"/>
      <w:lvlJc w:val="left"/>
      <w:pPr>
        <w:tabs>
          <w:tab w:val="num" w:pos="2160"/>
        </w:tabs>
        <w:ind w:left="2160" w:hanging="360"/>
      </w:pPr>
      <w:rPr>
        <w:rFonts w:ascii="Arial" w:hAnsi="Arial" w:hint="default"/>
      </w:rPr>
    </w:lvl>
    <w:lvl w:ilvl="3" w:tplc="C8A047D2" w:tentative="1">
      <w:start w:val="1"/>
      <w:numFmt w:val="bullet"/>
      <w:lvlText w:val="•"/>
      <w:lvlJc w:val="left"/>
      <w:pPr>
        <w:tabs>
          <w:tab w:val="num" w:pos="2880"/>
        </w:tabs>
        <w:ind w:left="2880" w:hanging="360"/>
      </w:pPr>
      <w:rPr>
        <w:rFonts w:ascii="Arial" w:hAnsi="Arial" w:hint="default"/>
      </w:rPr>
    </w:lvl>
    <w:lvl w:ilvl="4" w:tplc="BCE427D8" w:tentative="1">
      <w:start w:val="1"/>
      <w:numFmt w:val="bullet"/>
      <w:lvlText w:val="•"/>
      <w:lvlJc w:val="left"/>
      <w:pPr>
        <w:tabs>
          <w:tab w:val="num" w:pos="3600"/>
        </w:tabs>
        <w:ind w:left="3600" w:hanging="360"/>
      </w:pPr>
      <w:rPr>
        <w:rFonts w:ascii="Arial" w:hAnsi="Arial" w:hint="default"/>
      </w:rPr>
    </w:lvl>
    <w:lvl w:ilvl="5" w:tplc="0C289E7E" w:tentative="1">
      <w:start w:val="1"/>
      <w:numFmt w:val="bullet"/>
      <w:lvlText w:val="•"/>
      <w:lvlJc w:val="left"/>
      <w:pPr>
        <w:tabs>
          <w:tab w:val="num" w:pos="4320"/>
        </w:tabs>
        <w:ind w:left="4320" w:hanging="360"/>
      </w:pPr>
      <w:rPr>
        <w:rFonts w:ascii="Arial" w:hAnsi="Arial" w:hint="default"/>
      </w:rPr>
    </w:lvl>
    <w:lvl w:ilvl="6" w:tplc="C088BCF8" w:tentative="1">
      <w:start w:val="1"/>
      <w:numFmt w:val="bullet"/>
      <w:lvlText w:val="•"/>
      <w:lvlJc w:val="left"/>
      <w:pPr>
        <w:tabs>
          <w:tab w:val="num" w:pos="5040"/>
        </w:tabs>
        <w:ind w:left="5040" w:hanging="360"/>
      </w:pPr>
      <w:rPr>
        <w:rFonts w:ascii="Arial" w:hAnsi="Arial" w:hint="default"/>
      </w:rPr>
    </w:lvl>
    <w:lvl w:ilvl="7" w:tplc="16B45ACE" w:tentative="1">
      <w:start w:val="1"/>
      <w:numFmt w:val="bullet"/>
      <w:lvlText w:val="•"/>
      <w:lvlJc w:val="left"/>
      <w:pPr>
        <w:tabs>
          <w:tab w:val="num" w:pos="5760"/>
        </w:tabs>
        <w:ind w:left="5760" w:hanging="360"/>
      </w:pPr>
      <w:rPr>
        <w:rFonts w:ascii="Arial" w:hAnsi="Arial" w:hint="default"/>
      </w:rPr>
    </w:lvl>
    <w:lvl w:ilvl="8" w:tplc="1B46AE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FD3690"/>
    <w:multiLevelType w:val="hybridMultilevel"/>
    <w:tmpl w:val="FE62BB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8371F1E"/>
    <w:multiLevelType w:val="multilevel"/>
    <w:tmpl w:val="081C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453D6F"/>
    <w:multiLevelType w:val="hybridMultilevel"/>
    <w:tmpl w:val="3AF4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6"/>
  </w:num>
  <w:num w:numId="2" w16cid:durableId="1780181691">
    <w:abstractNumId w:val="19"/>
  </w:num>
  <w:num w:numId="3" w16cid:durableId="1317957411">
    <w:abstractNumId w:val="28"/>
  </w:num>
  <w:num w:numId="4" w16cid:durableId="1360470381">
    <w:abstractNumId w:val="9"/>
  </w:num>
  <w:num w:numId="5" w16cid:durableId="1252159270">
    <w:abstractNumId w:val="3"/>
  </w:num>
  <w:num w:numId="6" w16cid:durableId="1779060939">
    <w:abstractNumId w:val="21"/>
  </w:num>
  <w:num w:numId="7" w16cid:durableId="360591671">
    <w:abstractNumId w:val="4"/>
  </w:num>
  <w:num w:numId="8" w16cid:durableId="2012022711">
    <w:abstractNumId w:val="23"/>
  </w:num>
  <w:num w:numId="9" w16cid:durableId="571236518">
    <w:abstractNumId w:val="13"/>
  </w:num>
  <w:num w:numId="10" w16cid:durableId="1664501915">
    <w:abstractNumId w:val="25"/>
  </w:num>
  <w:num w:numId="11" w16cid:durableId="1348947003">
    <w:abstractNumId w:val="26"/>
  </w:num>
  <w:num w:numId="12" w16cid:durableId="417749702">
    <w:abstractNumId w:val="29"/>
  </w:num>
  <w:num w:numId="13" w16cid:durableId="871771344">
    <w:abstractNumId w:val="5"/>
  </w:num>
  <w:num w:numId="14" w16cid:durableId="617563571">
    <w:abstractNumId w:val="2"/>
  </w:num>
  <w:num w:numId="15" w16cid:durableId="1281953507">
    <w:abstractNumId w:val="11"/>
  </w:num>
  <w:num w:numId="16" w16cid:durableId="1933395400">
    <w:abstractNumId w:val="22"/>
  </w:num>
  <w:num w:numId="17" w16cid:durableId="1669364654">
    <w:abstractNumId w:val="12"/>
  </w:num>
  <w:num w:numId="18" w16cid:durableId="1847743291">
    <w:abstractNumId w:val="17"/>
  </w:num>
  <w:num w:numId="19" w16cid:durableId="1000280932">
    <w:abstractNumId w:val="10"/>
  </w:num>
  <w:num w:numId="20" w16cid:durableId="846673920">
    <w:abstractNumId w:val="7"/>
  </w:num>
  <w:num w:numId="21" w16cid:durableId="252861459">
    <w:abstractNumId w:val="0"/>
  </w:num>
  <w:num w:numId="22" w16cid:durableId="1345673110">
    <w:abstractNumId w:val="30"/>
  </w:num>
  <w:num w:numId="23" w16cid:durableId="1734429514">
    <w:abstractNumId w:val="1"/>
  </w:num>
  <w:num w:numId="24" w16cid:durableId="1804277025">
    <w:abstractNumId w:val="20"/>
  </w:num>
  <w:num w:numId="25" w16cid:durableId="1344940552">
    <w:abstractNumId w:val="15"/>
  </w:num>
  <w:num w:numId="26" w16cid:durableId="968707664">
    <w:abstractNumId w:val="24"/>
  </w:num>
  <w:num w:numId="27" w16cid:durableId="566108501">
    <w:abstractNumId w:val="16"/>
  </w:num>
  <w:num w:numId="28" w16cid:durableId="1488978920">
    <w:abstractNumId w:val="14"/>
  </w:num>
  <w:num w:numId="29" w16cid:durableId="209997236">
    <w:abstractNumId w:val="27"/>
  </w:num>
  <w:num w:numId="30" w16cid:durableId="2001229131">
    <w:abstractNumId w:val="18"/>
  </w:num>
  <w:num w:numId="31" w16cid:durableId="442304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S6z67B2X3qpiRfu+X575zwRQgBOheTaA8tNGXe4sX9MxgWtoQ0q4Fzc4CtvcH50xy5yZbfSuMI/PNdtdhNLpw==" w:salt="LGUUhAZdUaB/EC5TTJ/T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112 CS 12 November 2024"/>
    <w:docVar w:name="Trove_G_1_Withdraw" w:val="-1"/>
    <w:docVar w:name="Trove_H_Title_1" w:val="241112 CS 12 November 2024"/>
    <w:docVar w:name="Trove_H_Version_1" w:val=" "/>
  </w:docVars>
  <w:rsids>
    <w:rsidRoot w:val="00BE74C7"/>
    <w:rsid w:val="00001C1A"/>
    <w:rsid w:val="000220C2"/>
    <w:rsid w:val="00024CA5"/>
    <w:rsid w:val="000316EF"/>
    <w:rsid w:val="0004403B"/>
    <w:rsid w:val="000603B7"/>
    <w:rsid w:val="0006191C"/>
    <w:rsid w:val="00070181"/>
    <w:rsid w:val="00093F67"/>
    <w:rsid w:val="00094918"/>
    <w:rsid w:val="000A2D35"/>
    <w:rsid w:val="000B2264"/>
    <w:rsid w:val="000C11CF"/>
    <w:rsid w:val="000C2C68"/>
    <w:rsid w:val="000D5BA4"/>
    <w:rsid w:val="000D6F60"/>
    <w:rsid w:val="000F2343"/>
    <w:rsid w:val="001068D4"/>
    <w:rsid w:val="0011488E"/>
    <w:rsid w:val="00121482"/>
    <w:rsid w:val="001265CB"/>
    <w:rsid w:val="001475B8"/>
    <w:rsid w:val="00151C28"/>
    <w:rsid w:val="00157F76"/>
    <w:rsid w:val="001673FC"/>
    <w:rsid w:val="00181E4F"/>
    <w:rsid w:val="001A6E5A"/>
    <w:rsid w:val="001B1423"/>
    <w:rsid w:val="001C69E9"/>
    <w:rsid w:val="00222439"/>
    <w:rsid w:val="00224145"/>
    <w:rsid w:val="00237379"/>
    <w:rsid w:val="00237690"/>
    <w:rsid w:val="00237F94"/>
    <w:rsid w:val="00250064"/>
    <w:rsid w:val="00255BD1"/>
    <w:rsid w:val="0026017D"/>
    <w:rsid w:val="00285330"/>
    <w:rsid w:val="0028779B"/>
    <w:rsid w:val="00294CA9"/>
    <w:rsid w:val="00297658"/>
    <w:rsid w:val="00297F2C"/>
    <w:rsid w:val="002A17EC"/>
    <w:rsid w:val="002A4067"/>
    <w:rsid w:val="002A5317"/>
    <w:rsid w:val="002D46FF"/>
    <w:rsid w:val="002F1D8D"/>
    <w:rsid w:val="00362769"/>
    <w:rsid w:val="00374F94"/>
    <w:rsid w:val="00377497"/>
    <w:rsid w:val="003908F2"/>
    <w:rsid w:val="003A70E2"/>
    <w:rsid w:val="003B4442"/>
    <w:rsid w:val="003C7B4C"/>
    <w:rsid w:val="003F518C"/>
    <w:rsid w:val="004038F8"/>
    <w:rsid w:val="004417F8"/>
    <w:rsid w:val="00445799"/>
    <w:rsid w:val="00463E75"/>
    <w:rsid w:val="004910FE"/>
    <w:rsid w:val="0049296A"/>
    <w:rsid w:val="00497F02"/>
    <w:rsid w:val="004A79B5"/>
    <w:rsid w:val="004C05E8"/>
    <w:rsid w:val="004D5420"/>
    <w:rsid w:val="004E5534"/>
    <w:rsid w:val="004F5E9F"/>
    <w:rsid w:val="0050016D"/>
    <w:rsid w:val="00511B6C"/>
    <w:rsid w:val="00523472"/>
    <w:rsid w:val="0053574F"/>
    <w:rsid w:val="005458B4"/>
    <w:rsid w:val="00552704"/>
    <w:rsid w:val="005653E8"/>
    <w:rsid w:val="00585CFF"/>
    <w:rsid w:val="00587DD9"/>
    <w:rsid w:val="005A2443"/>
    <w:rsid w:val="005B1428"/>
    <w:rsid w:val="005D3D5D"/>
    <w:rsid w:val="005E1F39"/>
    <w:rsid w:val="006113A9"/>
    <w:rsid w:val="0063204E"/>
    <w:rsid w:val="006337B0"/>
    <w:rsid w:val="00644AAB"/>
    <w:rsid w:val="00683927"/>
    <w:rsid w:val="006B2AA5"/>
    <w:rsid w:val="006B3094"/>
    <w:rsid w:val="006C0BAB"/>
    <w:rsid w:val="006E006C"/>
    <w:rsid w:val="006E523F"/>
    <w:rsid w:val="00714692"/>
    <w:rsid w:val="00715425"/>
    <w:rsid w:val="00716AEB"/>
    <w:rsid w:val="00737112"/>
    <w:rsid w:val="00756646"/>
    <w:rsid w:val="00783244"/>
    <w:rsid w:val="007935E0"/>
    <w:rsid w:val="007A0584"/>
    <w:rsid w:val="007B3FD2"/>
    <w:rsid w:val="007C6444"/>
    <w:rsid w:val="007D1F65"/>
    <w:rsid w:val="008117AD"/>
    <w:rsid w:val="00817E35"/>
    <w:rsid w:val="008354BE"/>
    <w:rsid w:val="00855EF0"/>
    <w:rsid w:val="00864362"/>
    <w:rsid w:val="008A68F9"/>
    <w:rsid w:val="008B0461"/>
    <w:rsid w:val="008B4892"/>
    <w:rsid w:val="008B69BF"/>
    <w:rsid w:val="008D24A1"/>
    <w:rsid w:val="008D4AF3"/>
    <w:rsid w:val="008F53B8"/>
    <w:rsid w:val="009276F8"/>
    <w:rsid w:val="00941D24"/>
    <w:rsid w:val="00977EE5"/>
    <w:rsid w:val="009A7261"/>
    <w:rsid w:val="009B5D9E"/>
    <w:rsid w:val="009C7283"/>
    <w:rsid w:val="009D29E2"/>
    <w:rsid w:val="009F3206"/>
    <w:rsid w:val="00A03B5B"/>
    <w:rsid w:val="00A302BE"/>
    <w:rsid w:val="00A60830"/>
    <w:rsid w:val="00A647CC"/>
    <w:rsid w:val="00A66CD9"/>
    <w:rsid w:val="00A86ED6"/>
    <w:rsid w:val="00AD0BE3"/>
    <w:rsid w:val="00AF2B8A"/>
    <w:rsid w:val="00B1486D"/>
    <w:rsid w:val="00B178F2"/>
    <w:rsid w:val="00B22D18"/>
    <w:rsid w:val="00B25428"/>
    <w:rsid w:val="00B540B9"/>
    <w:rsid w:val="00B708E5"/>
    <w:rsid w:val="00B75554"/>
    <w:rsid w:val="00B80300"/>
    <w:rsid w:val="00B9071E"/>
    <w:rsid w:val="00BA5B8C"/>
    <w:rsid w:val="00BA6926"/>
    <w:rsid w:val="00BC49ED"/>
    <w:rsid w:val="00BC503E"/>
    <w:rsid w:val="00BE74C7"/>
    <w:rsid w:val="00BF0C85"/>
    <w:rsid w:val="00BF1539"/>
    <w:rsid w:val="00BF6416"/>
    <w:rsid w:val="00C23339"/>
    <w:rsid w:val="00C24B47"/>
    <w:rsid w:val="00C4339C"/>
    <w:rsid w:val="00C511E4"/>
    <w:rsid w:val="00C53006"/>
    <w:rsid w:val="00C73BC3"/>
    <w:rsid w:val="00C767B7"/>
    <w:rsid w:val="00C94CF7"/>
    <w:rsid w:val="00CA5304"/>
    <w:rsid w:val="00CB1088"/>
    <w:rsid w:val="00CC2010"/>
    <w:rsid w:val="00CD7069"/>
    <w:rsid w:val="00CE2378"/>
    <w:rsid w:val="00D22D73"/>
    <w:rsid w:val="00D252C3"/>
    <w:rsid w:val="00D323E7"/>
    <w:rsid w:val="00D64B7D"/>
    <w:rsid w:val="00D77159"/>
    <w:rsid w:val="00DB4692"/>
    <w:rsid w:val="00DB6828"/>
    <w:rsid w:val="00E0232B"/>
    <w:rsid w:val="00E35603"/>
    <w:rsid w:val="00E52D86"/>
    <w:rsid w:val="00E82A00"/>
    <w:rsid w:val="00E83704"/>
    <w:rsid w:val="00EB0972"/>
    <w:rsid w:val="00EC4737"/>
    <w:rsid w:val="00ED6DC2"/>
    <w:rsid w:val="00ED7B06"/>
    <w:rsid w:val="00EF0DCC"/>
    <w:rsid w:val="00EF661B"/>
    <w:rsid w:val="00F15C24"/>
    <w:rsid w:val="00F243FC"/>
    <w:rsid w:val="00F64633"/>
    <w:rsid w:val="00F833DC"/>
    <w:rsid w:val="00F91F4B"/>
    <w:rsid w:val="00FA7C21"/>
    <w:rsid w:val="00FD346A"/>
    <w:rsid w:val="00FD7CF6"/>
    <w:rsid w:val="00FF08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7C59"/>
  <w15:chartTrackingRefBased/>
  <w15:docId w15:val="{70342AAA-AD44-456B-9A0C-D743BCB3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02"/>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BE74C7"/>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8B4892"/>
    <w:pPr>
      <w:keepNext/>
      <w:keepLines/>
      <w:outlineLvl w:val="1"/>
    </w:pPr>
    <w:rPr>
      <w:rFonts w:eastAsiaTheme="majorEastAsia" w:cstheme="majorBidi"/>
      <w:kern w:val="2"/>
      <w:sz w:val="28"/>
      <w:szCs w:val="32"/>
      <w14:ligatures w14:val="standardContextual"/>
    </w:rPr>
  </w:style>
  <w:style w:type="paragraph" w:styleId="Heading3">
    <w:name w:val="heading 3"/>
    <w:basedOn w:val="Normal"/>
    <w:next w:val="Normal"/>
    <w:link w:val="Heading3Char"/>
    <w:uiPriority w:val="9"/>
    <w:semiHidden/>
    <w:unhideWhenUsed/>
    <w:qFormat/>
    <w:rsid w:val="00BE74C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74C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74C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74C7"/>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74C7"/>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74C7"/>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74C7"/>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4C7"/>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8B4892"/>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BE7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4C7"/>
    <w:rPr>
      <w:rFonts w:eastAsiaTheme="majorEastAsia" w:cstheme="majorBidi"/>
      <w:color w:val="272727" w:themeColor="text1" w:themeTint="D8"/>
    </w:rPr>
  </w:style>
  <w:style w:type="paragraph" w:styleId="Title">
    <w:name w:val="Title"/>
    <w:basedOn w:val="Normal"/>
    <w:next w:val="Normal"/>
    <w:link w:val="TitleChar"/>
    <w:uiPriority w:val="10"/>
    <w:qFormat/>
    <w:rsid w:val="00BE74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7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4C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7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4C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74C7"/>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BE74C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E74C7"/>
    <w:rPr>
      <w:i/>
      <w:iCs/>
      <w:color w:val="0F4761" w:themeColor="accent1" w:themeShade="BF"/>
    </w:rPr>
  </w:style>
  <w:style w:type="paragraph" w:styleId="IntenseQuote">
    <w:name w:val="Intense Quote"/>
    <w:basedOn w:val="Normal"/>
    <w:next w:val="Normal"/>
    <w:link w:val="IntenseQuoteChar"/>
    <w:uiPriority w:val="30"/>
    <w:qFormat/>
    <w:rsid w:val="00BE74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74C7"/>
    <w:rPr>
      <w:i/>
      <w:iCs/>
      <w:color w:val="0F4761" w:themeColor="accent1" w:themeShade="BF"/>
    </w:rPr>
  </w:style>
  <w:style w:type="character" w:styleId="IntenseReference">
    <w:name w:val="Intense Reference"/>
    <w:basedOn w:val="DefaultParagraphFont"/>
    <w:uiPriority w:val="32"/>
    <w:qFormat/>
    <w:rsid w:val="00BE74C7"/>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4E5534"/>
  </w:style>
  <w:style w:type="paragraph" w:styleId="Header">
    <w:name w:val="header"/>
    <w:basedOn w:val="Normal"/>
    <w:link w:val="HeaderChar"/>
    <w:unhideWhenUsed/>
    <w:rsid w:val="00C94CF7"/>
    <w:pPr>
      <w:tabs>
        <w:tab w:val="center" w:pos="4513"/>
        <w:tab w:val="right" w:pos="9026"/>
      </w:tabs>
    </w:pPr>
  </w:style>
  <w:style w:type="character" w:customStyle="1" w:styleId="HeaderChar">
    <w:name w:val="Header Char"/>
    <w:basedOn w:val="DefaultParagraphFont"/>
    <w:link w:val="Header"/>
    <w:uiPriority w:val="99"/>
    <w:rsid w:val="00C94CF7"/>
    <w:rPr>
      <w:kern w:val="0"/>
      <w14:ligatures w14:val="none"/>
    </w:rPr>
  </w:style>
  <w:style w:type="paragraph" w:styleId="Footer">
    <w:name w:val="footer"/>
    <w:basedOn w:val="Normal"/>
    <w:link w:val="FooterChar"/>
    <w:uiPriority w:val="99"/>
    <w:unhideWhenUsed/>
    <w:rsid w:val="00C94CF7"/>
    <w:pPr>
      <w:tabs>
        <w:tab w:val="center" w:pos="4513"/>
        <w:tab w:val="right" w:pos="9026"/>
      </w:tabs>
    </w:pPr>
  </w:style>
  <w:style w:type="character" w:customStyle="1" w:styleId="FooterChar">
    <w:name w:val="Footer Char"/>
    <w:basedOn w:val="DefaultParagraphFont"/>
    <w:link w:val="Footer"/>
    <w:uiPriority w:val="99"/>
    <w:rsid w:val="00C94CF7"/>
    <w:rPr>
      <w:kern w:val="0"/>
      <w14:ligatures w14:val="none"/>
    </w:rPr>
  </w:style>
  <w:style w:type="paragraph" w:styleId="NoSpacing">
    <w:name w:val="No Spacing"/>
    <w:uiPriority w:val="1"/>
    <w:qFormat/>
    <w:rsid w:val="00523472"/>
    <w:pPr>
      <w:spacing w:after="0" w:line="240" w:lineRule="auto"/>
    </w:pPr>
    <w:rPr>
      <w:kern w:val="0"/>
      <w14:ligatures w14:val="none"/>
    </w:rPr>
  </w:style>
  <w:style w:type="table" w:styleId="TableGrid">
    <w:name w:val="Table Grid"/>
    <w:basedOn w:val="TableNormal"/>
    <w:uiPriority w:val="39"/>
    <w:rsid w:val="005234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4633"/>
    <w:pPr>
      <w:spacing w:after="220" w:line="18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64633"/>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1475B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0C1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003">
      <w:bodyDiv w:val="1"/>
      <w:marLeft w:val="0"/>
      <w:marRight w:val="0"/>
      <w:marTop w:val="0"/>
      <w:marBottom w:val="0"/>
      <w:divBdr>
        <w:top w:val="none" w:sz="0" w:space="0" w:color="auto"/>
        <w:left w:val="none" w:sz="0" w:space="0" w:color="auto"/>
        <w:bottom w:val="none" w:sz="0" w:space="0" w:color="auto"/>
        <w:right w:val="none" w:sz="0" w:space="0" w:color="auto"/>
      </w:divBdr>
    </w:div>
    <w:div w:id="283461270">
      <w:bodyDiv w:val="1"/>
      <w:marLeft w:val="0"/>
      <w:marRight w:val="0"/>
      <w:marTop w:val="0"/>
      <w:marBottom w:val="0"/>
      <w:divBdr>
        <w:top w:val="none" w:sz="0" w:space="0" w:color="auto"/>
        <w:left w:val="none" w:sz="0" w:space="0" w:color="auto"/>
        <w:bottom w:val="none" w:sz="0" w:space="0" w:color="auto"/>
        <w:right w:val="none" w:sz="0" w:space="0" w:color="auto"/>
      </w:divBdr>
    </w:div>
    <w:div w:id="454565468">
      <w:bodyDiv w:val="1"/>
      <w:marLeft w:val="0"/>
      <w:marRight w:val="0"/>
      <w:marTop w:val="0"/>
      <w:marBottom w:val="0"/>
      <w:divBdr>
        <w:top w:val="none" w:sz="0" w:space="0" w:color="auto"/>
        <w:left w:val="none" w:sz="0" w:space="0" w:color="auto"/>
        <w:bottom w:val="none" w:sz="0" w:space="0" w:color="auto"/>
        <w:right w:val="none" w:sz="0" w:space="0" w:color="auto"/>
      </w:divBdr>
      <w:divsChild>
        <w:div w:id="62803647">
          <w:marLeft w:val="360"/>
          <w:marRight w:val="0"/>
          <w:marTop w:val="200"/>
          <w:marBottom w:val="0"/>
          <w:divBdr>
            <w:top w:val="none" w:sz="0" w:space="0" w:color="auto"/>
            <w:left w:val="none" w:sz="0" w:space="0" w:color="auto"/>
            <w:bottom w:val="none" w:sz="0" w:space="0" w:color="auto"/>
            <w:right w:val="none" w:sz="0" w:space="0" w:color="auto"/>
          </w:divBdr>
        </w:div>
      </w:divsChild>
    </w:div>
    <w:div w:id="609434940">
      <w:bodyDiv w:val="1"/>
      <w:marLeft w:val="0"/>
      <w:marRight w:val="0"/>
      <w:marTop w:val="0"/>
      <w:marBottom w:val="0"/>
      <w:divBdr>
        <w:top w:val="none" w:sz="0" w:space="0" w:color="auto"/>
        <w:left w:val="none" w:sz="0" w:space="0" w:color="auto"/>
        <w:bottom w:val="none" w:sz="0" w:space="0" w:color="auto"/>
        <w:right w:val="none" w:sz="0" w:space="0" w:color="auto"/>
      </w:divBdr>
    </w:div>
    <w:div w:id="669260958">
      <w:bodyDiv w:val="1"/>
      <w:marLeft w:val="0"/>
      <w:marRight w:val="0"/>
      <w:marTop w:val="0"/>
      <w:marBottom w:val="0"/>
      <w:divBdr>
        <w:top w:val="none" w:sz="0" w:space="0" w:color="auto"/>
        <w:left w:val="none" w:sz="0" w:space="0" w:color="auto"/>
        <w:bottom w:val="none" w:sz="0" w:space="0" w:color="auto"/>
        <w:right w:val="none" w:sz="0" w:space="0" w:color="auto"/>
      </w:divBdr>
      <w:divsChild>
        <w:div w:id="1398016873">
          <w:marLeft w:val="720"/>
          <w:marRight w:val="0"/>
          <w:marTop w:val="0"/>
          <w:marBottom w:val="120"/>
          <w:divBdr>
            <w:top w:val="none" w:sz="0" w:space="0" w:color="auto"/>
            <w:left w:val="none" w:sz="0" w:space="0" w:color="auto"/>
            <w:bottom w:val="none" w:sz="0" w:space="0" w:color="auto"/>
            <w:right w:val="none" w:sz="0" w:space="0" w:color="auto"/>
          </w:divBdr>
        </w:div>
        <w:div w:id="1102265772">
          <w:marLeft w:val="720"/>
          <w:marRight w:val="0"/>
          <w:marTop w:val="0"/>
          <w:marBottom w:val="120"/>
          <w:divBdr>
            <w:top w:val="none" w:sz="0" w:space="0" w:color="auto"/>
            <w:left w:val="none" w:sz="0" w:space="0" w:color="auto"/>
            <w:bottom w:val="none" w:sz="0" w:space="0" w:color="auto"/>
            <w:right w:val="none" w:sz="0" w:space="0" w:color="auto"/>
          </w:divBdr>
        </w:div>
        <w:div w:id="1417364983">
          <w:marLeft w:val="720"/>
          <w:marRight w:val="0"/>
          <w:marTop w:val="0"/>
          <w:marBottom w:val="120"/>
          <w:divBdr>
            <w:top w:val="none" w:sz="0" w:space="0" w:color="auto"/>
            <w:left w:val="none" w:sz="0" w:space="0" w:color="auto"/>
            <w:bottom w:val="none" w:sz="0" w:space="0" w:color="auto"/>
            <w:right w:val="none" w:sz="0" w:space="0" w:color="auto"/>
          </w:divBdr>
        </w:div>
      </w:divsChild>
    </w:div>
    <w:div w:id="678314255">
      <w:bodyDiv w:val="1"/>
      <w:marLeft w:val="0"/>
      <w:marRight w:val="0"/>
      <w:marTop w:val="0"/>
      <w:marBottom w:val="0"/>
      <w:divBdr>
        <w:top w:val="none" w:sz="0" w:space="0" w:color="auto"/>
        <w:left w:val="none" w:sz="0" w:space="0" w:color="auto"/>
        <w:bottom w:val="none" w:sz="0" w:space="0" w:color="auto"/>
        <w:right w:val="none" w:sz="0" w:space="0" w:color="auto"/>
      </w:divBdr>
      <w:divsChild>
        <w:div w:id="1148209369">
          <w:marLeft w:val="547"/>
          <w:marRight w:val="0"/>
          <w:marTop w:val="0"/>
          <w:marBottom w:val="0"/>
          <w:divBdr>
            <w:top w:val="none" w:sz="0" w:space="0" w:color="auto"/>
            <w:left w:val="none" w:sz="0" w:space="0" w:color="auto"/>
            <w:bottom w:val="none" w:sz="0" w:space="0" w:color="auto"/>
            <w:right w:val="none" w:sz="0" w:space="0" w:color="auto"/>
          </w:divBdr>
        </w:div>
        <w:div w:id="1699310197">
          <w:marLeft w:val="547"/>
          <w:marRight w:val="0"/>
          <w:marTop w:val="0"/>
          <w:marBottom w:val="0"/>
          <w:divBdr>
            <w:top w:val="none" w:sz="0" w:space="0" w:color="auto"/>
            <w:left w:val="none" w:sz="0" w:space="0" w:color="auto"/>
            <w:bottom w:val="none" w:sz="0" w:space="0" w:color="auto"/>
            <w:right w:val="none" w:sz="0" w:space="0" w:color="auto"/>
          </w:divBdr>
        </w:div>
        <w:div w:id="983661397">
          <w:marLeft w:val="547"/>
          <w:marRight w:val="0"/>
          <w:marTop w:val="0"/>
          <w:marBottom w:val="0"/>
          <w:divBdr>
            <w:top w:val="none" w:sz="0" w:space="0" w:color="auto"/>
            <w:left w:val="none" w:sz="0" w:space="0" w:color="auto"/>
            <w:bottom w:val="none" w:sz="0" w:space="0" w:color="auto"/>
            <w:right w:val="none" w:sz="0" w:space="0" w:color="auto"/>
          </w:divBdr>
        </w:div>
      </w:divsChild>
    </w:div>
    <w:div w:id="792671945">
      <w:bodyDiv w:val="1"/>
      <w:marLeft w:val="0"/>
      <w:marRight w:val="0"/>
      <w:marTop w:val="0"/>
      <w:marBottom w:val="0"/>
      <w:divBdr>
        <w:top w:val="none" w:sz="0" w:space="0" w:color="auto"/>
        <w:left w:val="none" w:sz="0" w:space="0" w:color="auto"/>
        <w:bottom w:val="none" w:sz="0" w:space="0" w:color="auto"/>
        <w:right w:val="none" w:sz="0" w:space="0" w:color="auto"/>
      </w:divBdr>
    </w:div>
    <w:div w:id="1143355422">
      <w:bodyDiv w:val="1"/>
      <w:marLeft w:val="0"/>
      <w:marRight w:val="0"/>
      <w:marTop w:val="0"/>
      <w:marBottom w:val="0"/>
      <w:divBdr>
        <w:top w:val="none" w:sz="0" w:space="0" w:color="auto"/>
        <w:left w:val="none" w:sz="0" w:space="0" w:color="auto"/>
        <w:bottom w:val="none" w:sz="0" w:space="0" w:color="auto"/>
        <w:right w:val="none" w:sz="0" w:space="0" w:color="auto"/>
      </w:divBdr>
    </w:div>
    <w:div w:id="1292589549">
      <w:bodyDiv w:val="1"/>
      <w:marLeft w:val="0"/>
      <w:marRight w:val="0"/>
      <w:marTop w:val="0"/>
      <w:marBottom w:val="0"/>
      <w:divBdr>
        <w:top w:val="none" w:sz="0" w:space="0" w:color="auto"/>
        <w:left w:val="none" w:sz="0" w:space="0" w:color="auto"/>
        <w:bottom w:val="none" w:sz="0" w:space="0" w:color="auto"/>
        <w:right w:val="none" w:sz="0" w:space="0" w:color="auto"/>
      </w:divBdr>
    </w:div>
    <w:div w:id="1306084704">
      <w:bodyDiv w:val="1"/>
      <w:marLeft w:val="0"/>
      <w:marRight w:val="0"/>
      <w:marTop w:val="0"/>
      <w:marBottom w:val="0"/>
      <w:divBdr>
        <w:top w:val="none" w:sz="0" w:space="0" w:color="auto"/>
        <w:left w:val="none" w:sz="0" w:space="0" w:color="auto"/>
        <w:bottom w:val="none" w:sz="0" w:space="0" w:color="auto"/>
        <w:right w:val="none" w:sz="0" w:space="0" w:color="auto"/>
      </w:divBdr>
    </w:div>
    <w:div w:id="1350446221">
      <w:bodyDiv w:val="1"/>
      <w:marLeft w:val="0"/>
      <w:marRight w:val="0"/>
      <w:marTop w:val="0"/>
      <w:marBottom w:val="0"/>
      <w:divBdr>
        <w:top w:val="none" w:sz="0" w:space="0" w:color="auto"/>
        <w:left w:val="none" w:sz="0" w:space="0" w:color="auto"/>
        <w:bottom w:val="none" w:sz="0" w:space="0" w:color="auto"/>
        <w:right w:val="none" w:sz="0" w:space="0" w:color="auto"/>
      </w:divBdr>
      <w:divsChild>
        <w:div w:id="975069919">
          <w:marLeft w:val="446"/>
          <w:marRight w:val="0"/>
          <w:marTop w:val="0"/>
          <w:marBottom w:val="0"/>
          <w:divBdr>
            <w:top w:val="none" w:sz="0" w:space="0" w:color="auto"/>
            <w:left w:val="none" w:sz="0" w:space="0" w:color="auto"/>
            <w:bottom w:val="none" w:sz="0" w:space="0" w:color="auto"/>
            <w:right w:val="none" w:sz="0" w:space="0" w:color="auto"/>
          </w:divBdr>
        </w:div>
        <w:div w:id="1770463719">
          <w:marLeft w:val="446"/>
          <w:marRight w:val="0"/>
          <w:marTop w:val="0"/>
          <w:marBottom w:val="0"/>
          <w:divBdr>
            <w:top w:val="none" w:sz="0" w:space="0" w:color="auto"/>
            <w:left w:val="none" w:sz="0" w:space="0" w:color="auto"/>
            <w:bottom w:val="none" w:sz="0" w:space="0" w:color="auto"/>
            <w:right w:val="none" w:sz="0" w:space="0" w:color="auto"/>
          </w:divBdr>
        </w:div>
        <w:div w:id="189412781">
          <w:marLeft w:val="446"/>
          <w:marRight w:val="0"/>
          <w:marTop w:val="0"/>
          <w:marBottom w:val="0"/>
          <w:divBdr>
            <w:top w:val="none" w:sz="0" w:space="0" w:color="auto"/>
            <w:left w:val="none" w:sz="0" w:space="0" w:color="auto"/>
            <w:bottom w:val="none" w:sz="0" w:space="0" w:color="auto"/>
            <w:right w:val="none" w:sz="0" w:space="0" w:color="auto"/>
          </w:divBdr>
        </w:div>
        <w:div w:id="487988005">
          <w:marLeft w:val="446"/>
          <w:marRight w:val="0"/>
          <w:marTop w:val="0"/>
          <w:marBottom w:val="0"/>
          <w:divBdr>
            <w:top w:val="none" w:sz="0" w:space="0" w:color="auto"/>
            <w:left w:val="none" w:sz="0" w:space="0" w:color="auto"/>
            <w:bottom w:val="none" w:sz="0" w:space="0" w:color="auto"/>
            <w:right w:val="none" w:sz="0" w:space="0" w:color="auto"/>
          </w:divBdr>
        </w:div>
        <w:div w:id="1375085469">
          <w:marLeft w:val="446"/>
          <w:marRight w:val="0"/>
          <w:marTop w:val="0"/>
          <w:marBottom w:val="0"/>
          <w:divBdr>
            <w:top w:val="none" w:sz="0" w:space="0" w:color="auto"/>
            <w:left w:val="none" w:sz="0" w:space="0" w:color="auto"/>
            <w:bottom w:val="none" w:sz="0" w:space="0" w:color="auto"/>
            <w:right w:val="none" w:sz="0" w:space="0" w:color="auto"/>
          </w:divBdr>
        </w:div>
      </w:divsChild>
    </w:div>
    <w:div w:id="1684699375">
      <w:bodyDiv w:val="1"/>
      <w:marLeft w:val="0"/>
      <w:marRight w:val="0"/>
      <w:marTop w:val="0"/>
      <w:marBottom w:val="0"/>
      <w:divBdr>
        <w:top w:val="none" w:sz="0" w:space="0" w:color="auto"/>
        <w:left w:val="none" w:sz="0" w:space="0" w:color="auto"/>
        <w:bottom w:val="none" w:sz="0" w:space="0" w:color="auto"/>
        <w:right w:val="none" w:sz="0" w:space="0" w:color="auto"/>
      </w:divBdr>
      <w:divsChild>
        <w:div w:id="583879810">
          <w:marLeft w:val="446"/>
          <w:marRight w:val="0"/>
          <w:marTop w:val="0"/>
          <w:marBottom w:val="0"/>
          <w:divBdr>
            <w:top w:val="none" w:sz="0" w:space="0" w:color="auto"/>
            <w:left w:val="none" w:sz="0" w:space="0" w:color="auto"/>
            <w:bottom w:val="none" w:sz="0" w:space="0" w:color="auto"/>
            <w:right w:val="none" w:sz="0" w:space="0" w:color="auto"/>
          </w:divBdr>
        </w:div>
        <w:div w:id="701396369">
          <w:marLeft w:val="446"/>
          <w:marRight w:val="0"/>
          <w:marTop w:val="0"/>
          <w:marBottom w:val="0"/>
          <w:divBdr>
            <w:top w:val="none" w:sz="0" w:space="0" w:color="auto"/>
            <w:left w:val="none" w:sz="0" w:space="0" w:color="auto"/>
            <w:bottom w:val="none" w:sz="0" w:space="0" w:color="auto"/>
            <w:right w:val="none" w:sz="0" w:space="0" w:color="auto"/>
          </w:divBdr>
        </w:div>
        <w:div w:id="1621185781">
          <w:marLeft w:val="446"/>
          <w:marRight w:val="0"/>
          <w:marTop w:val="0"/>
          <w:marBottom w:val="0"/>
          <w:divBdr>
            <w:top w:val="none" w:sz="0" w:space="0" w:color="auto"/>
            <w:left w:val="none" w:sz="0" w:space="0" w:color="auto"/>
            <w:bottom w:val="none" w:sz="0" w:space="0" w:color="auto"/>
            <w:right w:val="none" w:sz="0" w:space="0" w:color="auto"/>
          </w:divBdr>
        </w:div>
      </w:divsChild>
    </w:div>
    <w:div w:id="1935703111">
      <w:bodyDiv w:val="1"/>
      <w:marLeft w:val="0"/>
      <w:marRight w:val="0"/>
      <w:marTop w:val="0"/>
      <w:marBottom w:val="0"/>
      <w:divBdr>
        <w:top w:val="none" w:sz="0" w:space="0" w:color="auto"/>
        <w:left w:val="none" w:sz="0" w:space="0" w:color="auto"/>
        <w:bottom w:val="none" w:sz="0" w:space="0" w:color="auto"/>
        <w:right w:val="none" w:sz="0" w:space="0" w:color="auto"/>
      </w:divBdr>
    </w:div>
    <w:div w:id="2035030464">
      <w:bodyDiv w:val="1"/>
      <w:marLeft w:val="0"/>
      <w:marRight w:val="0"/>
      <w:marTop w:val="0"/>
      <w:marBottom w:val="0"/>
      <w:divBdr>
        <w:top w:val="none" w:sz="0" w:space="0" w:color="auto"/>
        <w:left w:val="none" w:sz="0" w:space="0" w:color="auto"/>
        <w:bottom w:val="none" w:sz="0" w:space="0" w:color="auto"/>
        <w:right w:val="none" w:sz="0" w:space="0" w:color="auto"/>
      </w:divBdr>
      <w:divsChild>
        <w:div w:id="7179762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44D18-DA40-4A62-B6BC-08B1613B3630}">
  <ds:schemaRefs>
    <ds:schemaRef ds:uri="http://schemas.microsoft.com/sharepoint/v3/contenttype/forms"/>
  </ds:schemaRefs>
</ds:datastoreItem>
</file>

<file path=customXml/itemProps2.xml><?xml version="1.0" encoding="utf-8"?>
<ds:datastoreItem xmlns:ds="http://schemas.openxmlformats.org/officeDocument/2006/customXml" ds:itemID="{4EC836F1-F467-4E09-8C56-B238CC06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9C2E9-AAD1-45C1-B703-B1ED739F62EF}">
  <ds:schemaRefs>
    <ds:schemaRef ds:uri="http://schemas.openxmlformats.org/officeDocument/2006/bibliography"/>
  </ds:schemaRefs>
</ds:datastoreItem>
</file>

<file path=customXml/itemProps4.xml><?xml version="1.0" encoding="utf-8"?>
<ds:datastoreItem xmlns:ds="http://schemas.openxmlformats.org/officeDocument/2006/customXml" ds:itemID="{EC34CCAA-B9C4-45C3-8E7A-670E8F2BFD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8248</Words>
  <Characters>47014</Characters>
  <Application>Microsoft Office Word</Application>
  <DocSecurity>8</DocSecurity>
  <Lines>391</Lines>
  <Paragraphs>110</Paragraphs>
  <ScaleCrop>false</ScaleCrop>
  <HeadingPairs>
    <vt:vector size="2" baseType="variant">
      <vt:variant>
        <vt:lpstr>Title</vt:lpstr>
      </vt:variant>
      <vt:variant>
        <vt:i4>1</vt:i4>
      </vt:variant>
    </vt:vector>
  </HeadingPairs>
  <TitlesOfParts>
    <vt:vector size="1" baseType="lpstr">
      <vt:lpstr>241112 CS 12 November 2024</vt:lpstr>
    </vt:vector>
  </TitlesOfParts>
  <Company>Ards and North Down Borough Council</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241112 CS 12 November 2024</dc:title>
  <dc:subject/>
  <dc:creator>Glasgow, Jennifer</dc:creator>
  <cp:keywords/>
  <dc:description/>
  <cp:lastModifiedBy>Cull, Joshua</cp:lastModifiedBy>
  <cp:revision>9</cp:revision>
  <cp:lastPrinted>2024-11-21T12:38:00Z</cp:lastPrinted>
  <dcterms:created xsi:type="dcterms:W3CDTF">2024-11-21T12:39:00Z</dcterms:created>
  <dcterms:modified xsi:type="dcterms:W3CDTF">2026-01-09T10:30:00Z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