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321E" w14:textId="77777777" w:rsidR="006113F2" w:rsidRPr="00EA3D0C" w:rsidRDefault="006113F2" w:rsidP="006113F2">
      <w:pPr>
        <w:jc w:val="center"/>
        <w:rPr>
          <w:rFonts w:cs="Arial"/>
          <w:b/>
          <w:caps/>
          <w:sz w:val="28"/>
          <w:szCs w:val="28"/>
          <w:u w:val="single"/>
        </w:rPr>
      </w:pPr>
      <w:bookmarkStart w:id="0" w:name="_Hlk129687430"/>
      <w:r w:rsidRPr="00EA3D0C">
        <w:rPr>
          <w:rFonts w:cs="Arial"/>
          <w:b/>
          <w:caps/>
          <w:sz w:val="28"/>
          <w:szCs w:val="28"/>
          <w:u w:val="single"/>
        </w:rPr>
        <w:t>ARDS and North Down Borough Council</w:t>
      </w:r>
    </w:p>
    <w:p w14:paraId="059B6CA3" w14:textId="77777777" w:rsidR="006113F2" w:rsidRPr="00EA3D0C" w:rsidRDefault="006113F2" w:rsidP="006113F2">
      <w:pPr>
        <w:rPr>
          <w:rFonts w:cs="Arial"/>
          <w:b/>
          <w:caps/>
          <w:szCs w:val="24"/>
          <w:u w:val="single"/>
        </w:rPr>
      </w:pPr>
    </w:p>
    <w:p w14:paraId="36A3647C" w14:textId="5CC02C4E" w:rsidR="006113F2" w:rsidRDefault="006113F2" w:rsidP="006113F2">
      <w:pPr>
        <w:rPr>
          <w:rFonts w:cs="Arial"/>
        </w:rPr>
      </w:pPr>
      <w:r w:rsidRPr="00600EA9">
        <w:t xml:space="preserve">A </w:t>
      </w:r>
      <w:r w:rsidR="00016C5B">
        <w:t>meeting</w:t>
      </w:r>
      <w:r w:rsidRPr="00600EA9">
        <w:t xml:space="preserve"> the </w:t>
      </w:r>
      <w:r>
        <w:t>Corporate Services Committee</w:t>
      </w:r>
      <w:r w:rsidRPr="00600EA9">
        <w:t xml:space="preserve"> was held </w:t>
      </w:r>
      <w:r>
        <w:t xml:space="preserve">at the </w:t>
      </w:r>
      <w:r w:rsidR="00016C5B">
        <w:t xml:space="preserve">Council Chamber, Church Street, Newtownards on </w:t>
      </w:r>
      <w:r w:rsidR="00016C5B">
        <w:rPr>
          <w:rFonts w:cs="Arial"/>
        </w:rPr>
        <w:t>Tuesday 12</w:t>
      </w:r>
      <w:r w:rsidR="00016C5B" w:rsidRPr="00016C5B">
        <w:rPr>
          <w:rFonts w:cs="Arial"/>
          <w:vertAlign w:val="superscript"/>
        </w:rPr>
        <w:t>th</w:t>
      </w:r>
      <w:r w:rsidR="00016C5B">
        <w:rPr>
          <w:rFonts w:cs="Arial"/>
        </w:rPr>
        <w:t xml:space="preserve"> March 2024 at 19:00.</w:t>
      </w:r>
    </w:p>
    <w:p w14:paraId="3552B686" w14:textId="77777777" w:rsidR="006113F2" w:rsidRPr="00EA3D0C" w:rsidRDefault="006113F2" w:rsidP="006113F2">
      <w:pPr>
        <w:rPr>
          <w:rFonts w:cs="Arial"/>
          <w:b/>
          <w:szCs w:val="24"/>
        </w:rPr>
      </w:pPr>
    </w:p>
    <w:p w14:paraId="4131057A" w14:textId="77777777" w:rsidR="006113F2" w:rsidRPr="00EA3D0C" w:rsidRDefault="006113F2" w:rsidP="006113F2">
      <w:pPr>
        <w:rPr>
          <w:rFonts w:cs="Arial"/>
          <w:b/>
          <w:szCs w:val="24"/>
        </w:rPr>
      </w:pPr>
      <w:r w:rsidRPr="00EA3D0C">
        <w:rPr>
          <w:rFonts w:cs="Arial"/>
          <w:b/>
          <w:szCs w:val="24"/>
        </w:rPr>
        <w:t xml:space="preserve">PRESENT: </w:t>
      </w:r>
    </w:p>
    <w:p w14:paraId="10ABE826" w14:textId="77777777" w:rsidR="006113F2" w:rsidRPr="00EA3D0C" w:rsidRDefault="006113F2" w:rsidP="006113F2">
      <w:pPr>
        <w:rPr>
          <w:rFonts w:cs="Arial"/>
          <w:szCs w:val="24"/>
        </w:rPr>
      </w:pPr>
    </w:p>
    <w:p w14:paraId="2DF5B094" w14:textId="587DCA1F" w:rsidR="006113F2" w:rsidRPr="00EA3D0C" w:rsidRDefault="006113F2" w:rsidP="006113F2">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Pr>
          <w:rFonts w:cs="Arial"/>
          <w:bCs/>
          <w:szCs w:val="24"/>
        </w:rPr>
        <w:t>Councillor Moore</w:t>
      </w:r>
    </w:p>
    <w:p w14:paraId="4583EF23" w14:textId="77777777" w:rsidR="006113F2" w:rsidRPr="00EA3D0C" w:rsidRDefault="006113F2" w:rsidP="006113F2">
      <w:pPr>
        <w:tabs>
          <w:tab w:val="left" w:pos="142"/>
          <w:tab w:val="left" w:pos="720"/>
        </w:tabs>
        <w:rPr>
          <w:rFonts w:cs="Arial"/>
          <w:szCs w:val="24"/>
        </w:rPr>
      </w:pPr>
    </w:p>
    <w:p w14:paraId="7179F597" w14:textId="0DADBB10" w:rsidR="006113F2" w:rsidRDefault="006113F2" w:rsidP="006113F2">
      <w:pPr>
        <w:tabs>
          <w:tab w:val="left" w:pos="142"/>
          <w:tab w:val="left" w:pos="720"/>
        </w:tabs>
        <w:ind w:left="2160" w:hanging="2160"/>
        <w:rPr>
          <w:rFonts w:cs="Arial"/>
          <w:bCs/>
          <w:szCs w:val="24"/>
        </w:rPr>
      </w:pPr>
      <w:r w:rsidRPr="00EA3D0C">
        <w:rPr>
          <w:rFonts w:cs="Arial"/>
          <w:b/>
          <w:szCs w:val="24"/>
        </w:rPr>
        <w:t>Aldermen:</w:t>
      </w:r>
      <w:r>
        <w:rPr>
          <w:rFonts w:cs="Arial"/>
          <w:b/>
          <w:szCs w:val="24"/>
        </w:rPr>
        <w:tab/>
      </w:r>
      <w:r w:rsidR="00550EFD">
        <w:rPr>
          <w:rFonts w:cs="Arial"/>
          <w:bCs/>
          <w:szCs w:val="24"/>
        </w:rPr>
        <w:t xml:space="preserve">Brooks </w:t>
      </w:r>
      <w:r w:rsidR="00016C5B">
        <w:rPr>
          <w:rFonts w:cs="Arial"/>
          <w:bCs/>
          <w:szCs w:val="24"/>
        </w:rPr>
        <w:tab/>
      </w:r>
      <w:r w:rsidR="00550EFD">
        <w:rPr>
          <w:rFonts w:cs="Arial"/>
          <w:bCs/>
          <w:szCs w:val="24"/>
        </w:rPr>
        <w:tab/>
        <w:t>McIlveen</w:t>
      </w:r>
    </w:p>
    <w:p w14:paraId="594FFFBF" w14:textId="6410DC0B" w:rsidR="00550EFD" w:rsidRDefault="00550EFD" w:rsidP="006113F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Graham</w:t>
      </w:r>
      <w:r w:rsidR="00036EBA">
        <w:rPr>
          <w:rFonts w:cs="Arial"/>
          <w:bCs/>
          <w:szCs w:val="24"/>
        </w:rPr>
        <w:t xml:space="preserve"> (19:12)</w:t>
      </w:r>
      <w:r>
        <w:rPr>
          <w:rFonts w:cs="Arial"/>
          <w:bCs/>
          <w:szCs w:val="24"/>
        </w:rPr>
        <w:tab/>
        <w:t>Smith</w:t>
      </w:r>
      <w:r w:rsidR="00036EBA">
        <w:rPr>
          <w:rFonts w:cs="Arial"/>
          <w:bCs/>
          <w:szCs w:val="24"/>
        </w:rPr>
        <w:t xml:space="preserve"> (19:12)</w:t>
      </w:r>
    </w:p>
    <w:p w14:paraId="1B3C4DAB" w14:textId="79DDF9D8" w:rsidR="00550EFD" w:rsidRPr="00550EFD" w:rsidRDefault="00550EFD" w:rsidP="006113F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McAlpine</w:t>
      </w:r>
    </w:p>
    <w:p w14:paraId="2F43C2B7" w14:textId="6CBFDC74" w:rsidR="006113F2" w:rsidRPr="0002243F" w:rsidRDefault="006113F2" w:rsidP="006113F2">
      <w:pPr>
        <w:tabs>
          <w:tab w:val="left" w:pos="142"/>
          <w:tab w:val="left" w:pos="720"/>
        </w:tabs>
        <w:ind w:left="2160" w:hanging="2160"/>
        <w:rPr>
          <w:rFonts w:cs="Arial"/>
          <w:bCs/>
          <w:szCs w:val="24"/>
        </w:rPr>
      </w:pPr>
    </w:p>
    <w:p w14:paraId="5591C09E" w14:textId="77777777" w:rsidR="006113F2" w:rsidRPr="0083612D" w:rsidRDefault="006113F2" w:rsidP="006113F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49DC448B" w14:textId="75D1634A" w:rsidR="006113F2" w:rsidRDefault="006113F2" w:rsidP="006113F2">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sidR="00550EFD">
        <w:rPr>
          <w:rFonts w:cs="Arial"/>
          <w:bCs/>
          <w:szCs w:val="24"/>
        </w:rPr>
        <w:t>Chambers</w:t>
      </w:r>
      <w:r w:rsidR="00550EFD">
        <w:rPr>
          <w:rFonts w:cs="Arial"/>
          <w:bCs/>
          <w:szCs w:val="24"/>
        </w:rPr>
        <w:tab/>
      </w:r>
      <w:r w:rsidR="00550EFD">
        <w:rPr>
          <w:rFonts w:cs="Arial"/>
          <w:bCs/>
          <w:szCs w:val="24"/>
        </w:rPr>
        <w:tab/>
        <w:t>W Irvine</w:t>
      </w:r>
    </w:p>
    <w:p w14:paraId="163CA906" w14:textId="4981BF0E" w:rsidR="00550EFD" w:rsidRDefault="00550EFD" w:rsidP="006113F2">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Cochrane</w:t>
      </w:r>
      <w:r>
        <w:rPr>
          <w:rFonts w:cs="Arial"/>
          <w:bCs/>
          <w:szCs w:val="24"/>
        </w:rPr>
        <w:tab/>
      </w:r>
      <w:r>
        <w:rPr>
          <w:rFonts w:cs="Arial"/>
          <w:bCs/>
          <w:szCs w:val="24"/>
        </w:rPr>
        <w:tab/>
        <w:t>Irwin</w:t>
      </w:r>
    </w:p>
    <w:p w14:paraId="6D649FCA" w14:textId="66914B46" w:rsidR="00550EFD" w:rsidRDefault="00550EFD" w:rsidP="006113F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Gilmour</w:t>
      </w:r>
      <w:r w:rsidR="00036EBA">
        <w:rPr>
          <w:rFonts w:cs="Arial"/>
          <w:bCs/>
          <w:szCs w:val="24"/>
        </w:rPr>
        <w:t xml:space="preserve"> (19:04)</w:t>
      </w:r>
      <w:r>
        <w:rPr>
          <w:rFonts w:cs="Arial"/>
          <w:bCs/>
          <w:szCs w:val="24"/>
        </w:rPr>
        <w:tab/>
        <w:t>McCracken</w:t>
      </w:r>
    </w:p>
    <w:p w14:paraId="4BDC1703" w14:textId="4B4BEF23" w:rsidR="00550EFD" w:rsidRDefault="00550EFD" w:rsidP="006113F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Kennedy</w:t>
      </w:r>
      <w:r>
        <w:rPr>
          <w:rFonts w:cs="Arial"/>
          <w:bCs/>
          <w:szCs w:val="24"/>
        </w:rPr>
        <w:tab/>
      </w:r>
      <w:r>
        <w:rPr>
          <w:rFonts w:cs="Arial"/>
          <w:bCs/>
          <w:szCs w:val="24"/>
        </w:rPr>
        <w:tab/>
        <w:t>McRandal</w:t>
      </w:r>
    </w:p>
    <w:p w14:paraId="373B2EF1" w14:textId="1EACDFE4" w:rsidR="00550EFD" w:rsidRDefault="00550EFD" w:rsidP="006113F2">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S Irvine</w:t>
      </w:r>
      <w:r>
        <w:rPr>
          <w:rFonts w:cs="Arial"/>
          <w:bCs/>
          <w:szCs w:val="24"/>
        </w:rPr>
        <w:tab/>
      </w:r>
      <w:r>
        <w:rPr>
          <w:rFonts w:cs="Arial"/>
          <w:bCs/>
          <w:szCs w:val="24"/>
        </w:rPr>
        <w:tab/>
      </w:r>
    </w:p>
    <w:p w14:paraId="507CF5D3" w14:textId="6B5087C3" w:rsidR="006113F2" w:rsidRPr="00EA3D0C" w:rsidRDefault="006113F2" w:rsidP="00C5209F">
      <w:pPr>
        <w:tabs>
          <w:tab w:val="left" w:pos="142"/>
          <w:tab w:val="left" w:pos="720"/>
        </w:tabs>
        <w:rPr>
          <w:rFonts w:cs="Arial"/>
          <w:szCs w:val="24"/>
        </w:rPr>
      </w:pP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64EF7F2F" w14:textId="1A7037B4" w:rsidR="006113F2" w:rsidRDefault="006113F2" w:rsidP="006113F2">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Pr>
          <w:rFonts w:cs="Arial"/>
          <w:szCs w:val="24"/>
        </w:rPr>
        <w:t xml:space="preserve">Head of Administration (A Curtis), </w:t>
      </w:r>
      <w:r w:rsidR="000E0ABA">
        <w:rPr>
          <w:rFonts w:cs="Arial"/>
          <w:szCs w:val="24"/>
        </w:rPr>
        <w:t xml:space="preserve">Head of Finance (S Grieve), </w:t>
      </w:r>
      <w:r>
        <w:rPr>
          <w:rFonts w:cs="Arial"/>
          <w:szCs w:val="24"/>
        </w:rPr>
        <w:t xml:space="preserve">Head of </w:t>
      </w:r>
      <w:r w:rsidR="00E9574A">
        <w:rPr>
          <w:rFonts w:cs="Arial"/>
          <w:szCs w:val="24"/>
        </w:rPr>
        <w:t xml:space="preserve">Communications and Marketing (C Jackson), Chief Executive (S Reid) </w:t>
      </w:r>
      <w:r w:rsidR="00922DC8">
        <w:rPr>
          <w:rFonts w:cs="Arial"/>
          <w:szCs w:val="24"/>
        </w:rPr>
        <w:t>(</w:t>
      </w:r>
      <w:r w:rsidR="001E06BF">
        <w:rPr>
          <w:rFonts w:cs="Arial"/>
          <w:szCs w:val="24"/>
        </w:rPr>
        <w:t>from 20:00)</w:t>
      </w:r>
      <w:r>
        <w:rPr>
          <w:rFonts w:cs="Arial"/>
          <w:szCs w:val="24"/>
        </w:rPr>
        <w:t xml:space="preserve"> and </w:t>
      </w:r>
      <w:r w:rsidRPr="00EA3D0C">
        <w:rPr>
          <w:rFonts w:cs="Arial"/>
          <w:szCs w:val="24"/>
        </w:rPr>
        <w:t xml:space="preserve">Democratic Services Officer </w:t>
      </w:r>
      <w:r>
        <w:rPr>
          <w:rFonts w:cs="Arial"/>
          <w:szCs w:val="24"/>
        </w:rPr>
        <w:t>(</w:t>
      </w:r>
      <w:r w:rsidR="00016C5B">
        <w:rPr>
          <w:rFonts w:cs="Arial"/>
          <w:szCs w:val="24"/>
        </w:rPr>
        <w:t>S. McCrea</w:t>
      </w:r>
      <w:r w:rsidR="009209BE">
        <w:rPr>
          <w:rFonts w:cs="Arial"/>
          <w:szCs w:val="24"/>
        </w:rPr>
        <w:t>)</w:t>
      </w:r>
    </w:p>
    <w:p w14:paraId="229AD82D" w14:textId="77777777" w:rsidR="00550EFD" w:rsidRDefault="00550EFD" w:rsidP="006113F2">
      <w:pPr>
        <w:tabs>
          <w:tab w:val="left" w:pos="142"/>
          <w:tab w:val="left" w:pos="720"/>
        </w:tabs>
        <w:ind w:left="1440" w:hanging="1440"/>
        <w:rPr>
          <w:rFonts w:cs="Arial"/>
          <w:szCs w:val="24"/>
        </w:rPr>
      </w:pPr>
    </w:p>
    <w:p w14:paraId="78D497E8" w14:textId="30E345C1" w:rsidR="00550EFD" w:rsidRPr="00550EFD" w:rsidRDefault="00550EFD" w:rsidP="006113F2">
      <w:pPr>
        <w:tabs>
          <w:tab w:val="left" w:pos="142"/>
          <w:tab w:val="left" w:pos="720"/>
        </w:tabs>
        <w:ind w:left="1440" w:hanging="1440"/>
        <w:rPr>
          <w:rFonts w:cs="Arial"/>
          <w:szCs w:val="24"/>
        </w:rPr>
      </w:pPr>
      <w:r>
        <w:rPr>
          <w:rFonts w:cs="Arial"/>
          <w:b/>
          <w:bCs/>
          <w:szCs w:val="24"/>
        </w:rPr>
        <w:t xml:space="preserve">Also Present: </w:t>
      </w:r>
      <w:r>
        <w:rPr>
          <w:rFonts w:cs="Arial"/>
          <w:szCs w:val="24"/>
        </w:rPr>
        <w:t>Councillo</w:t>
      </w:r>
      <w:r w:rsidR="00036EBA">
        <w:rPr>
          <w:rFonts w:cs="Arial"/>
          <w:szCs w:val="24"/>
        </w:rPr>
        <w:t>r Boyle</w:t>
      </w:r>
    </w:p>
    <w:p w14:paraId="52EF1E9E" w14:textId="77777777" w:rsidR="006113F2" w:rsidRPr="0033767B" w:rsidRDefault="006113F2" w:rsidP="006113F2"/>
    <w:p w14:paraId="3A76667F" w14:textId="77777777" w:rsidR="006113F2" w:rsidRPr="00373C0D" w:rsidRDefault="006113F2" w:rsidP="006113F2">
      <w:pPr>
        <w:pStyle w:val="Heading1"/>
      </w:pPr>
      <w:r>
        <w:t>1.</w:t>
      </w:r>
      <w:r>
        <w:tab/>
      </w:r>
      <w:r w:rsidRPr="000F6E2D">
        <w:rPr>
          <w:u w:val="single"/>
        </w:rPr>
        <w:t>Apologies</w:t>
      </w:r>
    </w:p>
    <w:p w14:paraId="6B46DA78" w14:textId="77777777" w:rsidR="006113F2" w:rsidRDefault="006113F2" w:rsidP="006113F2">
      <w:pPr>
        <w:ind w:left="567" w:hanging="567"/>
        <w:rPr>
          <w:rFonts w:cs="Arial"/>
          <w:szCs w:val="24"/>
        </w:rPr>
      </w:pPr>
    </w:p>
    <w:p w14:paraId="2C00C6CA" w14:textId="4ECFB0DB" w:rsidR="006113F2" w:rsidRDefault="00036EBA" w:rsidP="006113F2">
      <w:pPr>
        <w:rPr>
          <w:rFonts w:cs="Arial"/>
          <w:szCs w:val="24"/>
        </w:rPr>
      </w:pPr>
      <w:r>
        <w:rPr>
          <w:rFonts w:cs="Arial"/>
          <w:szCs w:val="24"/>
        </w:rPr>
        <w:t>Apologies were received for Alderman P Smith for lateness</w:t>
      </w:r>
      <w:r w:rsidR="004B18C5">
        <w:rPr>
          <w:rFonts w:cs="Arial"/>
          <w:szCs w:val="24"/>
        </w:rPr>
        <w:t>,</w:t>
      </w:r>
      <w:r>
        <w:rPr>
          <w:rFonts w:cs="Arial"/>
          <w:szCs w:val="24"/>
        </w:rPr>
        <w:t xml:space="preserve"> Councillor MacArthur</w:t>
      </w:r>
      <w:r w:rsidR="004B18C5">
        <w:rPr>
          <w:rFonts w:cs="Arial"/>
          <w:szCs w:val="24"/>
        </w:rPr>
        <w:t xml:space="preserve"> and the Director of Corporate Services</w:t>
      </w:r>
      <w:r w:rsidR="004B18C5" w:rsidRPr="00EA3D0C">
        <w:rPr>
          <w:rFonts w:cs="Arial"/>
          <w:szCs w:val="24"/>
        </w:rPr>
        <w:t xml:space="preserve"> (</w:t>
      </w:r>
      <w:r w:rsidR="004B18C5">
        <w:rPr>
          <w:rFonts w:cs="Arial"/>
          <w:szCs w:val="24"/>
        </w:rPr>
        <w:t>M Steele</w:t>
      </w:r>
      <w:r w:rsidR="004B18C5" w:rsidRPr="00EA3D0C">
        <w:rPr>
          <w:rFonts w:cs="Arial"/>
          <w:szCs w:val="24"/>
        </w:rPr>
        <w:t>)</w:t>
      </w:r>
      <w:r>
        <w:rPr>
          <w:rFonts w:cs="Arial"/>
          <w:szCs w:val="24"/>
        </w:rPr>
        <w:t xml:space="preserve"> for absence.</w:t>
      </w:r>
    </w:p>
    <w:p w14:paraId="2C4CBE89" w14:textId="77777777" w:rsidR="00550EFD" w:rsidRDefault="00550EFD" w:rsidP="006113F2">
      <w:pPr>
        <w:rPr>
          <w:rFonts w:cs="Arial"/>
          <w:szCs w:val="24"/>
        </w:rPr>
      </w:pPr>
    </w:p>
    <w:p w14:paraId="34D70581" w14:textId="77777777" w:rsidR="006113F2" w:rsidRPr="000D36B2" w:rsidRDefault="006113F2" w:rsidP="006113F2">
      <w:pPr>
        <w:rPr>
          <w:rFonts w:cs="Arial"/>
          <w:b/>
          <w:bCs/>
          <w:szCs w:val="24"/>
        </w:rPr>
      </w:pPr>
      <w:r>
        <w:rPr>
          <w:rFonts w:cs="Arial"/>
          <w:b/>
          <w:bCs/>
          <w:szCs w:val="24"/>
        </w:rPr>
        <w:t>NOTED.</w:t>
      </w:r>
    </w:p>
    <w:p w14:paraId="37FB02B3" w14:textId="77777777" w:rsidR="006113F2" w:rsidRPr="00373C0D" w:rsidRDefault="006113F2" w:rsidP="006113F2">
      <w:pPr>
        <w:ind w:left="567" w:hanging="567"/>
        <w:rPr>
          <w:rFonts w:cs="Arial"/>
          <w:szCs w:val="24"/>
        </w:rPr>
      </w:pPr>
    </w:p>
    <w:p w14:paraId="33A368E4" w14:textId="77777777" w:rsidR="006113F2" w:rsidRPr="000F6E2D" w:rsidRDefault="006113F2" w:rsidP="006113F2">
      <w:pPr>
        <w:pStyle w:val="Heading1"/>
      </w:pPr>
      <w:r>
        <w:t>2.</w:t>
      </w:r>
      <w:r>
        <w:tab/>
      </w:r>
      <w:r w:rsidRPr="000F6E2D">
        <w:rPr>
          <w:u w:val="single"/>
        </w:rPr>
        <w:t>Declarations of Interest</w:t>
      </w:r>
    </w:p>
    <w:p w14:paraId="1EFBC0D5" w14:textId="77777777" w:rsidR="006113F2" w:rsidRDefault="006113F2" w:rsidP="006113F2"/>
    <w:p w14:paraId="16DA4701" w14:textId="7A27BE70" w:rsidR="006113F2" w:rsidRDefault="00785299" w:rsidP="006113F2">
      <w:r>
        <w:t>No Declarations of Interest were made.</w:t>
      </w:r>
    </w:p>
    <w:p w14:paraId="71CDC1E0" w14:textId="77777777" w:rsidR="00550EFD" w:rsidRDefault="00550EFD" w:rsidP="006113F2"/>
    <w:p w14:paraId="4EE2B818" w14:textId="77777777" w:rsidR="006113F2" w:rsidRDefault="006113F2" w:rsidP="006113F2">
      <w:pPr>
        <w:rPr>
          <w:b/>
          <w:bCs/>
        </w:rPr>
      </w:pPr>
      <w:r w:rsidRPr="00771E9B">
        <w:rPr>
          <w:b/>
          <w:bCs/>
        </w:rPr>
        <w:t>NOTED.</w:t>
      </w:r>
    </w:p>
    <w:p w14:paraId="6ABD5C8A" w14:textId="77777777" w:rsidR="006113F2" w:rsidRPr="00771E9B" w:rsidRDefault="006113F2" w:rsidP="006113F2">
      <w:pPr>
        <w:rPr>
          <w:b/>
          <w:bCs/>
        </w:rPr>
      </w:pPr>
    </w:p>
    <w:p w14:paraId="7D940294" w14:textId="46C8C76D" w:rsidR="006113F2" w:rsidRPr="00CA2C1B" w:rsidRDefault="006113F2" w:rsidP="006113F2">
      <w:pPr>
        <w:pStyle w:val="Heading1"/>
        <w:ind w:left="720" w:hanging="720"/>
        <w:rPr>
          <w:sz w:val="24"/>
          <w:u w:val="single"/>
        </w:rPr>
      </w:pPr>
      <w:r w:rsidRPr="008B4015">
        <w:t>3.</w:t>
      </w:r>
      <w:r w:rsidRPr="008B4015">
        <w:tab/>
      </w:r>
      <w:r w:rsidR="00016C5B">
        <w:rPr>
          <w:rFonts w:cs="Arial"/>
          <w:szCs w:val="28"/>
          <w:u w:val="single"/>
        </w:rPr>
        <w:t>Deputation – northern ireland water</w:t>
      </w:r>
    </w:p>
    <w:p w14:paraId="3233EFE9" w14:textId="77777777" w:rsidR="006113F2" w:rsidRDefault="006113F2" w:rsidP="006113F2">
      <w:pPr>
        <w:pStyle w:val="Normal0"/>
        <w:rPr>
          <w:sz w:val="24"/>
          <w:lang w:eastAsia="en-US"/>
        </w:rPr>
      </w:pPr>
      <w:bookmarkStart w:id="1" w:name="_Hlk121734890"/>
    </w:p>
    <w:p w14:paraId="37C62A61" w14:textId="1ED130AF" w:rsidR="007C401E" w:rsidRDefault="007C401E" w:rsidP="007C401E">
      <w:pPr>
        <w:pStyle w:val="Normal0"/>
        <w:rPr>
          <w:rFonts w:eastAsia="Calibri"/>
          <w:sz w:val="24"/>
          <w:szCs w:val="22"/>
          <w:lang w:eastAsia="en-US"/>
        </w:rPr>
      </w:pPr>
      <w:r>
        <w:rPr>
          <w:sz w:val="24"/>
          <w:lang w:eastAsia="en-US"/>
        </w:rPr>
        <w:t>The Chair (Councillor Moore) invited NI Water representatives, Dr Steve Brockwell (Head of Investment Management, Engineering and Sustainability Directorate) and Mr Mark Consiglia (Wastewater Assets Area Manager, Customer &amp; Operations Directorate)</w:t>
      </w:r>
      <w:r>
        <w:rPr>
          <w:rFonts w:eastAsia="Calibri"/>
          <w:sz w:val="24"/>
          <w:szCs w:val="22"/>
          <w:lang w:eastAsia="en-US"/>
        </w:rPr>
        <w:t xml:space="preserve"> to speak on their deputation, advising they had ten minutes to speak followed by a </w:t>
      </w:r>
      <w:proofErr w:type="gramStart"/>
      <w:r>
        <w:rPr>
          <w:rFonts w:eastAsia="Calibri"/>
          <w:sz w:val="24"/>
          <w:szCs w:val="22"/>
          <w:lang w:eastAsia="en-US"/>
        </w:rPr>
        <w:t>fifteen minute</w:t>
      </w:r>
      <w:proofErr w:type="gramEnd"/>
      <w:r>
        <w:rPr>
          <w:rFonts w:eastAsia="Calibri"/>
          <w:sz w:val="24"/>
          <w:szCs w:val="22"/>
          <w:lang w:eastAsia="en-US"/>
        </w:rPr>
        <w:t xml:space="preserve"> period of Q&amp;A</w:t>
      </w:r>
      <w:r w:rsidR="001360CE">
        <w:rPr>
          <w:rFonts w:eastAsia="Calibri"/>
          <w:sz w:val="24"/>
          <w:szCs w:val="22"/>
          <w:lang w:eastAsia="en-US"/>
        </w:rPr>
        <w:t>s</w:t>
      </w:r>
      <w:r>
        <w:rPr>
          <w:rFonts w:eastAsia="Calibri"/>
          <w:sz w:val="24"/>
          <w:szCs w:val="22"/>
          <w:lang w:eastAsia="en-US"/>
        </w:rPr>
        <w:t>.</w:t>
      </w:r>
    </w:p>
    <w:p w14:paraId="4774751B" w14:textId="77777777" w:rsidR="007C401E" w:rsidRDefault="007C401E" w:rsidP="007C401E">
      <w:pPr>
        <w:pStyle w:val="Normal0"/>
        <w:rPr>
          <w:rFonts w:eastAsia="Calibri"/>
          <w:sz w:val="24"/>
          <w:szCs w:val="22"/>
          <w:lang w:eastAsia="en-US"/>
        </w:rPr>
      </w:pPr>
    </w:p>
    <w:p w14:paraId="4FE73932" w14:textId="6D0302B1" w:rsidR="007C401E" w:rsidRDefault="007C401E" w:rsidP="007C401E">
      <w:pPr>
        <w:pStyle w:val="Normal0"/>
        <w:rPr>
          <w:rFonts w:eastAsia="Calibri"/>
          <w:sz w:val="24"/>
          <w:szCs w:val="22"/>
          <w:lang w:eastAsia="en-US"/>
        </w:rPr>
      </w:pPr>
      <w:r>
        <w:rPr>
          <w:rFonts w:eastAsia="Calibri"/>
          <w:sz w:val="24"/>
          <w:szCs w:val="22"/>
          <w:lang w:eastAsia="en-US"/>
        </w:rPr>
        <w:t xml:space="preserve">Dr Brockwell presented the deputation to Members. NI water had been formed in 2007, transformed from a government department to a standalone company with a </w:t>
      </w:r>
      <w:r>
        <w:rPr>
          <w:rFonts w:eastAsia="Calibri"/>
          <w:sz w:val="24"/>
          <w:szCs w:val="22"/>
          <w:lang w:eastAsia="en-US"/>
        </w:rPr>
        <w:lastRenderedPageBreak/>
        <w:t xml:space="preserve">Board of Directors in similar fashion to other utility regulators. Money was derived from business companies and the Department for Infrastructure. </w:t>
      </w:r>
    </w:p>
    <w:p w14:paraId="686AFC95" w14:textId="77777777" w:rsidR="00D677A0" w:rsidRDefault="00D677A0" w:rsidP="007C401E">
      <w:pPr>
        <w:pStyle w:val="Normal0"/>
        <w:rPr>
          <w:rFonts w:eastAsia="Calibri"/>
          <w:sz w:val="24"/>
          <w:szCs w:val="22"/>
          <w:lang w:eastAsia="en-US"/>
        </w:rPr>
      </w:pPr>
    </w:p>
    <w:p w14:paraId="311CB26F" w14:textId="2DD4B554" w:rsidR="00D677A0" w:rsidRDefault="00D677A0" w:rsidP="007C401E">
      <w:pPr>
        <w:pStyle w:val="Normal0"/>
        <w:rPr>
          <w:rFonts w:eastAsia="Calibri"/>
          <w:sz w:val="24"/>
          <w:szCs w:val="22"/>
          <w:lang w:eastAsia="en-US"/>
        </w:rPr>
      </w:pPr>
      <w:r>
        <w:rPr>
          <w:rFonts w:eastAsia="Calibri"/>
          <w:sz w:val="24"/>
          <w:szCs w:val="22"/>
          <w:lang w:eastAsia="en-US"/>
        </w:rPr>
        <w:t>(Councillor Gilmour entered the meeting at 19:04.)</w:t>
      </w:r>
    </w:p>
    <w:p w14:paraId="3C6EF269" w14:textId="77777777" w:rsidR="007C401E" w:rsidRDefault="007C401E" w:rsidP="007C401E">
      <w:pPr>
        <w:pStyle w:val="Normal0"/>
        <w:rPr>
          <w:rFonts w:eastAsia="Calibri"/>
          <w:sz w:val="24"/>
          <w:szCs w:val="22"/>
          <w:lang w:eastAsia="en-US"/>
        </w:rPr>
      </w:pPr>
    </w:p>
    <w:p w14:paraId="1DAF2A41" w14:textId="359EC466" w:rsidR="007C401E" w:rsidRDefault="007C401E" w:rsidP="007C401E">
      <w:pPr>
        <w:pStyle w:val="Normal0"/>
        <w:rPr>
          <w:rFonts w:eastAsia="Calibri"/>
          <w:sz w:val="24"/>
          <w:szCs w:val="22"/>
          <w:lang w:eastAsia="en-US"/>
        </w:rPr>
      </w:pPr>
      <w:r>
        <w:rPr>
          <w:rFonts w:eastAsia="Calibri"/>
          <w:sz w:val="24"/>
          <w:szCs w:val="22"/>
          <w:lang w:eastAsia="en-US"/>
        </w:rPr>
        <w:t xml:space="preserve">NI Water operated on a </w:t>
      </w:r>
      <w:proofErr w:type="gramStart"/>
      <w:r>
        <w:rPr>
          <w:rFonts w:eastAsia="Calibri"/>
          <w:sz w:val="24"/>
          <w:szCs w:val="22"/>
          <w:lang w:eastAsia="en-US"/>
        </w:rPr>
        <w:t>six year</w:t>
      </w:r>
      <w:proofErr w:type="gramEnd"/>
      <w:r>
        <w:rPr>
          <w:rFonts w:eastAsia="Calibri"/>
          <w:sz w:val="24"/>
          <w:szCs w:val="22"/>
          <w:lang w:eastAsia="en-US"/>
        </w:rPr>
        <w:t xml:space="preserve"> business plan, commonly referred to as Price Control Plans of which NI Water was amidst the 2021-27 plan</w:t>
      </w:r>
      <w:r w:rsidR="008C13BC">
        <w:rPr>
          <w:rFonts w:eastAsia="Calibri"/>
          <w:sz w:val="24"/>
          <w:szCs w:val="22"/>
          <w:lang w:eastAsia="en-US"/>
        </w:rPr>
        <w:t xml:space="preserve"> (named PC21)</w:t>
      </w:r>
      <w:r>
        <w:rPr>
          <w:rFonts w:eastAsia="Calibri"/>
          <w:sz w:val="24"/>
          <w:szCs w:val="22"/>
          <w:lang w:eastAsia="en-US"/>
        </w:rPr>
        <w:t>.</w:t>
      </w:r>
      <w:r w:rsidR="008C13BC">
        <w:rPr>
          <w:rFonts w:eastAsia="Calibri"/>
          <w:sz w:val="24"/>
          <w:szCs w:val="22"/>
          <w:lang w:eastAsia="en-US"/>
        </w:rPr>
        <w:t xml:space="preserve"> 605 million litres of water were supplied and 362 million litres of waste collected to </w:t>
      </w:r>
      <w:r w:rsidR="0023376A">
        <w:rPr>
          <w:rFonts w:eastAsia="Calibri"/>
          <w:sz w:val="24"/>
          <w:szCs w:val="22"/>
          <w:lang w:eastAsia="en-US"/>
        </w:rPr>
        <w:t xml:space="preserve">and </w:t>
      </w:r>
      <w:r w:rsidR="001360CE">
        <w:rPr>
          <w:rFonts w:eastAsia="Calibri"/>
          <w:sz w:val="24"/>
          <w:szCs w:val="22"/>
          <w:lang w:eastAsia="en-US"/>
        </w:rPr>
        <w:t>from</w:t>
      </w:r>
      <w:r w:rsidR="0023376A">
        <w:rPr>
          <w:rFonts w:eastAsia="Calibri"/>
          <w:sz w:val="24"/>
          <w:szCs w:val="22"/>
          <w:lang w:eastAsia="en-US"/>
        </w:rPr>
        <w:t xml:space="preserve"> businesses daily. </w:t>
      </w:r>
    </w:p>
    <w:p w14:paraId="41E23B7C" w14:textId="77777777" w:rsidR="0023376A" w:rsidRDefault="0023376A" w:rsidP="007C401E">
      <w:pPr>
        <w:pStyle w:val="Normal0"/>
        <w:rPr>
          <w:rFonts w:eastAsia="Calibri"/>
          <w:sz w:val="24"/>
          <w:szCs w:val="22"/>
          <w:lang w:eastAsia="en-US"/>
        </w:rPr>
      </w:pPr>
    </w:p>
    <w:p w14:paraId="089DA995" w14:textId="6D7252D9" w:rsidR="007A53EE" w:rsidRDefault="0023376A" w:rsidP="007C401E">
      <w:pPr>
        <w:pStyle w:val="Normal0"/>
        <w:rPr>
          <w:rFonts w:eastAsia="Calibri"/>
          <w:sz w:val="24"/>
          <w:szCs w:val="22"/>
          <w:lang w:eastAsia="en-US"/>
        </w:rPr>
      </w:pPr>
      <w:r>
        <w:rPr>
          <w:rFonts w:eastAsia="Calibri"/>
          <w:sz w:val="24"/>
          <w:szCs w:val="22"/>
          <w:lang w:eastAsia="en-US"/>
        </w:rPr>
        <w:t>NI Water was the largest consumer of electricity in Northern Ireland and most of its assets were legacy which remained a challenge with modern needs. They had been working with Councils across Northern Ireland on their Development Plan and knew of Council ambitions relating to housing and jobs which in turn, informed needs in relation to supply and collection needs of water and waste.</w:t>
      </w:r>
      <w:r w:rsidR="007A53EE">
        <w:rPr>
          <w:rFonts w:eastAsia="Calibri"/>
          <w:sz w:val="24"/>
          <w:szCs w:val="22"/>
          <w:lang w:eastAsia="en-US"/>
        </w:rPr>
        <w:t xml:space="preserve"> Period PC21’s capital expenditure included a target costs reduction of £953m.</w:t>
      </w:r>
    </w:p>
    <w:p w14:paraId="3D34F9F4" w14:textId="77777777" w:rsidR="007A53EE" w:rsidRDefault="007A53EE" w:rsidP="007C401E">
      <w:pPr>
        <w:pStyle w:val="Normal0"/>
        <w:rPr>
          <w:rFonts w:eastAsia="Calibri"/>
          <w:sz w:val="24"/>
          <w:szCs w:val="22"/>
          <w:lang w:eastAsia="en-US"/>
        </w:rPr>
      </w:pPr>
    </w:p>
    <w:p w14:paraId="3FA08CDF" w14:textId="613D6B6F" w:rsidR="007A53EE" w:rsidRDefault="007A53EE" w:rsidP="007C401E">
      <w:pPr>
        <w:pStyle w:val="Normal0"/>
        <w:rPr>
          <w:rFonts w:eastAsia="Calibri"/>
          <w:sz w:val="24"/>
          <w:szCs w:val="22"/>
          <w:lang w:eastAsia="en-US"/>
        </w:rPr>
      </w:pPr>
      <w:r>
        <w:rPr>
          <w:rFonts w:eastAsia="Calibri"/>
          <w:sz w:val="24"/>
          <w:szCs w:val="22"/>
          <w:lang w:eastAsia="en-US"/>
        </w:rPr>
        <w:t xml:space="preserve">The next slide provided an overview of deliverables over the next six years with some examples of projects delivered such as Ards North Wastewater Treatment Project and a range of works and upgrades such as Kinnegar and Killinchy with investment values totalling over £160m. </w:t>
      </w:r>
      <w:r w:rsidR="00CA62D4">
        <w:rPr>
          <w:rFonts w:eastAsia="Calibri"/>
          <w:sz w:val="24"/>
          <w:szCs w:val="22"/>
          <w:lang w:eastAsia="en-US"/>
        </w:rPr>
        <w:t xml:space="preserve">Water supply reinforcing had occurred in locations like </w:t>
      </w:r>
      <w:proofErr w:type="spellStart"/>
      <w:r w:rsidR="00CA62D4">
        <w:rPr>
          <w:rFonts w:eastAsia="Calibri"/>
          <w:sz w:val="24"/>
          <w:szCs w:val="22"/>
          <w:lang w:eastAsia="en-US"/>
        </w:rPr>
        <w:t>Whitespots</w:t>
      </w:r>
      <w:proofErr w:type="spellEnd"/>
      <w:r w:rsidR="00CA62D4">
        <w:rPr>
          <w:rFonts w:eastAsia="Calibri"/>
          <w:sz w:val="24"/>
          <w:szCs w:val="22"/>
          <w:lang w:eastAsia="en-US"/>
        </w:rPr>
        <w:t xml:space="preserve"> and Greyabbey to provide more resilience during times of high demand. </w:t>
      </w:r>
    </w:p>
    <w:p w14:paraId="5B7D4B06" w14:textId="77777777" w:rsidR="00CA62D4" w:rsidRDefault="00CA62D4" w:rsidP="007C401E">
      <w:pPr>
        <w:pStyle w:val="Normal0"/>
        <w:rPr>
          <w:rFonts w:eastAsia="Calibri"/>
          <w:sz w:val="24"/>
          <w:szCs w:val="22"/>
          <w:lang w:eastAsia="en-US"/>
        </w:rPr>
      </w:pPr>
    </w:p>
    <w:p w14:paraId="45A704D7" w14:textId="4898B8E1" w:rsidR="00CA62D4" w:rsidRDefault="00CA62D4" w:rsidP="007C401E">
      <w:pPr>
        <w:pStyle w:val="Normal0"/>
        <w:rPr>
          <w:rFonts w:eastAsia="Calibri"/>
          <w:sz w:val="24"/>
          <w:szCs w:val="22"/>
          <w:lang w:eastAsia="en-US"/>
        </w:rPr>
      </w:pPr>
      <w:r>
        <w:rPr>
          <w:rFonts w:eastAsia="Calibri"/>
          <w:sz w:val="24"/>
          <w:szCs w:val="22"/>
          <w:lang w:eastAsia="en-US"/>
        </w:rPr>
        <w:t>The effects of legacy underfunding were becoming more prominent. The PC21 price controls were designed to reduce pollution but in turn affect decisions with regard to connections for maximising infrastructure. Applications would be supported through NI water’s three-stage planning process that consisted of a pre-development enquiry (PDE), impact assessment and planning permission whilst refusals were recommended where the PDE had not been followed.</w:t>
      </w:r>
    </w:p>
    <w:p w14:paraId="6D933614" w14:textId="77777777" w:rsidR="00D677A0" w:rsidRDefault="00D677A0" w:rsidP="007C401E">
      <w:pPr>
        <w:pStyle w:val="Normal0"/>
        <w:rPr>
          <w:rFonts w:eastAsia="Calibri"/>
          <w:sz w:val="24"/>
          <w:szCs w:val="22"/>
          <w:lang w:eastAsia="en-US"/>
        </w:rPr>
      </w:pPr>
    </w:p>
    <w:p w14:paraId="519AB1FF" w14:textId="03D21E5A" w:rsidR="00D677A0" w:rsidRDefault="00D677A0" w:rsidP="007C401E">
      <w:pPr>
        <w:pStyle w:val="Normal0"/>
        <w:rPr>
          <w:rFonts w:eastAsia="Calibri"/>
          <w:sz w:val="24"/>
          <w:szCs w:val="22"/>
          <w:lang w:eastAsia="en-US"/>
        </w:rPr>
      </w:pPr>
      <w:r>
        <w:rPr>
          <w:rFonts w:eastAsia="Calibri"/>
          <w:sz w:val="24"/>
          <w:szCs w:val="22"/>
          <w:lang w:eastAsia="en-US"/>
        </w:rPr>
        <w:t>(Aldermen Smith &amp; Graham entered the meeting at 19:11 and 19:12 respectively)</w:t>
      </w:r>
    </w:p>
    <w:p w14:paraId="1BFE4DF4" w14:textId="77777777" w:rsidR="00CA62D4" w:rsidRDefault="00CA62D4" w:rsidP="007C401E">
      <w:pPr>
        <w:pStyle w:val="Normal0"/>
        <w:rPr>
          <w:rFonts w:eastAsia="Calibri"/>
          <w:sz w:val="24"/>
          <w:szCs w:val="22"/>
          <w:lang w:eastAsia="en-US"/>
        </w:rPr>
      </w:pPr>
    </w:p>
    <w:p w14:paraId="78675B82" w14:textId="5B2EDFBC" w:rsidR="00CA62D4" w:rsidRDefault="00CA62D4" w:rsidP="007C401E">
      <w:pPr>
        <w:pStyle w:val="Normal0"/>
        <w:rPr>
          <w:rFonts w:eastAsia="Calibri"/>
          <w:sz w:val="24"/>
          <w:szCs w:val="22"/>
          <w:lang w:eastAsia="en-US"/>
        </w:rPr>
      </w:pPr>
      <w:r>
        <w:rPr>
          <w:rFonts w:eastAsia="Calibri"/>
          <w:sz w:val="24"/>
          <w:szCs w:val="22"/>
          <w:lang w:eastAsia="en-US"/>
        </w:rPr>
        <w:t xml:space="preserve">In Impact Assessments, 51 Solutions Engineering Reports had been sent to developers whilst 26 occasions had been closed off due to like-for-like development with 23 impact assessments were being progressed at the time of writing. </w:t>
      </w:r>
    </w:p>
    <w:p w14:paraId="2327F712" w14:textId="77777777" w:rsidR="00CA62D4" w:rsidRDefault="00CA62D4" w:rsidP="007C401E">
      <w:pPr>
        <w:pStyle w:val="Normal0"/>
        <w:rPr>
          <w:rFonts w:eastAsia="Calibri"/>
          <w:sz w:val="24"/>
          <w:szCs w:val="22"/>
          <w:lang w:eastAsia="en-US"/>
        </w:rPr>
      </w:pPr>
    </w:p>
    <w:p w14:paraId="1FBBAEA6" w14:textId="770737AA" w:rsidR="00CA62D4" w:rsidRDefault="00CA62D4" w:rsidP="007C401E">
      <w:pPr>
        <w:pStyle w:val="Normal0"/>
        <w:rPr>
          <w:rFonts w:eastAsia="Calibri"/>
          <w:sz w:val="24"/>
          <w:szCs w:val="22"/>
          <w:lang w:eastAsia="en-US"/>
        </w:rPr>
      </w:pPr>
      <w:r>
        <w:rPr>
          <w:rFonts w:eastAsia="Calibri"/>
          <w:sz w:val="24"/>
          <w:szCs w:val="22"/>
          <w:lang w:eastAsia="en-US"/>
        </w:rPr>
        <w:t>An overview of planning applications was shown to Members with</w:t>
      </w:r>
      <w:r w:rsidR="00FF32DE">
        <w:rPr>
          <w:rFonts w:eastAsia="Calibri"/>
          <w:sz w:val="24"/>
          <w:szCs w:val="22"/>
          <w:lang w:eastAsia="en-US"/>
        </w:rPr>
        <w:t xml:space="preserve"> 67 refusals, usually caused by developers who did not go through the PDP process. Conversely, 2019 applications were approved with standard conditions and 58 with specific conditions. </w:t>
      </w:r>
    </w:p>
    <w:p w14:paraId="00276A87" w14:textId="77777777" w:rsidR="00FF32DE" w:rsidRDefault="00FF32DE" w:rsidP="007C401E">
      <w:pPr>
        <w:pStyle w:val="Normal0"/>
        <w:rPr>
          <w:rFonts w:eastAsia="Calibri"/>
          <w:sz w:val="24"/>
          <w:szCs w:val="22"/>
          <w:lang w:eastAsia="en-US"/>
        </w:rPr>
      </w:pPr>
    </w:p>
    <w:p w14:paraId="288565A5" w14:textId="1D13E2CE" w:rsidR="00FF32DE" w:rsidRDefault="00FF32DE" w:rsidP="007C401E">
      <w:pPr>
        <w:pStyle w:val="Normal0"/>
        <w:rPr>
          <w:rFonts w:eastAsia="Calibri"/>
          <w:sz w:val="24"/>
          <w:szCs w:val="22"/>
          <w:lang w:eastAsia="en-US"/>
        </w:rPr>
      </w:pPr>
      <w:r>
        <w:rPr>
          <w:rFonts w:eastAsia="Calibri"/>
          <w:sz w:val="24"/>
          <w:szCs w:val="22"/>
          <w:lang w:eastAsia="en-US"/>
        </w:rPr>
        <w:t xml:space="preserve">NI Water had also begun a campaign called F.O.G; Fats, Oil and Grease and the effects on local wastewater infrastructure which Councils could support. An example photo of Portrush harbour was shown where a buildup of fat in wastewater infrastructure had resulted in constriction of waste runoff pipes. </w:t>
      </w:r>
    </w:p>
    <w:p w14:paraId="11C48E1A" w14:textId="77777777" w:rsidR="00FF32DE" w:rsidRDefault="00FF32DE" w:rsidP="007C401E">
      <w:pPr>
        <w:pStyle w:val="Normal0"/>
        <w:rPr>
          <w:rFonts w:eastAsia="Calibri"/>
          <w:sz w:val="24"/>
          <w:szCs w:val="22"/>
          <w:lang w:eastAsia="en-US"/>
        </w:rPr>
      </w:pPr>
    </w:p>
    <w:p w14:paraId="67AEF3E3" w14:textId="3C57C29A" w:rsidR="00FF32DE" w:rsidRDefault="00FF32DE" w:rsidP="007C401E">
      <w:pPr>
        <w:pStyle w:val="Normal0"/>
        <w:rPr>
          <w:rFonts w:eastAsia="Calibri"/>
          <w:sz w:val="24"/>
          <w:szCs w:val="22"/>
          <w:lang w:eastAsia="en-US"/>
        </w:rPr>
      </w:pPr>
      <w:r>
        <w:rPr>
          <w:rFonts w:eastAsia="Calibri"/>
          <w:sz w:val="24"/>
          <w:szCs w:val="22"/>
          <w:lang w:eastAsia="en-US"/>
        </w:rPr>
        <w:t xml:space="preserve">In summary, the shareholder, the Department of Infrastructure had signalled a move away from the agreed plan and that, for the benefit of Northern Ireland and Councils, </w:t>
      </w:r>
      <w:r>
        <w:rPr>
          <w:rFonts w:eastAsia="Calibri"/>
          <w:sz w:val="24"/>
          <w:szCs w:val="22"/>
          <w:lang w:eastAsia="en-US"/>
        </w:rPr>
        <w:lastRenderedPageBreak/>
        <w:t>it was essential that the plan was funded and NI water remained hopefully that further funding would be forthcoming.</w:t>
      </w:r>
    </w:p>
    <w:p w14:paraId="4A37E278" w14:textId="77777777" w:rsidR="00EA4766" w:rsidRDefault="00EA4766" w:rsidP="007C401E">
      <w:pPr>
        <w:pStyle w:val="Normal0"/>
        <w:rPr>
          <w:rFonts w:eastAsia="Calibri"/>
          <w:sz w:val="24"/>
          <w:szCs w:val="22"/>
          <w:lang w:eastAsia="en-US"/>
        </w:rPr>
      </w:pPr>
    </w:p>
    <w:p w14:paraId="7EA434FA" w14:textId="44EB91AC" w:rsidR="00EA4766" w:rsidRDefault="00EA4766" w:rsidP="007C401E">
      <w:pPr>
        <w:pStyle w:val="Normal0"/>
        <w:rPr>
          <w:rFonts w:eastAsia="Calibri"/>
          <w:sz w:val="24"/>
          <w:szCs w:val="22"/>
          <w:lang w:eastAsia="en-US"/>
        </w:rPr>
      </w:pPr>
      <w:r>
        <w:rPr>
          <w:rFonts w:eastAsia="Calibri"/>
          <w:sz w:val="24"/>
          <w:szCs w:val="22"/>
          <w:lang w:eastAsia="en-US"/>
        </w:rPr>
        <w:t xml:space="preserve">With the end of the deputation, Councillors were invited to a </w:t>
      </w:r>
      <w:proofErr w:type="gramStart"/>
      <w:r>
        <w:rPr>
          <w:rFonts w:eastAsia="Calibri"/>
          <w:sz w:val="24"/>
          <w:szCs w:val="22"/>
          <w:lang w:eastAsia="en-US"/>
        </w:rPr>
        <w:t>fifteen minute</w:t>
      </w:r>
      <w:proofErr w:type="gramEnd"/>
      <w:r>
        <w:rPr>
          <w:rFonts w:eastAsia="Calibri"/>
          <w:sz w:val="24"/>
          <w:szCs w:val="22"/>
          <w:lang w:eastAsia="en-US"/>
        </w:rPr>
        <w:t xml:space="preserve"> Q&amp;A with NI Water representatives. Alderman McRandal asked what the ramifications would be due to of a lack of funding in regard to Kinnegar Treatment Works and what risks existed due to sewage overspills. Dr Brockwell explained that without funding, there would be no further connections and alternatives would be explored. If the works were at capacity and causing pollution, NI Water would also be unable to allow further connections and could be prosecuted if such an issue was ignored. Multiple treatment works existed around Belfast loch that were regularly monitored to ensure they stayed within consent. Dr Brockwell did not believe Kinnegar was a major source of pollution in this regard. Mr Consiglia added that it was unwise to look at a singular treatment works on its own. Kinnegar was not only pivotal to Ards &amp; North Down Borough Council but also Castlereagh. Sydenham had been a source of issues in recent times</w:t>
      </w:r>
      <w:r w:rsidR="00DF33B6">
        <w:rPr>
          <w:rFonts w:eastAsia="Calibri"/>
          <w:sz w:val="24"/>
          <w:szCs w:val="22"/>
          <w:lang w:eastAsia="en-US"/>
        </w:rPr>
        <w:t xml:space="preserve"> with flooding having occurred. As it was an integrated sewer network, one site could not be upgraded without the other.</w:t>
      </w:r>
    </w:p>
    <w:p w14:paraId="6BFFA282" w14:textId="77777777" w:rsidR="00DF33B6" w:rsidRDefault="00DF33B6" w:rsidP="007C401E">
      <w:pPr>
        <w:pStyle w:val="Normal0"/>
        <w:rPr>
          <w:rFonts w:eastAsia="Calibri"/>
          <w:sz w:val="24"/>
          <w:szCs w:val="22"/>
          <w:lang w:eastAsia="en-US"/>
        </w:rPr>
      </w:pPr>
    </w:p>
    <w:p w14:paraId="2B4B7C6B" w14:textId="491A6175" w:rsidR="00DF33B6" w:rsidRDefault="00DF33B6" w:rsidP="007C401E">
      <w:pPr>
        <w:pStyle w:val="Normal0"/>
        <w:rPr>
          <w:rFonts w:eastAsia="Calibri"/>
          <w:sz w:val="24"/>
          <w:szCs w:val="22"/>
          <w:lang w:eastAsia="en-US"/>
        </w:rPr>
      </w:pPr>
      <w:r>
        <w:rPr>
          <w:rFonts w:eastAsia="Calibri"/>
          <w:sz w:val="24"/>
          <w:szCs w:val="22"/>
          <w:lang w:eastAsia="en-US"/>
        </w:rPr>
        <w:t xml:space="preserve">Councillor W Irvine </w:t>
      </w:r>
      <w:r w:rsidR="00460953">
        <w:rPr>
          <w:rFonts w:eastAsia="Calibri"/>
          <w:sz w:val="24"/>
          <w:szCs w:val="22"/>
          <w:lang w:eastAsia="en-US"/>
        </w:rPr>
        <w:t xml:space="preserve">asked if any works would be carried out to alleviate flooding caused by heavy rainfall such as at Ballyholme. Mr Consiglia advised that Ashley Pumping station had struggled with flow but that it had been the river that surcharged in Ballyholme. The Cotton Pumping station was listed for upgrade by increasing the size of the well to hold more water before overflow occurred to the adjacent river. </w:t>
      </w:r>
    </w:p>
    <w:p w14:paraId="65543A95" w14:textId="77777777" w:rsidR="00460953" w:rsidRDefault="00460953" w:rsidP="007C401E">
      <w:pPr>
        <w:pStyle w:val="Normal0"/>
        <w:rPr>
          <w:rFonts w:eastAsia="Calibri"/>
          <w:sz w:val="24"/>
          <w:szCs w:val="22"/>
          <w:lang w:eastAsia="en-US"/>
        </w:rPr>
      </w:pPr>
    </w:p>
    <w:p w14:paraId="384988D6" w14:textId="5BE012FD" w:rsidR="00460953" w:rsidRDefault="00460953" w:rsidP="007C401E">
      <w:pPr>
        <w:pStyle w:val="Normal0"/>
        <w:rPr>
          <w:rFonts w:eastAsia="Calibri"/>
          <w:sz w:val="24"/>
          <w:szCs w:val="22"/>
          <w:lang w:eastAsia="en-US"/>
        </w:rPr>
      </w:pPr>
      <w:r>
        <w:rPr>
          <w:rFonts w:eastAsia="Calibri"/>
          <w:sz w:val="24"/>
          <w:szCs w:val="22"/>
          <w:lang w:eastAsia="en-US"/>
        </w:rPr>
        <w:t xml:space="preserve">Councillor McCracken </w:t>
      </w:r>
      <w:r w:rsidR="008E5D44">
        <w:rPr>
          <w:rFonts w:eastAsia="Calibri"/>
          <w:sz w:val="24"/>
          <w:szCs w:val="22"/>
          <w:lang w:eastAsia="en-US"/>
        </w:rPr>
        <w:t>asked for an update in relation to waterworks for Central Bangor such as waste connections required by developers. Mr Consiglia explained that drainage studies had been carried out including upgrading of stations and Brompton and Stricklands, Clandeboye stream behind Abbey Primary School as well as works below the coastguard station at Bangor Marina. The latter included installation of large tanks to avoid CSOs discharging into the marina or the Long Hole. Part of this work involved identifying other areas that would require upgrading.</w:t>
      </w:r>
    </w:p>
    <w:p w14:paraId="049F0699" w14:textId="77777777" w:rsidR="008E5D44" w:rsidRDefault="008E5D44" w:rsidP="007C401E">
      <w:pPr>
        <w:pStyle w:val="Normal0"/>
        <w:rPr>
          <w:rFonts w:eastAsia="Calibri"/>
          <w:sz w:val="24"/>
          <w:szCs w:val="22"/>
          <w:lang w:eastAsia="en-US"/>
        </w:rPr>
      </w:pPr>
    </w:p>
    <w:p w14:paraId="422D8FC3" w14:textId="21943441" w:rsidR="008E5D44" w:rsidRPr="007A53EE" w:rsidRDefault="008E5D44" w:rsidP="007C401E">
      <w:pPr>
        <w:pStyle w:val="Normal0"/>
        <w:rPr>
          <w:rFonts w:eastAsia="Calibri"/>
          <w:sz w:val="24"/>
          <w:szCs w:val="22"/>
          <w:lang w:eastAsia="en-US"/>
        </w:rPr>
      </w:pPr>
      <w:r>
        <w:rPr>
          <w:rFonts w:eastAsia="Calibri"/>
          <w:sz w:val="24"/>
          <w:szCs w:val="22"/>
          <w:lang w:eastAsia="en-US"/>
        </w:rPr>
        <w:t xml:space="preserve">Councillor Chambers referenced NI Water’s budget cuts and asked how they would constrain development in Donaghadee which had over recent years undergone vast expansion. Dr Brockwell explained that NI Water had been underfunded for many years and that even if full funding was granted, it would take twelve to eighteen years to fully address issues. If the treatment works were overloaded, the whole catchment would be closed due to biological load which would lead NI Water to seek alternative processes to find storm hole separation opportunities. Mr </w:t>
      </w:r>
      <w:proofErr w:type="spellStart"/>
      <w:r>
        <w:rPr>
          <w:rFonts w:eastAsia="Calibri"/>
          <w:sz w:val="24"/>
          <w:szCs w:val="22"/>
          <w:lang w:eastAsia="en-US"/>
        </w:rPr>
        <w:t>Consliglia</w:t>
      </w:r>
      <w:proofErr w:type="spellEnd"/>
      <w:r>
        <w:rPr>
          <w:rFonts w:eastAsia="Calibri"/>
          <w:sz w:val="24"/>
          <w:szCs w:val="22"/>
          <w:lang w:eastAsia="en-US"/>
        </w:rPr>
        <w:t xml:space="preserve"> added that Donaghadee had been lucky to have a </w:t>
      </w:r>
      <w:proofErr w:type="gramStart"/>
      <w:r>
        <w:rPr>
          <w:rFonts w:eastAsia="Calibri"/>
          <w:sz w:val="24"/>
          <w:szCs w:val="22"/>
          <w:lang w:eastAsia="en-US"/>
        </w:rPr>
        <w:t>state of the art</w:t>
      </w:r>
      <w:proofErr w:type="gramEnd"/>
      <w:r>
        <w:rPr>
          <w:rFonts w:eastAsia="Calibri"/>
          <w:sz w:val="24"/>
          <w:szCs w:val="22"/>
          <w:lang w:eastAsia="en-US"/>
        </w:rPr>
        <w:t xml:space="preserve"> water works facility but that the infrastructure in the surrounding areas was of such an age that the issue often lies with water reaching the site as opposed to the site’s ability to deal with the volume of wastewater. Some local issues were being investigated such as flooding at </w:t>
      </w:r>
      <w:proofErr w:type="spellStart"/>
      <w:r>
        <w:rPr>
          <w:rFonts w:eastAsia="Calibri"/>
          <w:sz w:val="24"/>
          <w:szCs w:val="22"/>
          <w:lang w:eastAsia="en-US"/>
        </w:rPr>
        <w:t>Cannyreagh</w:t>
      </w:r>
      <w:proofErr w:type="spellEnd"/>
      <w:r>
        <w:rPr>
          <w:rFonts w:eastAsia="Calibri"/>
          <w:sz w:val="24"/>
          <w:szCs w:val="22"/>
          <w:lang w:eastAsia="en-US"/>
        </w:rPr>
        <w:t xml:space="preserve"> Road and both High and Main Street. </w:t>
      </w:r>
    </w:p>
    <w:p w14:paraId="40F05C2A" w14:textId="77777777" w:rsidR="00943EB2" w:rsidRDefault="00943EB2" w:rsidP="00EA6EF5">
      <w:pPr>
        <w:pStyle w:val="Normal0"/>
        <w:rPr>
          <w:b/>
          <w:bCs/>
          <w:noProof/>
          <w:sz w:val="28"/>
          <w:szCs w:val="28"/>
          <w:u w:val="single"/>
        </w:rPr>
      </w:pPr>
    </w:p>
    <w:p w14:paraId="7E5AC525" w14:textId="6E5EABC3" w:rsidR="00EA6EF5" w:rsidRPr="00343303" w:rsidRDefault="00EA6EF5" w:rsidP="00EA6EF5">
      <w:pPr>
        <w:pStyle w:val="Normal0"/>
        <w:rPr>
          <w:b/>
          <w:bCs/>
          <w:noProof/>
          <w:sz w:val="28"/>
          <w:szCs w:val="28"/>
          <w:u w:val="single"/>
        </w:rPr>
      </w:pPr>
      <w:r>
        <w:rPr>
          <w:b/>
          <w:bCs/>
          <w:noProof/>
          <w:sz w:val="28"/>
          <w:szCs w:val="28"/>
          <w:u w:val="single"/>
        </w:rPr>
        <w:t>REPORTS FOR APPROVAL</w:t>
      </w:r>
    </w:p>
    <w:p w14:paraId="776F27E7" w14:textId="77777777" w:rsidR="00EA6EF5" w:rsidRPr="005E7457" w:rsidRDefault="00EA6EF5" w:rsidP="00343303">
      <w:pPr>
        <w:rPr>
          <w:rFonts w:eastAsia="Times New Roman"/>
          <w:szCs w:val="20"/>
        </w:rPr>
      </w:pPr>
    </w:p>
    <w:p w14:paraId="75F0A6A6" w14:textId="77777777" w:rsidR="00343303" w:rsidRPr="00343303" w:rsidRDefault="00343303" w:rsidP="006113F2">
      <w:pPr>
        <w:pStyle w:val="Normal0"/>
        <w:rPr>
          <w:sz w:val="24"/>
          <w:szCs w:val="24"/>
          <w:lang w:eastAsia="en-US"/>
        </w:rPr>
      </w:pPr>
    </w:p>
    <w:bookmarkEnd w:id="1"/>
    <w:p w14:paraId="194C6134" w14:textId="1C855A9A" w:rsidR="006113F2" w:rsidRDefault="006113F2" w:rsidP="00343303">
      <w:pPr>
        <w:pStyle w:val="Heading1"/>
        <w:ind w:left="720" w:hanging="720"/>
        <w:rPr>
          <w:rFonts w:cs="Arial"/>
          <w:szCs w:val="28"/>
          <w:u w:val="single"/>
        </w:rPr>
      </w:pPr>
      <w:r>
        <w:lastRenderedPageBreak/>
        <w:t>4.</w:t>
      </w:r>
      <w:r>
        <w:tab/>
      </w:r>
      <w:r w:rsidR="00EA6EF5">
        <w:rPr>
          <w:rFonts w:cs="Arial"/>
          <w:szCs w:val="28"/>
          <w:u w:val="single"/>
        </w:rPr>
        <w:t>abf 80</w:t>
      </w:r>
      <w:r w:rsidR="00EA6EF5" w:rsidRPr="00EA6EF5">
        <w:rPr>
          <w:rFonts w:cs="Arial"/>
          <w:szCs w:val="28"/>
          <w:u w:val="single"/>
          <w:vertAlign w:val="superscript"/>
        </w:rPr>
        <w:t>th</w:t>
      </w:r>
      <w:r w:rsidR="00EA6EF5">
        <w:rPr>
          <w:rFonts w:cs="Arial"/>
          <w:szCs w:val="28"/>
          <w:u w:val="single"/>
        </w:rPr>
        <w:t xml:space="preserve"> anniversary – royal irish concert, waterfront hall 6 april 2024</w:t>
      </w:r>
    </w:p>
    <w:p w14:paraId="2239C290" w14:textId="77777777" w:rsidR="006113F2" w:rsidRDefault="006113F2" w:rsidP="006113F2">
      <w:r>
        <w:tab/>
      </w:r>
    </w:p>
    <w:p w14:paraId="48C034AF" w14:textId="0A54CC79" w:rsidR="00D658E9" w:rsidRDefault="00343303" w:rsidP="00D658E9">
      <w:pPr>
        <w:rPr>
          <w:rFonts w:eastAsiaTheme="minorHAnsi"/>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 xml:space="preserve">Director of  Corporate Services </w:t>
      </w:r>
      <w:r w:rsidR="00D658E9">
        <w:rPr>
          <w:rFonts w:cs="Arial"/>
          <w:szCs w:val="24"/>
        </w:rPr>
        <w:t xml:space="preserve">advising that a </w:t>
      </w:r>
      <w:r w:rsidR="00D658E9">
        <w:t xml:space="preserve">letter had been received from the Army Benevolent Fund (ABF) inviting a group of Councillors and staff to an Anniversary Concert scheduled for 6 April 2024 in the </w:t>
      </w:r>
      <w:proofErr w:type="spellStart"/>
      <w:r w:rsidR="00D658E9">
        <w:t>Waterfont</w:t>
      </w:r>
      <w:proofErr w:type="spellEnd"/>
      <w:r w:rsidR="00D658E9">
        <w:t xml:space="preserve"> Hall.  The concert had been intended to celebrate ABF’s 80 Years as a service charity and was a salute to His Majesty the King in the second year of his reign.  The concert would raise funds for soldiers, army veterans and their families in need.  ABF had extended an invitation to a group of Councillors and staff at a cost of £66pp and had asked that the date of the concert be added to the Councils scheduled of events for 2024.</w:t>
      </w:r>
    </w:p>
    <w:p w14:paraId="10B1E954" w14:textId="77777777" w:rsidR="00D658E9" w:rsidRDefault="00D658E9" w:rsidP="00D658E9"/>
    <w:p w14:paraId="43FEA4E8" w14:textId="77777777" w:rsidR="00D658E9" w:rsidRDefault="00EA6EF5" w:rsidP="00D658E9">
      <w:r>
        <w:rPr>
          <w:rFonts w:cs="Arial"/>
          <w:szCs w:val="24"/>
        </w:rPr>
        <w:t xml:space="preserve">RECOMMENDED </w:t>
      </w:r>
      <w:r w:rsidRPr="00444243">
        <w:rPr>
          <w:rFonts w:cs="Arial"/>
          <w:szCs w:val="24"/>
        </w:rPr>
        <w:t xml:space="preserve">that the Council </w:t>
      </w:r>
      <w:r w:rsidR="00D658E9">
        <w:t>that Council considers the invitation and nominates Councillors to attend the Concert if desired.</w:t>
      </w:r>
    </w:p>
    <w:p w14:paraId="68BDE9E7" w14:textId="1B0938A4" w:rsidR="00EA6EF5" w:rsidRDefault="00EA6EF5" w:rsidP="00EA6EF5">
      <w:pPr>
        <w:rPr>
          <w:rFonts w:cs="Arial"/>
          <w:szCs w:val="24"/>
        </w:rPr>
      </w:pPr>
    </w:p>
    <w:p w14:paraId="022C8EFE" w14:textId="77777777" w:rsidR="004455BE" w:rsidRPr="004455BE" w:rsidRDefault="00EA6EF5" w:rsidP="004455BE">
      <w:pPr>
        <w:pStyle w:val="Normal0"/>
        <w:rPr>
          <w:rFonts w:cs="Arial"/>
          <w:b/>
          <w:bCs/>
          <w:sz w:val="24"/>
          <w:szCs w:val="24"/>
        </w:rPr>
      </w:pPr>
      <w:r w:rsidRPr="004455BE">
        <w:rPr>
          <w:b/>
          <w:bCs/>
          <w:sz w:val="24"/>
          <w:szCs w:val="24"/>
        </w:rPr>
        <w:t xml:space="preserve">AGREED TO RECOMMEND, on the proposal of </w:t>
      </w:r>
      <w:r w:rsidR="004455BE" w:rsidRPr="004455BE">
        <w:rPr>
          <w:b/>
          <w:bCs/>
          <w:sz w:val="24"/>
          <w:szCs w:val="24"/>
        </w:rPr>
        <w:t>Alderman McIlveen</w:t>
      </w:r>
      <w:r w:rsidRPr="004455BE">
        <w:rPr>
          <w:b/>
          <w:bCs/>
          <w:sz w:val="24"/>
          <w:szCs w:val="24"/>
        </w:rPr>
        <w:t>, seconded by Councillor</w:t>
      </w:r>
      <w:r w:rsidR="004455BE" w:rsidRPr="004455BE">
        <w:rPr>
          <w:b/>
          <w:bCs/>
          <w:sz w:val="24"/>
          <w:szCs w:val="24"/>
        </w:rPr>
        <w:t xml:space="preserve"> Cochrane</w:t>
      </w:r>
      <w:r w:rsidRPr="004455BE">
        <w:rPr>
          <w:b/>
          <w:bCs/>
          <w:sz w:val="24"/>
          <w:szCs w:val="24"/>
        </w:rPr>
        <w:t>, that the recommendation be adopted</w:t>
      </w:r>
      <w:r w:rsidR="004455BE" w:rsidRPr="004455BE">
        <w:rPr>
          <w:b/>
          <w:bCs/>
          <w:sz w:val="24"/>
          <w:szCs w:val="24"/>
        </w:rPr>
        <w:t xml:space="preserve"> </w:t>
      </w:r>
      <w:r w:rsidR="004455BE" w:rsidRPr="004455BE">
        <w:rPr>
          <w:rFonts w:cs="Arial"/>
          <w:b/>
          <w:bCs/>
          <w:sz w:val="24"/>
          <w:szCs w:val="24"/>
        </w:rPr>
        <w:t xml:space="preserve">and Alderman Cummings, Veteran’s Champion be nominated to attend the concert. Additionally, Alderman Graham proposed, seconded by Councillor Cochrane that the Mayor be nominated to attend the concert also. </w:t>
      </w:r>
    </w:p>
    <w:p w14:paraId="1DB5EAD5" w14:textId="77777777" w:rsidR="00343303" w:rsidRDefault="00343303" w:rsidP="006113F2">
      <w:pPr>
        <w:pStyle w:val="Normal0"/>
        <w:rPr>
          <w:noProof/>
        </w:rPr>
      </w:pPr>
    </w:p>
    <w:p w14:paraId="2459760F" w14:textId="5B732212" w:rsidR="006113F2" w:rsidRDefault="00343303" w:rsidP="00CE35A9">
      <w:pPr>
        <w:pStyle w:val="Heading1"/>
      </w:pPr>
      <w:r>
        <w:t>5.</w:t>
      </w:r>
      <w:r>
        <w:tab/>
      </w:r>
      <w:bookmarkStart w:id="2" w:name="_Hlk129096376"/>
      <w:r w:rsidR="00EA6EF5" w:rsidRPr="00CE35A9">
        <w:rPr>
          <w:u w:val="single"/>
        </w:rPr>
        <w:t>CIVIC EVENT POLICY</w:t>
      </w:r>
    </w:p>
    <w:p w14:paraId="561CBED2" w14:textId="77777777" w:rsidR="00EA6EF5" w:rsidRDefault="00EA6EF5" w:rsidP="00343303">
      <w:pPr>
        <w:contextualSpacing/>
        <w:rPr>
          <w:rFonts w:cs="Arial"/>
          <w:b/>
          <w:bCs/>
          <w:sz w:val="28"/>
          <w:szCs w:val="28"/>
          <w:u w:val="single"/>
        </w:rPr>
      </w:pPr>
    </w:p>
    <w:p w14:paraId="72E6145B" w14:textId="6D8E71DF" w:rsidR="00D658E9" w:rsidRDefault="00EA6EF5" w:rsidP="00D658E9">
      <w:pPr>
        <w:rPr>
          <w:rFonts w:eastAsia="Times New Roman"/>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 xml:space="preserve">Director of  Corporate Services </w:t>
      </w:r>
      <w:r w:rsidR="00D658E9">
        <w:rPr>
          <w:rFonts w:cs="Arial"/>
          <w:szCs w:val="24"/>
        </w:rPr>
        <w:t>which explained that t</w:t>
      </w:r>
      <w:r w:rsidR="00D658E9">
        <w:t xml:space="preserve">he Council had agreed a Civic Events Policy in October 2016.  It was considered prudent to review the Policy given that a reasonable period of time had elapsed and in response to an increasing number of requests having </w:t>
      </w:r>
      <w:r w:rsidR="00975201">
        <w:t>been</w:t>
      </w:r>
      <w:r w:rsidR="00D658E9">
        <w:t xml:space="preserve"> received. </w:t>
      </w:r>
    </w:p>
    <w:p w14:paraId="7FA7DDAB" w14:textId="77777777" w:rsidR="00D658E9" w:rsidRDefault="00D658E9" w:rsidP="00D658E9"/>
    <w:p w14:paraId="65EFD7A3" w14:textId="5FF9DD13" w:rsidR="00D658E9" w:rsidRDefault="00D658E9" w:rsidP="00D658E9">
      <w:r>
        <w:t xml:space="preserve">Officers had been considering levels of recognition, given the differing requests that were received.  In an effort to address the volume of requests, they had proposed a tiered approach of recognition, to better manage the limited budget.  In the financial year at the time of writing, the Civic Events budgets was £20,000.  Civic receptions ranged in cost from £1,000 to £3,500 each. </w:t>
      </w:r>
    </w:p>
    <w:p w14:paraId="3D30856C" w14:textId="77777777" w:rsidR="00D658E9" w:rsidRDefault="00D658E9" w:rsidP="00D658E9"/>
    <w:p w14:paraId="097B47B8" w14:textId="7999D564" w:rsidR="00D658E9" w:rsidRDefault="00D658E9" w:rsidP="00D658E9">
      <w:r>
        <w:t xml:space="preserve">Additions/changes to the attached draft policy were indicated in red text (Appendix 1). </w:t>
      </w:r>
    </w:p>
    <w:p w14:paraId="597B1C42" w14:textId="77777777" w:rsidR="00D658E9" w:rsidRDefault="00D658E9" w:rsidP="00D658E9"/>
    <w:p w14:paraId="3B385FCE" w14:textId="04A0824A" w:rsidR="00D658E9" w:rsidRDefault="00D658E9" w:rsidP="00D658E9">
      <w:r>
        <w:rPr>
          <w:bCs/>
        </w:rPr>
        <w:t xml:space="preserve">RECOMMENDED </w:t>
      </w:r>
      <w:r>
        <w:t xml:space="preserve">that Council adopt the draft Civic Event Policy. </w:t>
      </w:r>
    </w:p>
    <w:p w14:paraId="7CC04483" w14:textId="77777777" w:rsidR="00D658E9" w:rsidRDefault="00D658E9" w:rsidP="00D658E9"/>
    <w:p w14:paraId="6A4EC6AC" w14:textId="3B2198E3" w:rsidR="004455BE" w:rsidRDefault="004455BE" w:rsidP="00EA6EF5">
      <w:pPr>
        <w:rPr>
          <w:rFonts w:cs="Arial"/>
          <w:szCs w:val="24"/>
        </w:rPr>
      </w:pPr>
      <w:r>
        <w:rPr>
          <w:rFonts w:cs="Arial"/>
          <w:szCs w:val="24"/>
        </w:rPr>
        <w:t xml:space="preserve">Alderman McIlveen asked what the practical difference would be to the Civic Event Policy as he believed it operated on a tiered approach already. The Head of Administration explained that </w:t>
      </w:r>
      <w:r w:rsidR="00667BC7">
        <w:rPr>
          <w:rFonts w:cs="Arial"/>
          <w:szCs w:val="24"/>
        </w:rPr>
        <w:t xml:space="preserve">currently </w:t>
      </w:r>
      <w:r>
        <w:rPr>
          <w:rFonts w:cs="Arial"/>
          <w:szCs w:val="24"/>
        </w:rPr>
        <w:t xml:space="preserve">when a request came in, it </w:t>
      </w:r>
      <w:r w:rsidR="00975201">
        <w:rPr>
          <w:rFonts w:cs="Arial"/>
          <w:szCs w:val="24"/>
        </w:rPr>
        <w:t>was</w:t>
      </w:r>
      <w:r w:rsidR="00667BC7">
        <w:rPr>
          <w:rFonts w:cs="Arial"/>
          <w:szCs w:val="24"/>
        </w:rPr>
        <w:t xml:space="preserve"> </w:t>
      </w:r>
      <w:r>
        <w:rPr>
          <w:rFonts w:cs="Arial"/>
          <w:szCs w:val="24"/>
        </w:rPr>
        <w:t xml:space="preserve">considered as a civic event and Officers would work their way down through the tiers to a less formal event dependent on circumstances. The draft Civic Event Policy would allow for the approach to work from the bottom tier to the top. </w:t>
      </w:r>
      <w:r w:rsidR="00EE4E26">
        <w:rPr>
          <w:rFonts w:cs="Arial"/>
          <w:szCs w:val="24"/>
        </w:rPr>
        <w:t xml:space="preserve">Going forward when a request </w:t>
      </w:r>
      <w:r w:rsidR="00B608AA">
        <w:rPr>
          <w:rFonts w:cs="Arial"/>
          <w:szCs w:val="24"/>
        </w:rPr>
        <w:t xml:space="preserve">for a Civic Event </w:t>
      </w:r>
      <w:r w:rsidR="00975201">
        <w:rPr>
          <w:rFonts w:cs="Arial"/>
          <w:szCs w:val="24"/>
        </w:rPr>
        <w:t>was</w:t>
      </w:r>
      <w:r w:rsidR="00A65EC9">
        <w:rPr>
          <w:rFonts w:cs="Arial"/>
          <w:szCs w:val="24"/>
        </w:rPr>
        <w:t xml:space="preserve"> being considered</w:t>
      </w:r>
      <w:r w:rsidR="00B608AA">
        <w:rPr>
          <w:rFonts w:cs="Arial"/>
          <w:szCs w:val="24"/>
        </w:rPr>
        <w:t>,</w:t>
      </w:r>
      <w:r w:rsidR="00A65EC9">
        <w:rPr>
          <w:rFonts w:cs="Arial"/>
          <w:szCs w:val="24"/>
        </w:rPr>
        <w:t xml:space="preserve"> Members should </w:t>
      </w:r>
      <w:r w:rsidR="00D11A7D">
        <w:rPr>
          <w:rFonts w:cs="Arial"/>
          <w:szCs w:val="24"/>
        </w:rPr>
        <w:t xml:space="preserve">consult with Democratic Services in </w:t>
      </w:r>
      <w:proofErr w:type="gramStart"/>
      <w:r w:rsidR="00D11A7D">
        <w:rPr>
          <w:rFonts w:cs="Arial"/>
          <w:szCs w:val="24"/>
        </w:rPr>
        <w:t>advance</w:t>
      </w:r>
      <w:proofErr w:type="gramEnd"/>
      <w:r w:rsidR="00D11A7D">
        <w:rPr>
          <w:rFonts w:cs="Arial"/>
          <w:szCs w:val="24"/>
        </w:rPr>
        <w:t xml:space="preserve"> and t</w:t>
      </w:r>
      <w:r w:rsidR="00B608AA">
        <w:rPr>
          <w:rFonts w:cs="Arial"/>
          <w:szCs w:val="24"/>
        </w:rPr>
        <w:t xml:space="preserve">hey </w:t>
      </w:r>
      <w:r w:rsidR="00975201">
        <w:rPr>
          <w:rFonts w:cs="Arial"/>
          <w:szCs w:val="24"/>
        </w:rPr>
        <w:t>could</w:t>
      </w:r>
      <w:r w:rsidR="00B608AA">
        <w:rPr>
          <w:rFonts w:cs="Arial"/>
          <w:szCs w:val="24"/>
        </w:rPr>
        <w:t xml:space="preserve"> advise if </w:t>
      </w:r>
      <w:r w:rsidR="003C69AC">
        <w:rPr>
          <w:rFonts w:cs="Arial"/>
          <w:szCs w:val="24"/>
        </w:rPr>
        <w:t xml:space="preserve">another option should be </w:t>
      </w:r>
      <w:r w:rsidR="003C69AC">
        <w:rPr>
          <w:rFonts w:cs="Arial"/>
          <w:szCs w:val="24"/>
        </w:rPr>
        <w:lastRenderedPageBreak/>
        <w:t xml:space="preserve">considered first. Only if an event </w:t>
      </w:r>
      <w:r w:rsidR="00975201">
        <w:rPr>
          <w:rFonts w:cs="Arial"/>
          <w:szCs w:val="24"/>
        </w:rPr>
        <w:t>was</w:t>
      </w:r>
      <w:r w:rsidR="003C69AC">
        <w:rPr>
          <w:rFonts w:cs="Arial"/>
          <w:szCs w:val="24"/>
        </w:rPr>
        <w:t xml:space="preserve"> deemed appropriate for a full Civic event </w:t>
      </w:r>
      <w:r w:rsidR="001360CE">
        <w:rPr>
          <w:rFonts w:cs="Arial"/>
          <w:szCs w:val="24"/>
        </w:rPr>
        <w:t>would</w:t>
      </w:r>
      <w:r w:rsidR="00780864">
        <w:rPr>
          <w:rFonts w:cs="Arial"/>
          <w:szCs w:val="24"/>
        </w:rPr>
        <w:t xml:space="preserve"> it require </w:t>
      </w:r>
      <w:r w:rsidR="001360CE">
        <w:rPr>
          <w:rFonts w:cs="Arial"/>
          <w:szCs w:val="24"/>
        </w:rPr>
        <w:t>three</w:t>
      </w:r>
      <w:r w:rsidR="00780864">
        <w:rPr>
          <w:rFonts w:cs="Arial"/>
          <w:szCs w:val="24"/>
        </w:rPr>
        <w:t xml:space="preserve"> Members</w:t>
      </w:r>
      <w:r w:rsidR="00975201">
        <w:rPr>
          <w:rFonts w:cs="Arial"/>
          <w:szCs w:val="24"/>
        </w:rPr>
        <w:t>’</w:t>
      </w:r>
      <w:r w:rsidR="00780864">
        <w:rPr>
          <w:rFonts w:cs="Arial"/>
          <w:szCs w:val="24"/>
        </w:rPr>
        <w:t xml:space="preserve"> signatures and a report taken to Committee</w:t>
      </w:r>
      <w:r w:rsidR="003459EB">
        <w:rPr>
          <w:rFonts w:cs="Arial"/>
          <w:szCs w:val="24"/>
        </w:rPr>
        <w:t xml:space="preserve"> for approval. </w:t>
      </w:r>
    </w:p>
    <w:p w14:paraId="636F5DF5" w14:textId="77777777" w:rsidR="003459EB" w:rsidRDefault="003459EB" w:rsidP="00EA6EF5">
      <w:pPr>
        <w:rPr>
          <w:rFonts w:cs="Arial"/>
          <w:szCs w:val="24"/>
        </w:rPr>
      </w:pPr>
    </w:p>
    <w:p w14:paraId="49712DDF" w14:textId="094801D3" w:rsidR="00EA6EF5" w:rsidRDefault="00EA6EF5" w:rsidP="00EA6EF5">
      <w:pPr>
        <w:rPr>
          <w:b/>
          <w:bCs/>
        </w:rPr>
      </w:pPr>
      <w:r w:rsidRPr="007F0DD5">
        <w:rPr>
          <w:b/>
          <w:bCs/>
        </w:rPr>
        <w:t>AGREED TO RECOMMEND, on the proposal of</w:t>
      </w:r>
      <w:r>
        <w:rPr>
          <w:b/>
          <w:bCs/>
        </w:rPr>
        <w:t xml:space="preserve"> </w:t>
      </w:r>
      <w:r w:rsidR="004455BE">
        <w:rPr>
          <w:b/>
          <w:bCs/>
        </w:rPr>
        <w:t>Alderman McIlveen</w:t>
      </w:r>
      <w:r w:rsidRPr="007F0DD5">
        <w:rPr>
          <w:b/>
          <w:bCs/>
        </w:rPr>
        <w:t>, seconded</w:t>
      </w:r>
      <w:r>
        <w:rPr>
          <w:b/>
          <w:bCs/>
        </w:rPr>
        <w:t xml:space="preserve"> by Councillor</w:t>
      </w:r>
      <w:r w:rsidR="004455BE">
        <w:rPr>
          <w:b/>
          <w:bCs/>
        </w:rPr>
        <w:t xml:space="preserve"> W Irvine</w:t>
      </w:r>
      <w:r w:rsidRPr="007F0DD5">
        <w:rPr>
          <w:b/>
          <w:bCs/>
        </w:rPr>
        <w:t xml:space="preserve">, that </w:t>
      </w:r>
      <w:r>
        <w:rPr>
          <w:b/>
          <w:bCs/>
        </w:rPr>
        <w:t>the recommendation be adopted.</w:t>
      </w:r>
    </w:p>
    <w:p w14:paraId="587AAEFF" w14:textId="77777777" w:rsidR="00EA6EF5" w:rsidRDefault="00EA6EF5" w:rsidP="00EA6EF5">
      <w:pPr>
        <w:rPr>
          <w:b/>
          <w:bCs/>
        </w:rPr>
      </w:pPr>
    </w:p>
    <w:p w14:paraId="2E62AB5C" w14:textId="2BF7B424" w:rsidR="00EA6EF5" w:rsidRPr="00CE35A9" w:rsidRDefault="00EA6EF5" w:rsidP="00CE35A9">
      <w:pPr>
        <w:pStyle w:val="Heading1"/>
        <w:rPr>
          <w:u w:val="single"/>
        </w:rPr>
      </w:pPr>
      <w:r>
        <w:t>6.</w:t>
      </w:r>
      <w:r>
        <w:tab/>
      </w:r>
      <w:r w:rsidRPr="00CE35A9">
        <w:rPr>
          <w:u w:val="single"/>
        </w:rPr>
        <w:t>SCHEME OF ALLOWANCES</w:t>
      </w:r>
    </w:p>
    <w:p w14:paraId="7FB37732" w14:textId="44822905" w:rsidR="00764F36" w:rsidRPr="00764F36" w:rsidRDefault="00764F36" w:rsidP="00EA6EF5">
      <w:pPr>
        <w:contextualSpacing/>
        <w:rPr>
          <w:rFonts w:cs="Arial"/>
          <w:sz w:val="28"/>
          <w:szCs w:val="28"/>
        </w:rPr>
      </w:pPr>
      <w:r>
        <w:rPr>
          <w:rFonts w:cs="Arial"/>
          <w:sz w:val="28"/>
          <w:szCs w:val="28"/>
        </w:rPr>
        <w:tab/>
        <w:t>(Ref: FIN23)</w:t>
      </w:r>
    </w:p>
    <w:p w14:paraId="1A54B620" w14:textId="77777777" w:rsidR="00EA6EF5" w:rsidRDefault="00EA6EF5" w:rsidP="00CE35A9">
      <w:pPr>
        <w:contextualSpacing/>
        <w:rPr>
          <w:rFonts w:cs="Arial"/>
          <w:b/>
          <w:bCs/>
          <w:sz w:val="28"/>
          <w:szCs w:val="28"/>
          <w:u w:val="single"/>
        </w:rPr>
      </w:pPr>
    </w:p>
    <w:p w14:paraId="48EDB235" w14:textId="2FABD7F3" w:rsidR="00764F36" w:rsidRDefault="00EA6EF5" w:rsidP="00CE35A9">
      <w:pPr>
        <w:rPr>
          <w:rFonts w:eastAsia="Times New Roman"/>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 xml:space="preserve">Director of  Corporate Services </w:t>
      </w:r>
      <w:r w:rsidR="00764F36">
        <w:rPr>
          <w:rFonts w:cs="Arial"/>
          <w:szCs w:val="24"/>
        </w:rPr>
        <w:t>which explained that the background requirements outlined</w:t>
      </w:r>
      <w:r w:rsidRPr="00343303">
        <w:rPr>
          <w:rFonts w:cs="Arial"/>
          <w:szCs w:val="24"/>
        </w:rPr>
        <w:t xml:space="preserve"> </w:t>
      </w:r>
      <w:r w:rsidR="00764F36">
        <w:t>Regulation 3 of the Payments to Councillors regulations required district councils to prepare and publish a scheme of allowances payable to its Members for each year.</w:t>
      </w:r>
    </w:p>
    <w:p w14:paraId="1167D5C4" w14:textId="77777777" w:rsidR="00764F36" w:rsidRDefault="00764F36" w:rsidP="00CE35A9"/>
    <w:p w14:paraId="5780684A" w14:textId="77777777" w:rsidR="00764F36" w:rsidRPr="00764F36" w:rsidRDefault="00764F36" w:rsidP="00CE35A9">
      <w:r w:rsidRPr="00764F36">
        <w:t>SCHEME OF ALLOWANCES</w:t>
      </w:r>
    </w:p>
    <w:p w14:paraId="742DBF8A" w14:textId="77777777" w:rsidR="00764F36" w:rsidRDefault="00764F36" w:rsidP="00CE35A9">
      <w:pPr>
        <w:rPr>
          <w:szCs w:val="20"/>
        </w:rPr>
      </w:pPr>
    </w:p>
    <w:p w14:paraId="1A19F71D" w14:textId="4ED2BAAA" w:rsidR="00764F36" w:rsidRDefault="00764F36" w:rsidP="00CE35A9">
      <w:r>
        <w:t>Following the recent National Joint Council (NJC) pay agreement for staff, the Department for Communities (</w:t>
      </w:r>
      <w:proofErr w:type="spellStart"/>
      <w:r>
        <w:t>DfC</w:t>
      </w:r>
      <w:proofErr w:type="spellEnd"/>
      <w:r>
        <w:t>) had issued Circular LG 23/2023 (attached in Appendix 1), which set new limits on all allowances for the financial year at the time of writing and for dependant carers allowance for the 2024/25 financial year.  The Committee considered this circular when setting the budget for Members’ allowances for the 2024/25 financial year.</w:t>
      </w:r>
    </w:p>
    <w:p w14:paraId="7129CF40" w14:textId="77777777" w:rsidR="00764F36" w:rsidRDefault="00764F36" w:rsidP="00CE35A9"/>
    <w:p w14:paraId="6C00C189" w14:textId="0E12AD17" w:rsidR="00764F36" w:rsidRDefault="00764F36" w:rsidP="00CE35A9">
      <w:r>
        <w:t>Appendix 2 set out a draft revised scheme of allowances for 2023/24. When the budget for this year was set, no provision was made to increase allowances as per column 1 (version 11.1). The additional cost of implementing version 11.2 in column 2 below would be in the region of £100k.</w:t>
      </w:r>
    </w:p>
    <w:p w14:paraId="740D8533" w14:textId="77777777" w:rsidR="00764F36" w:rsidRDefault="00764F36" w:rsidP="00CE35A9"/>
    <w:p w14:paraId="45BBED0A" w14:textId="3C566212" w:rsidR="00764F36" w:rsidRDefault="00764F36" w:rsidP="00CE35A9">
      <w:r>
        <w:t>Appendix 3 set out a draft revised scheme of allowances for 2024/25. The budget for the next financial year was recommended to include an additional £100k to accommodate the increase proposed in version 12 (set out in column 4 below).</w:t>
      </w:r>
    </w:p>
    <w:p w14:paraId="558167AE" w14:textId="77777777" w:rsidR="00764F36" w:rsidRDefault="00764F36" w:rsidP="00CE35A9"/>
    <w:p w14:paraId="60737040" w14:textId="41F8824D" w:rsidR="00764F36" w:rsidRDefault="00764F36" w:rsidP="00CE35A9">
      <w:r>
        <w:t>These were both substantially the same with only changes being in regard to the rates of allowance paid. The table below set out a comparison for Members’ convenience:</w:t>
      </w:r>
    </w:p>
    <w:p w14:paraId="47A6329F" w14:textId="77777777" w:rsidR="00764F36" w:rsidRDefault="00764F36" w:rsidP="00764F36">
      <w:pPr>
        <w:jc w:val="both"/>
      </w:pPr>
    </w:p>
    <w:tbl>
      <w:tblPr>
        <w:tblStyle w:val="GridTable4-Accent5"/>
        <w:tblW w:w="9051" w:type="dxa"/>
        <w:tblLook w:val="0420" w:firstRow="1" w:lastRow="0" w:firstColumn="0" w:lastColumn="0" w:noHBand="0" w:noVBand="1"/>
      </w:tblPr>
      <w:tblGrid>
        <w:gridCol w:w="3093"/>
        <w:gridCol w:w="1219"/>
        <w:gridCol w:w="1219"/>
        <w:gridCol w:w="1084"/>
        <w:gridCol w:w="1219"/>
        <w:gridCol w:w="1217"/>
      </w:tblGrid>
      <w:tr w:rsidR="00764F36" w14:paraId="559B0D4C" w14:textId="77777777" w:rsidTr="00764F36">
        <w:trPr>
          <w:cnfStyle w:val="100000000000" w:firstRow="1" w:lastRow="0" w:firstColumn="0" w:lastColumn="0" w:oddVBand="0" w:evenVBand="0" w:oddHBand="0" w:evenHBand="0" w:firstRowFirstColumn="0" w:firstRowLastColumn="0" w:lastRowFirstColumn="0" w:lastRowLastColumn="0"/>
          <w:tblHeader/>
        </w:trPr>
        <w:tc>
          <w:tcPr>
            <w:tcW w:w="3093" w:type="dxa"/>
          </w:tcPr>
          <w:p w14:paraId="4DF0E2C4" w14:textId="77777777" w:rsidR="00764F36" w:rsidRDefault="00764F36">
            <w:pPr>
              <w:jc w:val="both"/>
            </w:pPr>
          </w:p>
        </w:tc>
        <w:tc>
          <w:tcPr>
            <w:tcW w:w="1219" w:type="dxa"/>
            <w:hideMark/>
          </w:tcPr>
          <w:p w14:paraId="2D384D59" w14:textId="77777777" w:rsidR="00764F36" w:rsidRDefault="00764F36">
            <w:pPr>
              <w:jc w:val="center"/>
            </w:pPr>
            <w:r>
              <w:t>1</w:t>
            </w:r>
          </w:p>
        </w:tc>
        <w:tc>
          <w:tcPr>
            <w:tcW w:w="1219" w:type="dxa"/>
            <w:hideMark/>
          </w:tcPr>
          <w:p w14:paraId="63FC287F" w14:textId="77777777" w:rsidR="00764F36" w:rsidRDefault="00764F36">
            <w:pPr>
              <w:jc w:val="center"/>
            </w:pPr>
            <w:r>
              <w:t>2</w:t>
            </w:r>
          </w:p>
        </w:tc>
        <w:tc>
          <w:tcPr>
            <w:tcW w:w="1084" w:type="dxa"/>
            <w:hideMark/>
          </w:tcPr>
          <w:p w14:paraId="5BAA6FD2" w14:textId="77777777" w:rsidR="00764F36" w:rsidRDefault="00764F36">
            <w:pPr>
              <w:jc w:val="center"/>
            </w:pPr>
            <w:r>
              <w:t>3</w:t>
            </w:r>
          </w:p>
        </w:tc>
        <w:tc>
          <w:tcPr>
            <w:tcW w:w="1219" w:type="dxa"/>
            <w:shd w:val="clear" w:color="auto" w:fill="538135" w:themeFill="accent6" w:themeFillShade="BF"/>
            <w:hideMark/>
          </w:tcPr>
          <w:p w14:paraId="3490A368" w14:textId="77777777" w:rsidR="00764F36" w:rsidRDefault="00764F36">
            <w:pPr>
              <w:jc w:val="center"/>
            </w:pPr>
            <w:r>
              <w:t>4</w:t>
            </w:r>
          </w:p>
        </w:tc>
        <w:tc>
          <w:tcPr>
            <w:tcW w:w="1217" w:type="dxa"/>
            <w:shd w:val="clear" w:color="auto" w:fill="538135" w:themeFill="accent6" w:themeFillShade="BF"/>
            <w:hideMark/>
          </w:tcPr>
          <w:p w14:paraId="2BD997A3" w14:textId="77777777" w:rsidR="00764F36" w:rsidRDefault="00764F36">
            <w:pPr>
              <w:jc w:val="center"/>
            </w:pPr>
            <w:r>
              <w:t>5</w:t>
            </w:r>
          </w:p>
        </w:tc>
      </w:tr>
      <w:tr w:rsidR="00764F36" w14:paraId="415A596A" w14:textId="77777777" w:rsidTr="00764F36">
        <w:trPr>
          <w:cnfStyle w:val="100000000000" w:firstRow="1" w:lastRow="0" w:firstColumn="0" w:lastColumn="0" w:oddVBand="0" w:evenVBand="0" w:oddHBand="0" w:evenHBand="0" w:firstRowFirstColumn="0" w:firstRowLastColumn="0" w:lastRowFirstColumn="0" w:lastRowLastColumn="0"/>
          <w:tblHeader/>
        </w:trPr>
        <w:tc>
          <w:tcPr>
            <w:tcW w:w="3093" w:type="dxa"/>
          </w:tcPr>
          <w:p w14:paraId="385A0895" w14:textId="77777777" w:rsidR="00764F36" w:rsidRDefault="00764F36">
            <w:pPr>
              <w:jc w:val="both"/>
            </w:pPr>
          </w:p>
        </w:tc>
        <w:tc>
          <w:tcPr>
            <w:tcW w:w="1219" w:type="dxa"/>
            <w:hideMark/>
          </w:tcPr>
          <w:p w14:paraId="71080C26" w14:textId="77777777" w:rsidR="00764F36" w:rsidRDefault="00764F36">
            <w:pPr>
              <w:jc w:val="center"/>
              <w:rPr>
                <w:b w:val="0"/>
                <w:bCs w:val="0"/>
              </w:rPr>
            </w:pPr>
            <w:r>
              <w:rPr>
                <w:b w:val="0"/>
                <w:bCs w:val="0"/>
              </w:rPr>
              <w:t xml:space="preserve">Current </w:t>
            </w:r>
            <w:r>
              <w:t>2023/24</w:t>
            </w:r>
          </w:p>
          <w:p w14:paraId="5CC70DB5" w14:textId="77777777" w:rsidR="00764F36" w:rsidRDefault="00764F36">
            <w:pPr>
              <w:jc w:val="center"/>
              <w:rPr>
                <w:b w:val="0"/>
                <w:bCs w:val="0"/>
              </w:rPr>
            </w:pPr>
            <w:r>
              <w:rPr>
                <w:b w:val="0"/>
                <w:bCs w:val="0"/>
              </w:rPr>
              <w:t>Version 11.1</w:t>
            </w:r>
          </w:p>
        </w:tc>
        <w:tc>
          <w:tcPr>
            <w:tcW w:w="1219" w:type="dxa"/>
            <w:hideMark/>
          </w:tcPr>
          <w:p w14:paraId="5B65B4FD" w14:textId="77777777" w:rsidR="00764F36" w:rsidRDefault="00764F36">
            <w:pPr>
              <w:jc w:val="center"/>
              <w:rPr>
                <w:b w:val="0"/>
                <w:bCs w:val="0"/>
              </w:rPr>
            </w:pPr>
            <w:r>
              <w:rPr>
                <w:b w:val="0"/>
                <w:bCs w:val="0"/>
              </w:rPr>
              <w:t>Draft</w:t>
            </w:r>
          </w:p>
          <w:p w14:paraId="67DD3EC0" w14:textId="77777777" w:rsidR="00764F36" w:rsidRDefault="00764F36">
            <w:pPr>
              <w:jc w:val="center"/>
            </w:pPr>
            <w:r>
              <w:t>2023/24</w:t>
            </w:r>
          </w:p>
          <w:p w14:paraId="2DBD3AB8" w14:textId="77777777" w:rsidR="00764F36" w:rsidRDefault="00764F36">
            <w:pPr>
              <w:jc w:val="center"/>
              <w:rPr>
                <w:b w:val="0"/>
                <w:bCs w:val="0"/>
              </w:rPr>
            </w:pPr>
            <w:r>
              <w:rPr>
                <w:b w:val="0"/>
                <w:bCs w:val="0"/>
              </w:rPr>
              <w:t>Version 11.2</w:t>
            </w:r>
          </w:p>
        </w:tc>
        <w:tc>
          <w:tcPr>
            <w:tcW w:w="1084" w:type="dxa"/>
            <w:hideMark/>
          </w:tcPr>
          <w:p w14:paraId="4F827F0F" w14:textId="77777777" w:rsidR="00764F36" w:rsidRDefault="00764F36">
            <w:pPr>
              <w:jc w:val="center"/>
              <w:rPr>
                <w:b w:val="0"/>
                <w:bCs w:val="0"/>
              </w:rPr>
            </w:pPr>
            <w:proofErr w:type="spellStart"/>
            <w:r>
              <w:rPr>
                <w:b w:val="0"/>
                <w:bCs w:val="0"/>
              </w:rPr>
              <w:t>DfC</w:t>
            </w:r>
            <w:proofErr w:type="spellEnd"/>
            <w:r>
              <w:rPr>
                <w:b w:val="0"/>
                <w:bCs w:val="0"/>
              </w:rPr>
              <w:t xml:space="preserve"> Circular</w:t>
            </w:r>
          </w:p>
        </w:tc>
        <w:tc>
          <w:tcPr>
            <w:tcW w:w="1219" w:type="dxa"/>
            <w:shd w:val="clear" w:color="auto" w:fill="538135" w:themeFill="accent6" w:themeFillShade="BF"/>
            <w:hideMark/>
          </w:tcPr>
          <w:p w14:paraId="5C513099" w14:textId="77777777" w:rsidR="00764F36" w:rsidRDefault="00764F36">
            <w:pPr>
              <w:jc w:val="center"/>
              <w:rPr>
                <w:b w:val="0"/>
                <w:bCs w:val="0"/>
              </w:rPr>
            </w:pPr>
            <w:r>
              <w:rPr>
                <w:b w:val="0"/>
                <w:bCs w:val="0"/>
              </w:rPr>
              <w:t xml:space="preserve">Draft </w:t>
            </w:r>
            <w:r>
              <w:t>2024/25</w:t>
            </w:r>
          </w:p>
          <w:p w14:paraId="31C248BB" w14:textId="77777777" w:rsidR="00764F36" w:rsidRDefault="00764F36">
            <w:pPr>
              <w:jc w:val="center"/>
              <w:rPr>
                <w:b w:val="0"/>
                <w:bCs w:val="0"/>
              </w:rPr>
            </w:pPr>
            <w:r>
              <w:rPr>
                <w:b w:val="0"/>
                <w:bCs w:val="0"/>
              </w:rPr>
              <w:t>Version 12</w:t>
            </w:r>
          </w:p>
        </w:tc>
        <w:tc>
          <w:tcPr>
            <w:tcW w:w="1217" w:type="dxa"/>
            <w:shd w:val="clear" w:color="auto" w:fill="538135" w:themeFill="accent6" w:themeFillShade="BF"/>
            <w:hideMark/>
          </w:tcPr>
          <w:p w14:paraId="056CFE09" w14:textId="77777777" w:rsidR="00764F36" w:rsidRDefault="00764F36">
            <w:pPr>
              <w:jc w:val="center"/>
              <w:rPr>
                <w:b w:val="0"/>
                <w:bCs w:val="0"/>
              </w:rPr>
            </w:pPr>
            <w:proofErr w:type="spellStart"/>
            <w:r>
              <w:rPr>
                <w:b w:val="0"/>
                <w:bCs w:val="0"/>
              </w:rPr>
              <w:t>DfC</w:t>
            </w:r>
            <w:proofErr w:type="spellEnd"/>
            <w:r>
              <w:rPr>
                <w:b w:val="0"/>
                <w:bCs w:val="0"/>
              </w:rPr>
              <w:t xml:space="preserve"> Circular</w:t>
            </w:r>
          </w:p>
        </w:tc>
      </w:tr>
      <w:tr w:rsidR="00764F36" w14:paraId="24D5063B" w14:textId="77777777" w:rsidTr="00764F36">
        <w:trPr>
          <w:cnfStyle w:val="000000100000" w:firstRow="0" w:lastRow="0" w:firstColumn="0" w:lastColumn="0" w:oddVBand="0" w:evenVBand="0" w:oddHBand="1" w:evenHBand="0" w:firstRowFirstColumn="0" w:firstRowLastColumn="0" w:lastRowFirstColumn="0" w:lastRowLastColumn="0"/>
        </w:trPr>
        <w:tc>
          <w:tcPr>
            <w:tcW w:w="309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2250F8C" w14:textId="77777777" w:rsidR="00764F36" w:rsidRDefault="00764F36">
            <w:pPr>
              <w:spacing w:after="120"/>
              <w:jc w:val="both"/>
            </w:pPr>
            <w:r>
              <w:t>Basic Allowance</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2D2581C" w14:textId="77777777" w:rsidR="00764F36" w:rsidRDefault="00764F36">
            <w:pPr>
              <w:spacing w:after="120"/>
              <w:jc w:val="center"/>
            </w:pPr>
            <w:r>
              <w:t>£15,071</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A8AF360" w14:textId="77777777" w:rsidR="00764F36" w:rsidRDefault="00764F36">
            <w:pPr>
              <w:spacing w:after="120"/>
              <w:jc w:val="center"/>
            </w:pPr>
            <w:r>
              <w:t>£17,030</w:t>
            </w:r>
          </w:p>
        </w:tc>
        <w:tc>
          <w:tcPr>
            <w:tcW w:w="108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FA79579" w14:textId="77777777" w:rsidR="00764F36" w:rsidRDefault="00764F36">
            <w:pPr>
              <w:spacing w:after="120"/>
              <w:jc w:val="center"/>
            </w:pPr>
            <w:r>
              <w:t>£17,030</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E2EFD9" w:themeFill="accent6" w:themeFillTint="33"/>
            <w:hideMark/>
          </w:tcPr>
          <w:p w14:paraId="1B1E1681" w14:textId="77777777" w:rsidR="00764F36" w:rsidRDefault="00764F36">
            <w:pPr>
              <w:spacing w:after="120"/>
              <w:jc w:val="center"/>
            </w:pPr>
            <w:r>
              <w:t>£17,030</w:t>
            </w:r>
          </w:p>
        </w:tc>
        <w:tc>
          <w:tcPr>
            <w:tcW w:w="121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E2EFD9" w:themeFill="accent6" w:themeFillTint="33"/>
            <w:hideMark/>
          </w:tcPr>
          <w:p w14:paraId="6C521AA4" w14:textId="77777777" w:rsidR="00764F36" w:rsidRDefault="00764F36">
            <w:pPr>
              <w:spacing w:after="120"/>
              <w:jc w:val="center"/>
            </w:pPr>
            <w:r>
              <w:t>Note 1</w:t>
            </w:r>
          </w:p>
        </w:tc>
      </w:tr>
      <w:tr w:rsidR="00764F36" w14:paraId="45A80C60" w14:textId="77777777" w:rsidTr="00764F36">
        <w:tc>
          <w:tcPr>
            <w:tcW w:w="309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B5CDAA1" w14:textId="77777777" w:rsidR="00764F36" w:rsidRDefault="00764F36">
            <w:pPr>
              <w:spacing w:after="120"/>
              <w:jc w:val="both"/>
            </w:pPr>
            <w:r>
              <w:t xml:space="preserve">Special Responsibility </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43C1A1E" w14:textId="77777777" w:rsidR="00764F36" w:rsidRDefault="00764F36">
            <w:pPr>
              <w:spacing w:after="120"/>
              <w:jc w:val="center"/>
            </w:pPr>
            <w:r>
              <w:t>£51,040</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0C2E39E" w14:textId="77777777" w:rsidR="00764F36" w:rsidRDefault="00764F36">
            <w:pPr>
              <w:spacing w:after="120"/>
              <w:jc w:val="center"/>
            </w:pPr>
            <w:r>
              <w:t>51,040</w:t>
            </w:r>
          </w:p>
        </w:tc>
        <w:tc>
          <w:tcPr>
            <w:tcW w:w="108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FA2DB65" w14:textId="77777777" w:rsidR="00764F36" w:rsidRDefault="00764F36">
            <w:pPr>
              <w:spacing w:after="120"/>
              <w:jc w:val="center"/>
            </w:pPr>
            <w:r>
              <w:t>£83,944</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5C797F8" w14:textId="77777777" w:rsidR="00764F36" w:rsidRDefault="00764F36">
            <w:pPr>
              <w:spacing w:after="120"/>
              <w:jc w:val="center"/>
            </w:pPr>
            <w:r>
              <w:t>£51,040</w:t>
            </w:r>
          </w:p>
        </w:tc>
        <w:tc>
          <w:tcPr>
            <w:tcW w:w="121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51DDCAF" w14:textId="77777777" w:rsidR="00764F36" w:rsidRDefault="00764F36">
            <w:pPr>
              <w:spacing w:after="120"/>
              <w:jc w:val="center"/>
            </w:pPr>
            <w:r>
              <w:t>Note 1</w:t>
            </w:r>
          </w:p>
        </w:tc>
      </w:tr>
      <w:tr w:rsidR="00764F36" w14:paraId="5121B2CC" w14:textId="77777777" w:rsidTr="00764F36">
        <w:trPr>
          <w:cnfStyle w:val="000000100000" w:firstRow="0" w:lastRow="0" w:firstColumn="0" w:lastColumn="0" w:oddVBand="0" w:evenVBand="0" w:oddHBand="1" w:evenHBand="0" w:firstRowFirstColumn="0" w:firstRowLastColumn="0" w:lastRowFirstColumn="0" w:lastRowLastColumn="0"/>
        </w:trPr>
        <w:tc>
          <w:tcPr>
            <w:tcW w:w="309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AEFA0CE" w14:textId="77777777" w:rsidR="00764F36" w:rsidRDefault="00764F36">
            <w:pPr>
              <w:pStyle w:val="Default"/>
              <w:spacing w:after="120"/>
              <w:rPr>
                <w:sz w:val="23"/>
                <w:szCs w:val="23"/>
              </w:rPr>
            </w:pPr>
            <w:r>
              <w:t>Dependant Carers Allowance - Std</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5F8E830" w14:textId="77777777" w:rsidR="00764F36" w:rsidRDefault="00764F36">
            <w:pPr>
              <w:spacing w:after="120"/>
              <w:jc w:val="center"/>
              <w:rPr>
                <w:szCs w:val="20"/>
              </w:rPr>
            </w:pPr>
            <w:r>
              <w:t>£10.42</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8F03BC0" w14:textId="77777777" w:rsidR="00764F36" w:rsidRDefault="00764F36">
            <w:pPr>
              <w:spacing w:after="120"/>
              <w:jc w:val="center"/>
            </w:pPr>
            <w:r>
              <w:t>£10.42</w:t>
            </w:r>
          </w:p>
        </w:tc>
        <w:tc>
          <w:tcPr>
            <w:tcW w:w="108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3310513" w14:textId="77777777" w:rsidR="00764F36" w:rsidRDefault="00764F36">
            <w:pPr>
              <w:spacing w:after="120"/>
              <w:jc w:val="center"/>
            </w:pPr>
            <w:r>
              <w:t>£10.42</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E2EFD9" w:themeFill="accent6" w:themeFillTint="33"/>
            <w:hideMark/>
          </w:tcPr>
          <w:p w14:paraId="2A9C78F4" w14:textId="77777777" w:rsidR="00764F36" w:rsidRDefault="00764F36">
            <w:pPr>
              <w:spacing w:after="120"/>
              <w:jc w:val="center"/>
            </w:pPr>
            <w:r>
              <w:t>£11.44</w:t>
            </w:r>
          </w:p>
        </w:tc>
        <w:tc>
          <w:tcPr>
            <w:tcW w:w="121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E2EFD9" w:themeFill="accent6" w:themeFillTint="33"/>
            <w:hideMark/>
          </w:tcPr>
          <w:p w14:paraId="4FD8F451" w14:textId="77777777" w:rsidR="00764F36" w:rsidRDefault="00764F36">
            <w:pPr>
              <w:spacing w:after="120"/>
              <w:jc w:val="center"/>
            </w:pPr>
            <w:r>
              <w:t>£11.44</w:t>
            </w:r>
          </w:p>
        </w:tc>
      </w:tr>
      <w:tr w:rsidR="00764F36" w14:paraId="04CA73FE" w14:textId="77777777" w:rsidTr="00764F36">
        <w:tc>
          <w:tcPr>
            <w:tcW w:w="309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4D5211E" w14:textId="77777777" w:rsidR="00764F36" w:rsidRDefault="00764F36">
            <w:pPr>
              <w:spacing w:after="120"/>
            </w:pPr>
            <w:r>
              <w:t>Dependant Carers Allowance - Specialist</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F6429AE" w14:textId="77777777" w:rsidR="00764F36" w:rsidRDefault="00764F36">
            <w:pPr>
              <w:spacing w:after="120"/>
              <w:jc w:val="center"/>
            </w:pPr>
            <w:r>
              <w:t>£20.84</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509FD160" w14:textId="77777777" w:rsidR="00764F36" w:rsidRDefault="00764F36">
            <w:pPr>
              <w:spacing w:after="120"/>
              <w:jc w:val="center"/>
            </w:pPr>
            <w:r>
              <w:t>£20.84</w:t>
            </w:r>
          </w:p>
        </w:tc>
        <w:tc>
          <w:tcPr>
            <w:tcW w:w="108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E302F90" w14:textId="77777777" w:rsidR="00764F36" w:rsidRDefault="00764F36">
            <w:pPr>
              <w:spacing w:after="120"/>
              <w:jc w:val="center"/>
            </w:pPr>
            <w:r>
              <w:t>£20.84</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99D5911" w14:textId="77777777" w:rsidR="00764F36" w:rsidRDefault="00764F36">
            <w:pPr>
              <w:spacing w:after="120"/>
              <w:jc w:val="center"/>
            </w:pPr>
            <w:r>
              <w:t>£22.88</w:t>
            </w:r>
          </w:p>
        </w:tc>
        <w:tc>
          <w:tcPr>
            <w:tcW w:w="121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46EAC07" w14:textId="77777777" w:rsidR="00764F36" w:rsidRDefault="00764F36">
            <w:pPr>
              <w:spacing w:after="120"/>
              <w:jc w:val="center"/>
            </w:pPr>
            <w:r>
              <w:t>£22.88</w:t>
            </w:r>
          </w:p>
        </w:tc>
      </w:tr>
      <w:tr w:rsidR="00764F36" w14:paraId="7D4A3A5F" w14:textId="77777777" w:rsidTr="00764F36">
        <w:trPr>
          <w:cnfStyle w:val="000000100000" w:firstRow="0" w:lastRow="0" w:firstColumn="0" w:lastColumn="0" w:oddVBand="0" w:evenVBand="0" w:oddHBand="1" w:evenHBand="0" w:firstRowFirstColumn="0" w:firstRowLastColumn="0" w:lastRowFirstColumn="0" w:lastRowLastColumn="0"/>
        </w:trPr>
        <w:tc>
          <w:tcPr>
            <w:tcW w:w="309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5D09CE1" w14:textId="77777777" w:rsidR="00764F36" w:rsidRDefault="00764F36">
            <w:pPr>
              <w:spacing w:after="120"/>
              <w:jc w:val="both"/>
            </w:pPr>
            <w:r>
              <w:lastRenderedPageBreak/>
              <w:t>Mileage (max rate)</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0F1F5A21" w14:textId="77777777" w:rsidR="00764F36" w:rsidRDefault="00764F36">
            <w:pPr>
              <w:spacing w:after="120"/>
              <w:jc w:val="center"/>
            </w:pPr>
            <w:r>
              <w:t>£0.45</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0D1572A" w14:textId="77777777" w:rsidR="00764F36" w:rsidRDefault="00764F36">
            <w:pPr>
              <w:spacing w:after="120"/>
              <w:jc w:val="center"/>
            </w:pPr>
            <w:r>
              <w:t>£0.45</w:t>
            </w:r>
          </w:p>
        </w:tc>
        <w:tc>
          <w:tcPr>
            <w:tcW w:w="108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A09C26C" w14:textId="77777777" w:rsidR="00764F36" w:rsidRDefault="00764F36">
            <w:pPr>
              <w:spacing w:after="120"/>
              <w:jc w:val="center"/>
            </w:pPr>
            <w:r>
              <w:t>£0.65</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E2EFD9" w:themeFill="accent6" w:themeFillTint="33"/>
            <w:hideMark/>
          </w:tcPr>
          <w:p w14:paraId="23746CBF" w14:textId="77777777" w:rsidR="00764F36" w:rsidRDefault="00764F36">
            <w:pPr>
              <w:spacing w:after="120"/>
              <w:jc w:val="center"/>
            </w:pPr>
            <w:r>
              <w:t>£0.45</w:t>
            </w:r>
          </w:p>
        </w:tc>
        <w:tc>
          <w:tcPr>
            <w:tcW w:w="121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E2EFD9" w:themeFill="accent6" w:themeFillTint="33"/>
            <w:hideMark/>
          </w:tcPr>
          <w:p w14:paraId="447CA81D" w14:textId="77777777" w:rsidR="00764F36" w:rsidRDefault="00764F36">
            <w:pPr>
              <w:spacing w:after="120"/>
              <w:jc w:val="center"/>
            </w:pPr>
            <w:r>
              <w:t>Note 2</w:t>
            </w:r>
          </w:p>
        </w:tc>
      </w:tr>
      <w:tr w:rsidR="00764F36" w14:paraId="306FBD93" w14:textId="77777777" w:rsidTr="00764F36">
        <w:tc>
          <w:tcPr>
            <w:tcW w:w="309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3AE468D" w14:textId="77777777" w:rsidR="00764F36" w:rsidRDefault="00764F36">
            <w:pPr>
              <w:spacing w:after="120"/>
            </w:pPr>
            <w:r>
              <w:t>Subsistence - Accommodation</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FD54265" w14:textId="77777777" w:rsidR="00764F36" w:rsidRDefault="00764F36">
            <w:pPr>
              <w:spacing w:after="120"/>
              <w:jc w:val="center"/>
            </w:pPr>
            <w:r>
              <w:t>£152.00</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63611F37" w14:textId="77777777" w:rsidR="00764F36" w:rsidRDefault="00764F36">
            <w:pPr>
              <w:spacing w:after="120"/>
              <w:jc w:val="center"/>
            </w:pPr>
            <w:r>
              <w:t>£152.00</w:t>
            </w:r>
          </w:p>
        </w:tc>
        <w:tc>
          <w:tcPr>
            <w:tcW w:w="108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FF76B02" w14:textId="77777777" w:rsidR="00764F36" w:rsidRDefault="00764F36">
            <w:pPr>
              <w:spacing w:after="120"/>
              <w:jc w:val="center"/>
            </w:pPr>
            <w:r>
              <w:t>£122.45 + inflation</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1D0E006" w14:textId="77777777" w:rsidR="00764F36" w:rsidRDefault="00764F36">
            <w:pPr>
              <w:spacing w:after="120"/>
              <w:jc w:val="center"/>
            </w:pPr>
            <w:r>
              <w:t>£158.00</w:t>
            </w:r>
          </w:p>
        </w:tc>
        <w:tc>
          <w:tcPr>
            <w:tcW w:w="121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752F3E23" w14:textId="77777777" w:rsidR="00764F36" w:rsidRDefault="00764F36">
            <w:pPr>
              <w:spacing w:after="120"/>
              <w:jc w:val="center"/>
            </w:pPr>
            <w:r>
              <w:t>Note 2</w:t>
            </w:r>
          </w:p>
        </w:tc>
      </w:tr>
      <w:tr w:rsidR="00764F36" w14:paraId="14AE9908" w14:textId="77777777" w:rsidTr="00764F36">
        <w:trPr>
          <w:cnfStyle w:val="000000100000" w:firstRow="0" w:lastRow="0" w:firstColumn="0" w:lastColumn="0" w:oddVBand="0" w:evenVBand="0" w:oddHBand="1" w:evenHBand="0" w:firstRowFirstColumn="0" w:firstRowLastColumn="0" w:lastRowFirstColumn="0" w:lastRowLastColumn="0"/>
        </w:trPr>
        <w:tc>
          <w:tcPr>
            <w:tcW w:w="3093"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49C889CB" w14:textId="77777777" w:rsidR="00764F36" w:rsidRDefault="00764F36">
            <w:pPr>
              <w:spacing w:after="120"/>
              <w:jc w:val="both"/>
            </w:pPr>
            <w:r>
              <w:t>Subsistence - Meals</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2D5AFEF9" w14:textId="77777777" w:rsidR="00764F36" w:rsidRDefault="00764F36">
            <w:pPr>
              <w:spacing w:after="120"/>
              <w:jc w:val="center"/>
            </w:pPr>
            <w:r>
              <w:t>£68.00</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16F46236" w14:textId="77777777" w:rsidR="00764F36" w:rsidRDefault="00764F36">
            <w:pPr>
              <w:spacing w:after="120"/>
              <w:jc w:val="center"/>
            </w:pPr>
            <w:r>
              <w:t>£68.00</w:t>
            </w:r>
          </w:p>
        </w:tc>
        <w:tc>
          <w:tcPr>
            <w:tcW w:w="1084"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hideMark/>
          </w:tcPr>
          <w:p w14:paraId="38687D98" w14:textId="77777777" w:rsidR="00764F36" w:rsidRDefault="00764F36">
            <w:pPr>
              <w:spacing w:after="120"/>
              <w:jc w:val="center"/>
            </w:pPr>
            <w:r>
              <w:t>£50.65</w:t>
            </w:r>
          </w:p>
          <w:p w14:paraId="1BA7111B" w14:textId="77777777" w:rsidR="00764F36" w:rsidRDefault="00764F36">
            <w:pPr>
              <w:spacing w:after="120"/>
              <w:jc w:val="center"/>
            </w:pPr>
            <w:r>
              <w:t>+ inflation</w:t>
            </w:r>
          </w:p>
        </w:tc>
        <w:tc>
          <w:tcPr>
            <w:tcW w:w="1219"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E2EFD9" w:themeFill="accent6" w:themeFillTint="33"/>
            <w:hideMark/>
          </w:tcPr>
          <w:p w14:paraId="7347E6F6" w14:textId="77777777" w:rsidR="00764F36" w:rsidRDefault="00764F36">
            <w:pPr>
              <w:spacing w:after="120"/>
              <w:jc w:val="center"/>
            </w:pPr>
            <w:r>
              <w:t>£72.00</w:t>
            </w:r>
          </w:p>
        </w:tc>
        <w:tc>
          <w:tcPr>
            <w:tcW w:w="1217" w:type="dxa"/>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E2EFD9" w:themeFill="accent6" w:themeFillTint="33"/>
            <w:hideMark/>
          </w:tcPr>
          <w:p w14:paraId="28746760" w14:textId="77777777" w:rsidR="00764F36" w:rsidRDefault="00764F36">
            <w:pPr>
              <w:spacing w:after="120"/>
              <w:jc w:val="center"/>
            </w:pPr>
            <w:r>
              <w:t>Note 2</w:t>
            </w:r>
          </w:p>
        </w:tc>
      </w:tr>
    </w:tbl>
    <w:p w14:paraId="09318281" w14:textId="77777777" w:rsidR="00764F36" w:rsidRDefault="00764F36" w:rsidP="00764F36">
      <w:pPr>
        <w:jc w:val="both"/>
        <w:rPr>
          <w:rFonts w:eastAsia="Times New Roman"/>
          <w:szCs w:val="20"/>
        </w:rPr>
      </w:pPr>
    </w:p>
    <w:p w14:paraId="4B6843FD" w14:textId="02E48FFB" w:rsidR="00764F36" w:rsidRDefault="00764F36" w:rsidP="00CE35A9">
      <w:r>
        <w:t xml:space="preserve">Note 1 - The maximum payable for basic and special responsibility allowances for the 2024/25 financial year were to be issued once the NJC pay agreement for staff had been published, which the </w:t>
      </w:r>
      <w:proofErr w:type="spellStart"/>
      <w:r>
        <w:t>DfC</w:t>
      </w:r>
      <w:proofErr w:type="spellEnd"/>
      <w:r>
        <w:t xml:space="preserve"> used as a benchmark for makings its determination.</w:t>
      </w:r>
    </w:p>
    <w:p w14:paraId="7A05126E" w14:textId="77777777" w:rsidR="00764F36" w:rsidRDefault="00764F36" w:rsidP="00CE35A9"/>
    <w:p w14:paraId="2FA0F7C7" w14:textId="667EA380" w:rsidR="00764F36" w:rsidRDefault="00764F36" w:rsidP="00CE35A9">
      <w:r>
        <w:t>Note 2 – The maximum payable for mileage and subsistence will be published at the same time as for basic and special responsibility allowances but these amounts had not changed in a number of years and were unlikely to for the foreseeable future.</w:t>
      </w:r>
    </w:p>
    <w:p w14:paraId="4D4E63D6" w14:textId="77777777" w:rsidR="00764F36" w:rsidRDefault="00764F36" w:rsidP="00CE35A9"/>
    <w:p w14:paraId="4A702B38" w14:textId="1F9D9AC1" w:rsidR="00764F36" w:rsidRPr="00DF632B" w:rsidRDefault="00764F36" w:rsidP="00CE35A9">
      <w:r>
        <w:t>Both the scheme of allowances and the statutory guidance issued by the Department for Communities form Part 5 of the Council’s constitution and therefore need updating following approval of the new schemes.</w:t>
      </w:r>
    </w:p>
    <w:p w14:paraId="4C36E799" w14:textId="77777777" w:rsidR="00764F36" w:rsidRDefault="00764F36" w:rsidP="00CE35A9">
      <w:pPr>
        <w:rPr>
          <w:szCs w:val="20"/>
        </w:rPr>
      </w:pPr>
    </w:p>
    <w:p w14:paraId="715FB3C4" w14:textId="41A15F20" w:rsidR="00764F36" w:rsidRDefault="00764F36" w:rsidP="00CE35A9">
      <w:r>
        <w:t>RECOMMENDED that Council:</w:t>
      </w:r>
    </w:p>
    <w:p w14:paraId="7F806893" w14:textId="77777777" w:rsidR="00764F36" w:rsidRDefault="00764F36" w:rsidP="00CE35A9"/>
    <w:p w14:paraId="7C38D1B3" w14:textId="77777777" w:rsidR="00764F36" w:rsidRPr="00764F36" w:rsidRDefault="00764F36" w:rsidP="00CE35A9">
      <w:pPr>
        <w:pStyle w:val="ListParagraph"/>
        <w:numPr>
          <w:ilvl w:val="0"/>
          <w:numId w:val="4"/>
        </w:numPr>
        <w:spacing w:after="120"/>
        <w:ind w:left="714" w:hanging="357"/>
        <w:contextualSpacing/>
        <w:rPr>
          <w:rFonts w:ascii="Arial" w:hAnsi="Arial" w:cs="Arial"/>
          <w:sz w:val="24"/>
          <w:szCs w:val="24"/>
        </w:rPr>
      </w:pPr>
      <w:r w:rsidRPr="00764F36">
        <w:rPr>
          <w:rFonts w:ascii="Arial" w:hAnsi="Arial" w:cs="Arial"/>
          <w:sz w:val="24"/>
          <w:szCs w:val="24"/>
        </w:rPr>
        <w:t>Considers version 11.2 of the Scheme of Allowances to replace the previous version 11.1 with effect from 1 April 2023;</w:t>
      </w:r>
    </w:p>
    <w:p w14:paraId="2AD1BB70" w14:textId="77777777" w:rsidR="00764F36" w:rsidRPr="00764F36" w:rsidRDefault="00764F36" w:rsidP="00CE35A9">
      <w:pPr>
        <w:pStyle w:val="ListParagraph"/>
        <w:numPr>
          <w:ilvl w:val="0"/>
          <w:numId w:val="4"/>
        </w:numPr>
        <w:spacing w:after="120"/>
        <w:ind w:left="714" w:hanging="357"/>
        <w:contextualSpacing/>
        <w:rPr>
          <w:rFonts w:ascii="Arial" w:hAnsi="Arial" w:cs="Arial"/>
          <w:sz w:val="24"/>
          <w:szCs w:val="24"/>
        </w:rPr>
      </w:pPr>
      <w:r w:rsidRPr="00764F36">
        <w:rPr>
          <w:rFonts w:ascii="Arial" w:hAnsi="Arial" w:cs="Arial"/>
          <w:sz w:val="24"/>
          <w:szCs w:val="24"/>
        </w:rPr>
        <w:t>Considers version 12 of the Scheme of Allowances with effect from 1 April 2024; and</w:t>
      </w:r>
    </w:p>
    <w:p w14:paraId="4B107175" w14:textId="77777777" w:rsidR="00764F36" w:rsidRPr="00764F36" w:rsidRDefault="00764F36" w:rsidP="00CE35A9">
      <w:pPr>
        <w:pStyle w:val="ListParagraph"/>
        <w:numPr>
          <w:ilvl w:val="0"/>
          <w:numId w:val="4"/>
        </w:numPr>
        <w:contextualSpacing/>
        <w:rPr>
          <w:rFonts w:ascii="Arial" w:hAnsi="Arial" w:cs="Arial"/>
          <w:sz w:val="24"/>
          <w:szCs w:val="24"/>
        </w:rPr>
      </w:pPr>
      <w:r w:rsidRPr="00764F36">
        <w:rPr>
          <w:rFonts w:ascii="Arial" w:hAnsi="Arial" w:cs="Arial"/>
          <w:sz w:val="24"/>
          <w:szCs w:val="24"/>
        </w:rPr>
        <w:t>Updates its constitution accordingly.</w:t>
      </w:r>
    </w:p>
    <w:p w14:paraId="3EDBAAF6" w14:textId="50DD7111" w:rsidR="00EA6EF5" w:rsidRDefault="00EA6EF5" w:rsidP="00EA6EF5">
      <w:pPr>
        <w:rPr>
          <w:rFonts w:cs="Arial"/>
          <w:szCs w:val="24"/>
        </w:rPr>
      </w:pPr>
    </w:p>
    <w:p w14:paraId="0C3A8832" w14:textId="24B7D825" w:rsidR="00EA6EF5" w:rsidRDefault="00DF632B" w:rsidP="00EA6EF5">
      <w:pPr>
        <w:rPr>
          <w:rFonts w:cs="Arial"/>
          <w:szCs w:val="24"/>
        </w:rPr>
      </w:pPr>
      <w:r>
        <w:rPr>
          <w:rFonts w:cs="Arial"/>
          <w:szCs w:val="24"/>
        </w:rPr>
        <w:t>Councillor S Irvine proposed an amendment to the recommendation, seconded by Councillor W Irvine.</w:t>
      </w:r>
    </w:p>
    <w:p w14:paraId="1183DD0F" w14:textId="77777777" w:rsidR="00DF632B" w:rsidRPr="00DF632B" w:rsidRDefault="00DF632B" w:rsidP="00EA6EF5">
      <w:pPr>
        <w:rPr>
          <w:rFonts w:cs="Arial"/>
          <w:szCs w:val="24"/>
        </w:rPr>
      </w:pPr>
    </w:p>
    <w:p w14:paraId="27AE6894" w14:textId="1CE5FE0F" w:rsidR="00DF632B" w:rsidRPr="00DF632B" w:rsidRDefault="00DF632B" w:rsidP="00EA6EF5">
      <w:pPr>
        <w:rPr>
          <w:rFonts w:cs="Arial"/>
          <w:szCs w:val="24"/>
        </w:rPr>
      </w:pPr>
      <w:r w:rsidRPr="00DF632B">
        <w:rPr>
          <w:rFonts w:cs="Arial"/>
          <w:szCs w:val="24"/>
        </w:rPr>
        <w:t>That Council approves:</w:t>
      </w:r>
    </w:p>
    <w:p w14:paraId="264B91C8" w14:textId="77777777" w:rsidR="00DF632B" w:rsidRPr="00DF632B" w:rsidRDefault="00DF632B" w:rsidP="00EA6EF5">
      <w:pPr>
        <w:rPr>
          <w:rFonts w:cs="Arial"/>
          <w:szCs w:val="24"/>
        </w:rPr>
      </w:pPr>
    </w:p>
    <w:p w14:paraId="5B50C9F1" w14:textId="5747BFDA" w:rsidR="00DF632B" w:rsidRPr="00DF632B" w:rsidRDefault="00DF632B" w:rsidP="00DF632B">
      <w:pPr>
        <w:pStyle w:val="ListParagraph"/>
        <w:numPr>
          <w:ilvl w:val="0"/>
          <w:numId w:val="12"/>
        </w:numPr>
        <w:rPr>
          <w:rFonts w:ascii="Arial" w:hAnsi="Arial" w:cs="Arial"/>
          <w:sz w:val="24"/>
          <w:szCs w:val="24"/>
        </w:rPr>
      </w:pPr>
      <w:r w:rsidRPr="00DF632B">
        <w:rPr>
          <w:rFonts w:ascii="Arial" w:hAnsi="Arial" w:cs="Arial"/>
          <w:sz w:val="24"/>
          <w:szCs w:val="24"/>
        </w:rPr>
        <w:t>Version 11.2 of the scheme of allowances, aligning the mileage rates to the Department’s determination, with effect from 1 April 2023 and this be funded from in-year salary underspends.</w:t>
      </w:r>
    </w:p>
    <w:p w14:paraId="3D3A4C9B" w14:textId="40D4DA93" w:rsidR="00DF632B" w:rsidRPr="00DF632B" w:rsidRDefault="00DF632B" w:rsidP="00DF632B">
      <w:pPr>
        <w:pStyle w:val="ListParagraph"/>
        <w:numPr>
          <w:ilvl w:val="0"/>
          <w:numId w:val="12"/>
        </w:numPr>
        <w:rPr>
          <w:rFonts w:ascii="Arial" w:hAnsi="Arial" w:cs="Arial"/>
          <w:sz w:val="24"/>
          <w:szCs w:val="24"/>
        </w:rPr>
      </w:pPr>
      <w:r w:rsidRPr="00DF632B">
        <w:rPr>
          <w:rFonts w:ascii="Arial" w:hAnsi="Arial" w:cs="Arial"/>
          <w:sz w:val="24"/>
          <w:szCs w:val="24"/>
        </w:rPr>
        <w:t>Version 12 of the scheme of allowances, aligning mileage rates to the Department’s determination, with effect from 1</w:t>
      </w:r>
      <w:r w:rsidR="001B0743">
        <w:rPr>
          <w:rFonts w:ascii="Arial" w:hAnsi="Arial" w:cs="Arial"/>
          <w:sz w:val="24"/>
          <w:szCs w:val="24"/>
        </w:rPr>
        <w:t xml:space="preserve"> </w:t>
      </w:r>
      <w:r w:rsidRPr="00DF632B">
        <w:rPr>
          <w:rFonts w:ascii="Arial" w:hAnsi="Arial" w:cs="Arial"/>
          <w:sz w:val="24"/>
          <w:szCs w:val="24"/>
        </w:rPr>
        <w:t>April 2024.</w:t>
      </w:r>
    </w:p>
    <w:p w14:paraId="65D60A2D" w14:textId="04650957" w:rsidR="00DF632B" w:rsidRDefault="00DF632B" w:rsidP="00DF632B">
      <w:pPr>
        <w:pStyle w:val="ListParagraph"/>
        <w:numPr>
          <w:ilvl w:val="0"/>
          <w:numId w:val="12"/>
        </w:numPr>
        <w:rPr>
          <w:rFonts w:ascii="Arial" w:hAnsi="Arial" w:cs="Arial"/>
          <w:sz w:val="24"/>
          <w:szCs w:val="24"/>
        </w:rPr>
      </w:pPr>
      <w:r w:rsidRPr="00DF632B">
        <w:rPr>
          <w:rFonts w:ascii="Arial" w:hAnsi="Arial" w:cs="Arial"/>
          <w:sz w:val="24"/>
          <w:szCs w:val="24"/>
        </w:rPr>
        <w:t>The updating of its constitution.</w:t>
      </w:r>
    </w:p>
    <w:p w14:paraId="563763A4" w14:textId="77777777" w:rsidR="00DF632B" w:rsidRDefault="00DF632B" w:rsidP="00DF632B">
      <w:pPr>
        <w:rPr>
          <w:rFonts w:cs="Arial"/>
          <w:szCs w:val="24"/>
        </w:rPr>
      </w:pPr>
    </w:p>
    <w:p w14:paraId="69196117" w14:textId="452367EA" w:rsidR="00DF632B" w:rsidRDefault="4C6BD3C1" w:rsidP="195994C0">
      <w:pPr>
        <w:rPr>
          <w:rFonts w:cs="Arial"/>
        </w:rPr>
      </w:pPr>
      <w:r w:rsidRPr="195994C0">
        <w:rPr>
          <w:rFonts w:cs="Arial"/>
        </w:rPr>
        <w:t xml:space="preserve">Councillor S Irvine explained that the </w:t>
      </w:r>
      <w:r w:rsidR="001B0743" w:rsidRPr="195994C0">
        <w:rPr>
          <w:rFonts w:cs="Arial"/>
        </w:rPr>
        <w:t xml:space="preserve">proposal </w:t>
      </w:r>
      <w:r w:rsidRPr="195994C0">
        <w:rPr>
          <w:rFonts w:cs="Arial"/>
        </w:rPr>
        <w:t xml:space="preserve">did not </w:t>
      </w:r>
      <w:r w:rsidR="145D8B37" w:rsidRPr="195994C0">
        <w:rPr>
          <w:rFonts w:cs="Arial"/>
        </w:rPr>
        <w:t>in</w:t>
      </w:r>
      <w:r w:rsidRPr="195994C0">
        <w:rPr>
          <w:rFonts w:cs="Arial"/>
        </w:rPr>
        <w:t>cur additional costs, had no impact on Council reserves and complied with Council reserves and budget</w:t>
      </w:r>
      <w:r w:rsidR="001B0743" w:rsidRPr="195994C0">
        <w:rPr>
          <w:rFonts w:cs="Arial"/>
        </w:rPr>
        <w:t>ing</w:t>
      </w:r>
      <w:r w:rsidRPr="195994C0">
        <w:rPr>
          <w:rFonts w:cs="Arial"/>
        </w:rPr>
        <w:t xml:space="preserve"> </w:t>
      </w:r>
      <w:r w:rsidRPr="195994C0">
        <w:rPr>
          <w:rFonts w:cs="Arial"/>
        </w:rPr>
        <w:lastRenderedPageBreak/>
        <w:t xml:space="preserve">policies as well as Department for </w:t>
      </w:r>
      <w:r w:rsidR="3F61CC2F" w:rsidRPr="195994C0">
        <w:rPr>
          <w:rFonts w:cs="Arial"/>
        </w:rPr>
        <w:t xml:space="preserve">Communities </w:t>
      </w:r>
      <w:r w:rsidRPr="195994C0">
        <w:rPr>
          <w:rFonts w:cs="Arial"/>
        </w:rPr>
        <w:t xml:space="preserve">Guidance. It would also bring the Council into line with all other Councils across Northern Ireland. </w:t>
      </w:r>
    </w:p>
    <w:p w14:paraId="2D4B0805" w14:textId="77777777" w:rsidR="00C50B48" w:rsidRDefault="00C50B48" w:rsidP="00DF632B">
      <w:pPr>
        <w:rPr>
          <w:rFonts w:cs="Arial"/>
          <w:szCs w:val="24"/>
        </w:rPr>
      </w:pPr>
    </w:p>
    <w:p w14:paraId="5DACBD96" w14:textId="2587354C" w:rsidR="00C50B48" w:rsidRDefault="00C50B48" w:rsidP="00DF632B">
      <w:pPr>
        <w:rPr>
          <w:rFonts w:cs="Arial"/>
          <w:szCs w:val="24"/>
        </w:rPr>
      </w:pPr>
      <w:r>
        <w:rPr>
          <w:rFonts w:cs="Arial"/>
          <w:szCs w:val="24"/>
        </w:rPr>
        <w:t>Councillor Gilmour was unable to support the proposal to backdate pay to 1 April 2023, explaining that last year, Councillors took the decision to not increase the last pay award due to a difficult rate setting process. She believed reneging on that decision was disingenuous to the ratepayer. However, it was always expected that realigning allowances would be investigated again. Today onward provided the opportunity for realignment but retrospective realignment was not the right choice. With regard to mileage the Council had decided to agree</w:t>
      </w:r>
      <w:r w:rsidR="001360CE">
        <w:rPr>
          <w:rFonts w:cs="Arial"/>
          <w:szCs w:val="24"/>
        </w:rPr>
        <w:t xml:space="preserve"> of</w:t>
      </w:r>
      <w:r>
        <w:rPr>
          <w:rFonts w:cs="Arial"/>
          <w:szCs w:val="24"/>
        </w:rPr>
        <w:t xml:space="preserve"> £0.45 per mile as that was the level proposed by HMRC and the same figure doctors and nurses were entitled to. Councillor Gilmour felt it would be wrong for Councillors to be able to claim a higher mileage rate than those individuals, advising that she did not claim any mileage and disputed the argument of no cost to the ratepayer as the money had to come from somewhere. </w:t>
      </w:r>
    </w:p>
    <w:p w14:paraId="70108243" w14:textId="77777777" w:rsidR="00C50B48" w:rsidRDefault="00C50B48" w:rsidP="00DF632B">
      <w:pPr>
        <w:rPr>
          <w:rFonts w:cs="Arial"/>
          <w:szCs w:val="24"/>
        </w:rPr>
      </w:pPr>
    </w:p>
    <w:p w14:paraId="0662B779" w14:textId="2CF41B69" w:rsidR="00C50B48" w:rsidRDefault="00C50B48" w:rsidP="00DF632B">
      <w:pPr>
        <w:rPr>
          <w:rFonts w:cs="Arial"/>
          <w:szCs w:val="24"/>
        </w:rPr>
      </w:pPr>
      <w:r>
        <w:rPr>
          <w:rFonts w:cs="Arial"/>
          <w:szCs w:val="24"/>
        </w:rPr>
        <w:t xml:space="preserve">Alderman McIlveen agreed with Councillor Gilmour, citing the democratic vote taken in 2023 to </w:t>
      </w:r>
      <w:r w:rsidR="004B18C5">
        <w:rPr>
          <w:rFonts w:cs="Arial"/>
          <w:szCs w:val="24"/>
        </w:rPr>
        <w:t>freeze Councillor allowances. Any change to that decision would be breaking a promise to ratepayers. He also disagreed with changing mileage rate allowances.</w:t>
      </w:r>
      <w:r w:rsidR="00401E72">
        <w:rPr>
          <w:rFonts w:cs="Arial"/>
          <w:szCs w:val="24"/>
        </w:rPr>
        <w:t xml:space="preserve"> The opportunity to realign now was appropriate, as if it were left any longer, the pay increase between a frozen allowance and realignment would only become a more stark change in the future.</w:t>
      </w:r>
    </w:p>
    <w:p w14:paraId="52E7AF23" w14:textId="77777777" w:rsidR="004B18C5" w:rsidRDefault="004B18C5" w:rsidP="00DF632B">
      <w:pPr>
        <w:rPr>
          <w:rFonts w:cs="Arial"/>
          <w:szCs w:val="24"/>
        </w:rPr>
      </w:pPr>
    </w:p>
    <w:p w14:paraId="56434E0A" w14:textId="73079C42" w:rsidR="004B18C5" w:rsidRDefault="004B18C5" w:rsidP="00DF632B">
      <w:pPr>
        <w:rPr>
          <w:rFonts w:cs="Arial"/>
          <w:szCs w:val="24"/>
        </w:rPr>
      </w:pPr>
      <w:r>
        <w:rPr>
          <w:rFonts w:cs="Arial"/>
          <w:szCs w:val="24"/>
        </w:rPr>
        <w:t>Alderman Brooks regarded the report’s mention of monies being found from an underspend fund, wanting to know how much money there was as there had been many occasions where Members had been told there was no budget.</w:t>
      </w:r>
      <w:r w:rsidR="000E0ABA">
        <w:rPr>
          <w:rFonts w:cs="Arial"/>
          <w:szCs w:val="24"/>
        </w:rPr>
        <w:t xml:space="preserve"> The Head of Finance advised that a budgetary control report was </w:t>
      </w:r>
      <w:r w:rsidR="0065134F">
        <w:rPr>
          <w:rFonts w:cs="Arial"/>
          <w:szCs w:val="24"/>
        </w:rPr>
        <w:t xml:space="preserve">regularly </w:t>
      </w:r>
      <w:r w:rsidR="000E0ABA">
        <w:rPr>
          <w:rFonts w:cs="Arial"/>
          <w:szCs w:val="24"/>
        </w:rPr>
        <w:t xml:space="preserve">provided to the committee, most recently in January 2024. The underspend was in excess of £2m and Members were advised in January that Ards </w:t>
      </w:r>
      <w:r w:rsidR="005F50A3">
        <w:rPr>
          <w:rFonts w:cs="Arial"/>
          <w:szCs w:val="24"/>
        </w:rPr>
        <w:t xml:space="preserve">and </w:t>
      </w:r>
      <w:r w:rsidR="000E0ABA">
        <w:rPr>
          <w:rFonts w:cs="Arial"/>
          <w:szCs w:val="24"/>
        </w:rPr>
        <w:t xml:space="preserve">North Down Borough Council had the lowest percentage of reserves out of all Councils in Northern Ireland in comparison to expenditure. As had been suggested in the estimates process, underspend was used to bolster the general fund and strategic funds for transformation, sustainability and tax-based development. This would remain in the Officer’s proposal in order for Council to modernise and meet its obligations under the Climate Change Act. </w:t>
      </w:r>
      <w:r w:rsidR="005F50A3">
        <w:rPr>
          <w:rFonts w:cs="Arial"/>
          <w:szCs w:val="24"/>
        </w:rPr>
        <w:t>The u</w:t>
      </w:r>
      <w:r w:rsidR="000E0ABA">
        <w:rPr>
          <w:rFonts w:cs="Arial"/>
          <w:szCs w:val="24"/>
        </w:rPr>
        <w:t xml:space="preserve">nderspend was regularly reported to Council which had </w:t>
      </w:r>
      <w:r w:rsidR="005F50A3">
        <w:rPr>
          <w:rFonts w:cs="Arial"/>
          <w:szCs w:val="24"/>
        </w:rPr>
        <w:t xml:space="preserve">also recently </w:t>
      </w:r>
      <w:r w:rsidR="000E0ABA">
        <w:rPr>
          <w:rFonts w:cs="Arial"/>
          <w:szCs w:val="24"/>
        </w:rPr>
        <w:t xml:space="preserve">agreed </w:t>
      </w:r>
      <w:r w:rsidR="005F50A3">
        <w:rPr>
          <w:rFonts w:cs="Arial"/>
          <w:szCs w:val="24"/>
        </w:rPr>
        <w:t xml:space="preserve">the </w:t>
      </w:r>
      <w:r w:rsidR="000E0ABA">
        <w:rPr>
          <w:rFonts w:cs="Arial"/>
          <w:szCs w:val="24"/>
        </w:rPr>
        <w:t>reserves and budget</w:t>
      </w:r>
      <w:r w:rsidR="005F50A3">
        <w:rPr>
          <w:rFonts w:cs="Arial"/>
          <w:szCs w:val="24"/>
        </w:rPr>
        <w:t>ing</w:t>
      </w:r>
      <w:r w:rsidR="000E0ABA">
        <w:rPr>
          <w:rFonts w:cs="Arial"/>
          <w:szCs w:val="24"/>
        </w:rPr>
        <w:t xml:space="preserve"> policies. It was important for Members and Officers to maintain financial discipline even though it was inevitable that changes would occur </w:t>
      </w:r>
      <w:r w:rsidR="005F50A3">
        <w:rPr>
          <w:rFonts w:cs="Arial"/>
          <w:szCs w:val="24"/>
        </w:rPr>
        <w:t xml:space="preserve">during each financial year </w:t>
      </w:r>
      <w:r w:rsidR="000E0ABA">
        <w:rPr>
          <w:rFonts w:cs="Arial"/>
          <w:szCs w:val="24"/>
        </w:rPr>
        <w:t>through both Officer and Member proposals. Without adequate reserves, the Council would have nothing to fall back on</w:t>
      </w:r>
      <w:r w:rsidR="005F50A3">
        <w:rPr>
          <w:rFonts w:cs="Arial"/>
          <w:szCs w:val="24"/>
        </w:rPr>
        <w:t xml:space="preserve"> when it met financial challenges</w:t>
      </w:r>
      <w:r w:rsidR="001B2B65">
        <w:rPr>
          <w:rFonts w:cs="Arial"/>
          <w:szCs w:val="24"/>
        </w:rPr>
        <w:t>.</w:t>
      </w:r>
    </w:p>
    <w:p w14:paraId="1819567A" w14:textId="77777777" w:rsidR="001B2B65" w:rsidRDefault="001B2B65" w:rsidP="00DF632B">
      <w:pPr>
        <w:rPr>
          <w:rFonts w:cs="Arial"/>
          <w:szCs w:val="24"/>
        </w:rPr>
      </w:pPr>
    </w:p>
    <w:p w14:paraId="5A198CE2" w14:textId="0D5BA48E" w:rsidR="001B2B65" w:rsidRDefault="001B2B65" w:rsidP="00DF632B">
      <w:pPr>
        <w:rPr>
          <w:rFonts w:cs="Arial"/>
          <w:szCs w:val="24"/>
        </w:rPr>
      </w:pPr>
      <w:r>
        <w:rPr>
          <w:rFonts w:cs="Arial"/>
          <w:szCs w:val="24"/>
        </w:rPr>
        <w:t>The report before Members covered the current year as well as 2024-25. Option one (</w:t>
      </w:r>
      <w:r w:rsidR="005F50A3">
        <w:rPr>
          <w:rFonts w:cs="Arial"/>
          <w:szCs w:val="24"/>
        </w:rPr>
        <w:t xml:space="preserve">version </w:t>
      </w:r>
      <w:r>
        <w:rPr>
          <w:rFonts w:cs="Arial"/>
          <w:szCs w:val="24"/>
        </w:rPr>
        <w:t>11.2) would be in-year and backdated whilst Option 2 (v</w:t>
      </w:r>
      <w:r w:rsidR="005F50A3">
        <w:rPr>
          <w:rFonts w:cs="Arial"/>
          <w:szCs w:val="24"/>
        </w:rPr>
        <w:t xml:space="preserve">ersion </w:t>
      </w:r>
      <w:r>
        <w:rPr>
          <w:rFonts w:cs="Arial"/>
          <w:szCs w:val="24"/>
        </w:rPr>
        <w:t>12) was in connection with next year and that had been budgeted for as part of the estimates. The 2024-25 Council allowances were generally tied to increases in staff salaries through NJC pay settlements, the next of which may not be for quite a few months.</w:t>
      </w:r>
    </w:p>
    <w:p w14:paraId="3D279795" w14:textId="77777777" w:rsidR="001B2B65" w:rsidRDefault="001B2B65" w:rsidP="00DF632B">
      <w:pPr>
        <w:rPr>
          <w:rFonts w:cs="Arial"/>
          <w:szCs w:val="24"/>
        </w:rPr>
      </w:pPr>
    </w:p>
    <w:p w14:paraId="15497A03" w14:textId="6473D1EF" w:rsidR="001B2B65" w:rsidRDefault="001360CE" w:rsidP="00DF632B">
      <w:pPr>
        <w:rPr>
          <w:rFonts w:cs="Arial"/>
          <w:szCs w:val="24"/>
        </w:rPr>
      </w:pPr>
      <w:r>
        <w:rPr>
          <w:rFonts w:cs="Arial"/>
          <w:szCs w:val="24"/>
        </w:rPr>
        <w:t>Councillor</w:t>
      </w:r>
      <w:r w:rsidR="001B2B65">
        <w:rPr>
          <w:rFonts w:cs="Arial"/>
          <w:szCs w:val="24"/>
        </w:rPr>
        <w:t xml:space="preserve"> McRandal agreed with other Councillors that the concept of backdating was not appropriate and so would not support it. </w:t>
      </w:r>
    </w:p>
    <w:p w14:paraId="5853FBB1" w14:textId="77777777" w:rsidR="001B2B65" w:rsidRDefault="001B2B65" w:rsidP="00DF632B">
      <w:pPr>
        <w:rPr>
          <w:rFonts w:cs="Arial"/>
          <w:szCs w:val="24"/>
        </w:rPr>
      </w:pPr>
    </w:p>
    <w:p w14:paraId="705AC430" w14:textId="1174BDF1" w:rsidR="001B2B65" w:rsidRDefault="001B2B65" w:rsidP="00DF632B">
      <w:pPr>
        <w:rPr>
          <w:rFonts w:cs="Arial"/>
          <w:szCs w:val="24"/>
        </w:rPr>
      </w:pPr>
      <w:r>
        <w:rPr>
          <w:rFonts w:cs="Arial"/>
          <w:szCs w:val="24"/>
        </w:rPr>
        <w:lastRenderedPageBreak/>
        <w:t xml:space="preserve">Alderman Smith </w:t>
      </w:r>
      <w:r w:rsidR="00401E72">
        <w:rPr>
          <w:rFonts w:cs="Arial"/>
          <w:szCs w:val="24"/>
        </w:rPr>
        <w:t xml:space="preserve">advised that Ards </w:t>
      </w:r>
      <w:r w:rsidR="005F50A3">
        <w:rPr>
          <w:rFonts w:cs="Arial"/>
          <w:szCs w:val="24"/>
        </w:rPr>
        <w:t xml:space="preserve">and </w:t>
      </w:r>
      <w:r w:rsidR="00401E72">
        <w:rPr>
          <w:rFonts w:cs="Arial"/>
          <w:szCs w:val="24"/>
        </w:rPr>
        <w:t xml:space="preserve">North Down Councillors had the lowest allowances across Northern Ireland for many years. The decision to freeze them was just but to leave realignment any longer would, as Alderman McIlveen stated, only create a larger pay gap to be filled in the future. The thought of increasing mileage rates to £0.65 was overly generous, and Alderman Smith believed the solution was not for Councillors to increase their mileage allowance but for all other areas to lower theirs. </w:t>
      </w:r>
    </w:p>
    <w:p w14:paraId="3249B58D" w14:textId="77777777" w:rsidR="00401E72" w:rsidRDefault="00401E72" w:rsidP="00DF632B">
      <w:pPr>
        <w:rPr>
          <w:rFonts w:cs="Arial"/>
          <w:szCs w:val="24"/>
        </w:rPr>
      </w:pPr>
    </w:p>
    <w:p w14:paraId="73464230" w14:textId="53A816EE" w:rsidR="00401E72" w:rsidRDefault="00401E72" w:rsidP="00DF632B">
      <w:pPr>
        <w:rPr>
          <w:rFonts w:cs="Arial"/>
          <w:szCs w:val="24"/>
        </w:rPr>
      </w:pPr>
      <w:r>
        <w:rPr>
          <w:rFonts w:cs="Arial"/>
          <w:szCs w:val="24"/>
        </w:rPr>
        <w:t>Alderman Graham also agreed that it would be improper for Councillors to backdate and thanked his colleagues for keeping rates down.</w:t>
      </w:r>
    </w:p>
    <w:p w14:paraId="5FAA3F9A" w14:textId="77777777" w:rsidR="00401E72" w:rsidRDefault="00401E72" w:rsidP="00DF632B">
      <w:pPr>
        <w:rPr>
          <w:rFonts w:cs="Arial"/>
          <w:szCs w:val="24"/>
        </w:rPr>
      </w:pPr>
    </w:p>
    <w:p w14:paraId="1C15AF5D" w14:textId="4C6ACFEC" w:rsidR="00401E72" w:rsidRPr="00DF632B" w:rsidRDefault="00401E72" w:rsidP="00DF632B">
      <w:pPr>
        <w:rPr>
          <w:rFonts w:cs="Arial"/>
          <w:szCs w:val="24"/>
        </w:rPr>
      </w:pPr>
      <w:r>
        <w:rPr>
          <w:rFonts w:cs="Arial"/>
          <w:szCs w:val="24"/>
        </w:rPr>
        <w:t>Given the opposing nature of comments by other Committee Members, Councillor S Irvine advised that he was happy to withdraw the amendment.</w:t>
      </w:r>
    </w:p>
    <w:p w14:paraId="39C7929F" w14:textId="77777777" w:rsidR="00EA6EF5" w:rsidRDefault="00EA6EF5" w:rsidP="00EA6EF5">
      <w:pPr>
        <w:rPr>
          <w:rFonts w:cs="Arial"/>
          <w:szCs w:val="24"/>
        </w:rPr>
      </w:pPr>
    </w:p>
    <w:p w14:paraId="3CC30D50" w14:textId="23A7927F" w:rsidR="00EA6EF5" w:rsidRDefault="00EA6EF5" w:rsidP="00EA6EF5">
      <w:pPr>
        <w:rPr>
          <w:b/>
          <w:bCs/>
        </w:rPr>
      </w:pPr>
      <w:r w:rsidRPr="007F0DD5">
        <w:rPr>
          <w:b/>
          <w:bCs/>
        </w:rPr>
        <w:t>AGREED TO RECOMMEND, on the proposal of</w:t>
      </w:r>
      <w:r>
        <w:rPr>
          <w:b/>
          <w:bCs/>
        </w:rPr>
        <w:t xml:space="preserve"> </w:t>
      </w:r>
      <w:r w:rsidR="00401E72">
        <w:rPr>
          <w:b/>
          <w:bCs/>
        </w:rPr>
        <w:t>Alderman McIlveen</w:t>
      </w:r>
      <w:r w:rsidRPr="007F0DD5">
        <w:rPr>
          <w:b/>
          <w:bCs/>
        </w:rPr>
        <w:t>, seconded</w:t>
      </w:r>
      <w:r>
        <w:rPr>
          <w:b/>
          <w:bCs/>
        </w:rPr>
        <w:t xml:space="preserve"> by </w:t>
      </w:r>
      <w:r w:rsidR="00401E72">
        <w:rPr>
          <w:b/>
          <w:bCs/>
        </w:rPr>
        <w:t>Alderman P Smith</w:t>
      </w:r>
      <w:r w:rsidRPr="007F0DD5">
        <w:rPr>
          <w:b/>
          <w:bCs/>
        </w:rPr>
        <w:t xml:space="preserve">, that </w:t>
      </w:r>
      <w:r w:rsidR="00401E72">
        <w:rPr>
          <w:b/>
          <w:bCs/>
        </w:rPr>
        <w:t xml:space="preserve">Council </w:t>
      </w:r>
      <w:r w:rsidR="005F50A3">
        <w:rPr>
          <w:b/>
          <w:bCs/>
        </w:rPr>
        <w:t xml:space="preserve">approve </w:t>
      </w:r>
      <w:r w:rsidR="00B7682F">
        <w:rPr>
          <w:b/>
          <w:bCs/>
        </w:rPr>
        <w:t>Option 2, version 12 of the scheme of allowances, with effect from 1</w:t>
      </w:r>
      <w:r w:rsidR="00B7682F" w:rsidRPr="00B7682F">
        <w:rPr>
          <w:b/>
          <w:bCs/>
          <w:vertAlign w:val="superscript"/>
        </w:rPr>
        <w:t>st</w:t>
      </w:r>
      <w:r w:rsidR="00B7682F">
        <w:rPr>
          <w:b/>
          <w:bCs/>
        </w:rPr>
        <w:t xml:space="preserve"> April 2024 and Option 3, updating of its constitution. </w:t>
      </w:r>
    </w:p>
    <w:bookmarkEnd w:id="2"/>
    <w:p w14:paraId="153120AD" w14:textId="77777777" w:rsidR="006113F2" w:rsidRPr="006D009E" w:rsidRDefault="006113F2" w:rsidP="006113F2">
      <w:pPr>
        <w:rPr>
          <w:b/>
          <w:bCs/>
        </w:rPr>
      </w:pPr>
    </w:p>
    <w:p w14:paraId="18BF3DEE" w14:textId="351D2A2C" w:rsidR="006113F2" w:rsidRPr="00CE35A9" w:rsidRDefault="00EA6EF5" w:rsidP="00CE35A9">
      <w:pPr>
        <w:pStyle w:val="Heading1"/>
      </w:pPr>
      <w:r w:rsidRPr="00CE35A9">
        <w:t>7</w:t>
      </w:r>
      <w:r w:rsidR="006113F2" w:rsidRPr="00CE35A9">
        <w:t>.</w:t>
      </w:r>
      <w:r w:rsidR="006113F2" w:rsidRPr="00CE35A9">
        <w:tab/>
      </w:r>
      <w:r w:rsidRPr="00CE35A9">
        <w:rPr>
          <w:u w:val="single"/>
        </w:rPr>
        <w:t>FINANCE POLICIES</w:t>
      </w:r>
      <w:r w:rsidR="006113F2" w:rsidRPr="00CE35A9">
        <w:t xml:space="preserve"> </w:t>
      </w:r>
    </w:p>
    <w:p w14:paraId="053E8A8E" w14:textId="0F690E4C" w:rsidR="002F0ADB" w:rsidRPr="002F0ADB" w:rsidRDefault="002F0ADB" w:rsidP="002F0ADB">
      <w:pPr>
        <w:rPr>
          <w:bCs/>
        </w:rPr>
      </w:pPr>
      <w:r>
        <w:rPr>
          <w:rFonts w:eastAsiaTheme="majorEastAsia" w:cstheme="majorBidi"/>
          <w:bCs/>
          <w:caps/>
          <w:sz w:val="28"/>
          <w:szCs w:val="32"/>
        </w:rPr>
        <w:tab/>
        <w:t>(REF: FIN58)</w:t>
      </w:r>
    </w:p>
    <w:p w14:paraId="6C14531F" w14:textId="77777777" w:rsidR="00593CC5" w:rsidRDefault="00593CC5" w:rsidP="00EA6EF5">
      <w:pPr>
        <w:rPr>
          <w:rFonts w:cs="Arial"/>
          <w:bCs/>
          <w:caps/>
          <w:szCs w:val="24"/>
        </w:rPr>
      </w:pPr>
    </w:p>
    <w:p w14:paraId="77828A77" w14:textId="6DC137A8" w:rsidR="002F0ADB" w:rsidRDefault="00EA6EF5" w:rsidP="00CE35A9">
      <w:pPr>
        <w:rPr>
          <w:rFonts w:eastAsia="Times New Roman" w:cs="Arial"/>
          <w:szCs w:val="24"/>
          <w:shd w:val="clear" w:color="auto" w:fill="FFFFFF"/>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Director of  Corporate Services stating</w:t>
      </w:r>
      <w:r w:rsidR="002F0ADB">
        <w:rPr>
          <w:rFonts w:cs="Arial"/>
          <w:szCs w:val="24"/>
        </w:rPr>
        <w:t xml:space="preserve"> that</w:t>
      </w:r>
      <w:r w:rsidRPr="00343303">
        <w:rPr>
          <w:rFonts w:cs="Arial"/>
          <w:szCs w:val="24"/>
        </w:rPr>
        <w:t xml:space="preserve"> </w:t>
      </w:r>
      <w:r w:rsidR="002F0ADB">
        <w:rPr>
          <w:rFonts w:cs="Arial"/>
          <w:szCs w:val="24"/>
        </w:rPr>
        <w:t>Section 1 of the Local Government Finance Act required Councils to “</w:t>
      </w:r>
      <w:r w:rsidR="002F0ADB">
        <w:rPr>
          <w:rFonts w:cs="Arial"/>
          <w:szCs w:val="24"/>
          <w:shd w:val="clear" w:color="auto" w:fill="FFFFFF"/>
        </w:rPr>
        <w:t>make arrangements for the proper administration of its financial affairs”. For a number of years, the Finance Service had been operating under legacy policies and had therefore been working on a programme to reviewing and updating current practice. To date following policies had been approved:</w:t>
      </w:r>
    </w:p>
    <w:p w14:paraId="6606E9B8" w14:textId="77777777" w:rsidR="002F0ADB" w:rsidRPr="006961FB" w:rsidRDefault="002F0ADB" w:rsidP="00CE35A9">
      <w:pPr>
        <w:rPr>
          <w:rFonts w:cs="Arial"/>
          <w:szCs w:val="24"/>
          <w:shd w:val="clear" w:color="auto" w:fill="FFFFFF"/>
        </w:rPr>
      </w:pPr>
    </w:p>
    <w:p w14:paraId="324126AA" w14:textId="77777777" w:rsidR="002F0ADB" w:rsidRPr="00975201" w:rsidRDefault="002F0ADB" w:rsidP="00CE35A9">
      <w:pPr>
        <w:pStyle w:val="ListParagraph"/>
        <w:numPr>
          <w:ilvl w:val="0"/>
          <w:numId w:val="5"/>
        </w:numPr>
        <w:contextualSpacing/>
        <w:rPr>
          <w:rFonts w:ascii="Arial" w:hAnsi="Arial" w:cs="Arial"/>
          <w:sz w:val="24"/>
          <w:szCs w:val="24"/>
        </w:rPr>
      </w:pPr>
      <w:r w:rsidRPr="00975201">
        <w:rPr>
          <w:rFonts w:ascii="Arial" w:hAnsi="Arial" w:cs="Arial"/>
          <w:sz w:val="24"/>
          <w:szCs w:val="24"/>
        </w:rPr>
        <w:t>Anti-fraud, bribery and corruption v3 (March 2023)</w:t>
      </w:r>
    </w:p>
    <w:p w14:paraId="0875140A" w14:textId="77777777" w:rsidR="002F0ADB" w:rsidRPr="00975201" w:rsidRDefault="002F0ADB" w:rsidP="00CE35A9">
      <w:pPr>
        <w:pStyle w:val="ListParagraph"/>
        <w:numPr>
          <w:ilvl w:val="0"/>
          <w:numId w:val="5"/>
        </w:numPr>
        <w:contextualSpacing/>
        <w:rPr>
          <w:rFonts w:ascii="Arial" w:hAnsi="Arial" w:cs="Arial"/>
          <w:sz w:val="24"/>
          <w:szCs w:val="24"/>
        </w:rPr>
      </w:pPr>
      <w:r w:rsidRPr="00975201">
        <w:rPr>
          <w:rFonts w:ascii="Arial" w:hAnsi="Arial" w:cs="Arial"/>
          <w:sz w:val="24"/>
          <w:szCs w:val="24"/>
        </w:rPr>
        <w:t>Asset Management v1 (March 2023)</w:t>
      </w:r>
    </w:p>
    <w:p w14:paraId="0E8E73AA" w14:textId="77777777" w:rsidR="002F0ADB" w:rsidRPr="00975201" w:rsidRDefault="002F0ADB" w:rsidP="00CE35A9">
      <w:pPr>
        <w:pStyle w:val="ListParagraph"/>
        <w:numPr>
          <w:ilvl w:val="0"/>
          <w:numId w:val="5"/>
        </w:numPr>
        <w:contextualSpacing/>
        <w:rPr>
          <w:rFonts w:ascii="Arial" w:hAnsi="Arial" w:cs="Arial"/>
          <w:sz w:val="24"/>
          <w:szCs w:val="24"/>
        </w:rPr>
      </w:pPr>
      <w:r w:rsidRPr="00975201">
        <w:rPr>
          <w:rFonts w:ascii="Arial" w:hAnsi="Arial" w:cs="Arial"/>
          <w:sz w:val="24"/>
          <w:szCs w:val="24"/>
        </w:rPr>
        <w:t>Reserves v1 (July 2023)</w:t>
      </w:r>
    </w:p>
    <w:p w14:paraId="09F804CC" w14:textId="77777777" w:rsidR="002F0ADB" w:rsidRPr="00975201" w:rsidRDefault="002F0ADB" w:rsidP="00CE35A9">
      <w:pPr>
        <w:pStyle w:val="ListParagraph"/>
        <w:numPr>
          <w:ilvl w:val="0"/>
          <w:numId w:val="5"/>
        </w:numPr>
        <w:contextualSpacing/>
        <w:rPr>
          <w:rFonts w:ascii="Arial" w:hAnsi="Arial" w:cs="Arial"/>
          <w:sz w:val="24"/>
          <w:szCs w:val="24"/>
        </w:rPr>
      </w:pPr>
      <w:r w:rsidRPr="00975201">
        <w:rPr>
          <w:rFonts w:ascii="Arial" w:hAnsi="Arial" w:cs="Arial"/>
          <w:sz w:val="24"/>
          <w:szCs w:val="24"/>
        </w:rPr>
        <w:t>Charging and Income v1.1 (July 2023)</w:t>
      </w:r>
    </w:p>
    <w:p w14:paraId="0ADCB6E4" w14:textId="77777777" w:rsidR="002F0ADB" w:rsidRPr="00975201" w:rsidRDefault="002F0ADB" w:rsidP="00CE35A9">
      <w:pPr>
        <w:pStyle w:val="ListParagraph"/>
        <w:numPr>
          <w:ilvl w:val="0"/>
          <w:numId w:val="5"/>
        </w:numPr>
        <w:contextualSpacing/>
        <w:rPr>
          <w:rFonts w:ascii="Arial" w:hAnsi="Arial" w:cs="Arial"/>
          <w:sz w:val="24"/>
          <w:szCs w:val="24"/>
        </w:rPr>
      </w:pPr>
      <w:r w:rsidRPr="00975201">
        <w:rPr>
          <w:rFonts w:ascii="Arial" w:hAnsi="Arial" w:cs="Arial"/>
          <w:sz w:val="24"/>
          <w:szCs w:val="24"/>
        </w:rPr>
        <w:t>Budgeting v1 (November 2023)</w:t>
      </w:r>
    </w:p>
    <w:p w14:paraId="506105D2" w14:textId="77777777" w:rsidR="002F0ADB" w:rsidRPr="006961FB" w:rsidRDefault="002F0ADB" w:rsidP="00CE35A9">
      <w:pPr>
        <w:rPr>
          <w:rFonts w:cs="Arial"/>
          <w:szCs w:val="24"/>
        </w:rPr>
      </w:pPr>
    </w:p>
    <w:p w14:paraId="35291D96" w14:textId="16AD5B12" w:rsidR="002F0ADB" w:rsidRDefault="002F0ADB" w:rsidP="00CE35A9">
      <w:pPr>
        <w:rPr>
          <w:rFonts w:cs="Arial"/>
          <w:szCs w:val="24"/>
        </w:rPr>
      </w:pPr>
      <w:r w:rsidRPr="006961FB">
        <w:rPr>
          <w:rFonts w:cs="Arial"/>
          <w:szCs w:val="24"/>
        </w:rPr>
        <w:t>The next two policies for approval were the draft Purchasing and Payments Policy and the draft Inventories Policy. Corporate</w:t>
      </w:r>
      <w:r>
        <w:rPr>
          <w:rFonts w:cs="Arial"/>
          <w:szCs w:val="24"/>
        </w:rPr>
        <w:t xml:space="preserve"> Leadership Team, Heads of Service and Service Unit Managers had all been consulted on during the drafting process and their responses considered.</w:t>
      </w:r>
    </w:p>
    <w:p w14:paraId="0560C43C" w14:textId="77777777" w:rsidR="002F0ADB" w:rsidRDefault="002F0ADB" w:rsidP="002F0ADB">
      <w:pPr>
        <w:jc w:val="both"/>
        <w:rPr>
          <w:rFonts w:cs="Arial"/>
          <w:szCs w:val="24"/>
        </w:rPr>
      </w:pPr>
    </w:p>
    <w:p w14:paraId="6C54E2DF" w14:textId="77777777" w:rsidR="002F0ADB" w:rsidRDefault="002F0ADB" w:rsidP="002F0ADB">
      <w:pPr>
        <w:jc w:val="both"/>
        <w:rPr>
          <w:rFonts w:cs="Arial"/>
          <w:szCs w:val="24"/>
        </w:rPr>
      </w:pPr>
      <w:r>
        <w:rPr>
          <w:rFonts w:cs="Arial"/>
          <w:szCs w:val="24"/>
        </w:rPr>
        <w:t>The main points of both documents are set out below:</w:t>
      </w:r>
    </w:p>
    <w:p w14:paraId="0F90843E" w14:textId="77777777" w:rsidR="002F0ADB" w:rsidRDefault="002F0ADB" w:rsidP="002F0ADB">
      <w:pPr>
        <w:ind w:left="709"/>
        <w:jc w:val="both"/>
        <w:rPr>
          <w:rFonts w:cs="Arial"/>
          <w:szCs w:val="24"/>
        </w:rPr>
      </w:pPr>
    </w:p>
    <w:p w14:paraId="362E027C" w14:textId="77777777" w:rsidR="002F0ADB" w:rsidRDefault="002F0ADB" w:rsidP="00CE35A9">
      <w:r>
        <w:t>Purchasing and Payments:</w:t>
      </w:r>
    </w:p>
    <w:p w14:paraId="1E221F39" w14:textId="77777777" w:rsidR="002F0ADB" w:rsidRDefault="002F0ADB" w:rsidP="002F0ADB">
      <w:pPr>
        <w:rPr>
          <w:szCs w:val="20"/>
        </w:rPr>
      </w:pPr>
    </w:p>
    <w:p w14:paraId="1E148ED2" w14:textId="77777777" w:rsidR="002F0ADB" w:rsidRDefault="002F0ADB" w:rsidP="002F0ADB">
      <w:pPr>
        <w:jc w:val="both"/>
        <w:rPr>
          <w:rFonts w:cs="Arial"/>
          <w:szCs w:val="24"/>
        </w:rPr>
      </w:pPr>
      <w:r>
        <w:rPr>
          <w:rFonts w:cs="Arial"/>
          <w:szCs w:val="24"/>
        </w:rPr>
        <w:t>Chapter 1: Purchasing and Payments Policy Statement</w:t>
      </w:r>
    </w:p>
    <w:p w14:paraId="15B7E236" w14:textId="6B22C8F2" w:rsidR="002F0ADB" w:rsidRDefault="002F0ADB" w:rsidP="00CE35A9">
      <w:pPr>
        <w:spacing w:after="120"/>
        <w:ind w:left="964"/>
        <w:rPr>
          <w:rFonts w:cs="Arial"/>
          <w:szCs w:val="24"/>
        </w:rPr>
      </w:pPr>
      <w:r>
        <w:rPr>
          <w:rFonts w:cs="Arial"/>
          <w:szCs w:val="24"/>
        </w:rPr>
        <w:t>Setting targets of paying 95% of invoices within 30 days and 85% within 10 working days. In addition, the draft policy required the use of electronic purchase orders for most purchases, puts in place numbering system for grant payments, standardises delegated authority thresholds for approving purchases and puts special delegations for repayment of loans.</w:t>
      </w:r>
    </w:p>
    <w:p w14:paraId="4A6DF5E0" w14:textId="77777777" w:rsidR="002F0ADB" w:rsidRDefault="002F0ADB" w:rsidP="002F0ADB">
      <w:pPr>
        <w:spacing w:after="120"/>
        <w:jc w:val="both"/>
        <w:rPr>
          <w:rFonts w:cs="Arial"/>
          <w:szCs w:val="24"/>
        </w:rPr>
      </w:pPr>
      <w:r>
        <w:rPr>
          <w:rFonts w:cs="Arial"/>
          <w:szCs w:val="24"/>
        </w:rPr>
        <w:lastRenderedPageBreak/>
        <w:t>Chapter 2: Overview of Responsibilities</w:t>
      </w:r>
    </w:p>
    <w:p w14:paraId="777E7E6B" w14:textId="77777777" w:rsidR="002F0ADB" w:rsidRDefault="002F0ADB" w:rsidP="002F0ADB">
      <w:pPr>
        <w:spacing w:after="120"/>
        <w:jc w:val="both"/>
        <w:rPr>
          <w:rFonts w:cs="Arial"/>
          <w:szCs w:val="24"/>
        </w:rPr>
      </w:pPr>
      <w:r>
        <w:rPr>
          <w:rFonts w:cs="Arial"/>
          <w:szCs w:val="24"/>
        </w:rPr>
        <w:t>Chapter 3: Suppliers and Payees Database</w:t>
      </w:r>
    </w:p>
    <w:p w14:paraId="4AC4CC3A" w14:textId="77777777" w:rsidR="002F0ADB" w:rsidRDefault="002F0ADB" w:rsidP="002F0ADB">
      <w:pPr>
        <w:jc w:val="both"/>
        <w:rPr>
          <w:rFonts w:cs="Arial"/>
          <w:szCs w:val="24"/>
        </w:rPr>
      </w:pPr>
      <w:r>
        <w:rPr>
          <w:rFonts w:cs="Arial"/>
          <w:szCs w:val="24"/>
        </w:rPr>
        <w:t>Chapter 4: Ordering of Goods and Services</w:t>
      </w:r>
    </w:p>
    <w:p w14:paraId="7ADBA28F" w14:textId="42305598" w:rsidR="002F0ADB" w:rsidRDefault="002F0ADB" w:rsidP="002F0ADB">
      <w:pPr>
        <w:spacing w:after="120"/>
        <w:ind w:left="993"/>
        <w:jc w:val="both"/>
        <w:rPr>
          <w:rFonts w:cs="Arial"/>
          <w:szCs w:val="24"/>
        </w:rPr>
      </w:pPr>
      <w:r>
        <w:rPr>
          <w:rFonts w:cs="Arial"/>
          <w:szCs w:val="24"/>
        </w:rPr>
        <w:t>This chapter sets out the arrangements for purchase orders and provided details on when they were not required and indicated that invoices not quoting a purchase order number would be returned to the supplier.</w:t>
      </w:r>
    </w:p>
    <w:p w14:paraId="56F851D1" w14:textId="77777777" w:rsidR="002F0ADB" w:rsidRDefault="002F0ADB" w:rsidP="002F0ADB">
      <w:pPr>
        <w:spacing w:after="120"/>
        <w:jc w:val="both"/>
        <w:rPr>
          <w:rFonts w:cs="Arial"/>
          <w:szCs w:val="24"/>
        </w:rPr>
      </w:pPr>
      <w:r>
        <w:rPr>
          <w:rFonts w:cs="Arial"/>
          <w:szCs w:val="24"/>
        </w:rPr>
        <w:t>Chapter 5: Receipt of Goods and Services</w:t>
      </w:r>
    </w:p>
    <w:p w14:paraId="0F67A129" w14:textId="77777777" w:rsidR="002F0ADB" w:rsidRDefault="002F0ADB" w:rsidP="002F0ADB">
      <w:pPr>
        <w:spacing w:after="120"/>
        <w:jc w:val="both"/>
        <w:rPr>
          <w:rFonts w:cs="Arial"/>
          <w:szCs w:val="24"/>
        </w:rPr>
      </w:pPr>
      <w:r>
        <w:rPr>
          <w:rFonts w:cs="Arial"/>
          <w:szCs w:val="24"/>
        </w:rPr>
        <w:t>Chapter 6: Internal Payments</w:t>
      </w:r>
    </w:p>
    <w:p w14:paraId="159E5A65" w14:textId="77777777" w:rsidR="002F0ADB" w:rsidRDefault="002F0ADB" w:rsidP="002F0ADB">
      <w:pPr>
        <w:spacing w:after="120"/>
        <w:jc w:val="both"/>
        <w:rPr>
          <w:rFonts w:cs="Arial"/>
          <w:szCs w:val="24"/>
        </w:rPr>
      </w:pPr>
      <w:r>
        <w:rPr>
          <w:rFonts w:cs="Arial"/>
          <w:szCs w:val="24"/>
        </w:rPr>
        <w:t>Chapter 7: Non-Purchase Order Payments</w:t>
      </w:r>
    </w:p>
    <w:p w14:paraId="76FE8684" w14:textId="77777777" w:rsidR="002F0ADB" w:rsidRDefault="002F0ADB" w:rsidP="002F0ADB">
      <w:pPr>
        <w:spacing w:after="120"/>
        <w:jc w:val="both"/>
        <w:rPr>
          <w:rFonts w:cs="Arial"/>
          <w:szCs w:val="24"/>
        </w:rPr>
      </w:pPr>
      <w:r>
        <w:rPr>
          <w:rFonts w:cs="Arial"/>
          <w:szCs w:val="24"/>
        </w:rPr>
        <w:t>Chapter 8: Completing the Weekly Authorisation Report</w:t>
      </w:r>
    </w:p>
    <w:p w14:paraId="1D7B6E24" w14:textId="77777777" w:rsidR="002F0ADB" w:rsidRDefault="002F0ADB" w:rsidP="002F0ADB">
      <w:pPr>
        <w:spacing w:after="120"/>
        <w:jc w:val="both"/>
        <w:rPr>
          <w:rFonts w:cs="Arial"/>
          <w:szCs w:val="24"/>
        </w:rPr>
      </w:pPr>
      <w:r>
        <w:rPr>
          <w:rFonts w:cs="Arial"/>
          <w:szCs w:val="24"/>
        </w:rPr>
        <w:t>Chapter 9: Credit Card Controls</w:t>
      </w:r>
    </w:p>
    <w:p w14:paraId="233D1C0B" w14:textId="77777777" w:rsidR="002F0ADB" w:rsidRDefault="002F0ADB" w:rsidP="002F0ADB">
      <w:pPr>
        <w:jc w:val="both"/>
        <w:rPr>
          <w:rFonts w:cs="Arial"/>
          <w:szCs w:val="24"/>
        </w:rPr>
      </w:pPr>
      <w:r>
        <w:rPr>
          <w:rFonts w:cs="Arial"/>
          <w:szCs w:val="24"/>
        </w:rPr>
        <w:t>Chapter 10: Transitional Arrangements</w:t>
      </w:r>
    </w:p>
    <w:p w14:paraId="7A6997FA" w14:textId="14488AFD" w:rsidR="002F0ADB" w:rsidRDefault="002F0ADB" w:rsidP="002F0ADB">
      <w:pPr>
        <w:spacing w:after="120"/>
        <w:ind w:left="966"/>
        <w:jc w:val="both"/>
        <w:rPr>
          <w:rFonts w:cs="Arial"/>
          <w:szCs w:val="24"/>
        </w:rPr>
      </w:pPr>
      <w:r>
        <w:rPr>
          <w:rFonts w:cs="Arial"/>
          <w:szCs w:val="24"/>
        </w:rPr>
        <w:t>As the new policy moved away from a paper-based purchasing ordering system, transitional arrangements were required to move to an interim system before the implementation of a new corporate financial management system.</w:t>
      </w:r>
    </w:p>
    <w:p w14:paraId="3FF844B0" w14:textId="77777777" w:rsidR="002F0ADB" w:rsidRDefault="002F0ADB" w:rsidP="002F0ADB">
      <w:pPr>
        <w:spacing w:after="120"/>
        <w:jc w:val="both"/>
        <w:rPr>
          <w:rFonts w:cs="Arial"/>
          <w:szCs w:val="24"/>
        </w:rPr>
      </w:pPr>
      <w:r>
        <w:rPr>
          <w:rFonts w:cs="Arial"/>
          <w:szCs w:val="24"/>
        </w:rPr>
        <w:t>Appendix 1: Chief Executive Credit Card Conditions of Use</w:t>
      </w:r>
    </w:p>
    <w:p w14:paraId="326FD8F3" w14:textId="77777777" w:rsidR="002F0ADB" w:rsidRDefault="002F0ADB" w:rsidP="002F0ADB">
      <w:pPr>
        <w:jc w:val="both"/>
        <w:rPr>
          <w:rFonts w:cs="Arial"/>
          <w:szCs w:val="24"/>
        </w:rPr>
      </w:pPr>
      <w:r>
        <w:rPr>
          <w:rFonts w:cs="Arial"/>
          <w:szCs w:val="24"/>
        </w:rPr>
        <w:t>Appendix 2: Performance Accountant Credit Card Conditions of use</w:t>
      </w:r>
    </w:p>
    <w:p w14:paraId="07E2A0EC" w14:textId="77777777" w:rsidR="002F0ADB" w:rsidRDefault="002F0ADB" w:rsidP="002F0ADB">
      <w:pPr>
        <w:jc w:val="both"/>
        <w:rPr>
          <w:rFonts w:cs="Arial"/>
          <w:szCs w:val="24"/>
        </w:rPr>
      </w:pPr>
    </w:p>
    <w:p w14:paraId="1C442B85" w14:textId="77777777" w:rsidR="002F0ADB" w:rsidRDefault="002F0ADB" w:rsidP="00CE35A9">
      <w:r>
        <w:t>Inventories:</w:t>
      </w:r>
    </w:p>
    <w:p w14:paraId="7E46401D" w14:textId="77777777" w:rsidR="002F0ADB" w:rsidRDefault="002F0ADB" w:rsidP="002F0ADB">
      <w:pPr>
        <w:jc w:val="both"/>
        <w:rPr>
          <w:rFonts w:cs="Arial"/>
          <w:szCs w:val="24"/>
        </w:rPr>
      </w:pPr>
    </w:p>
    <w:p w14:paraId="68169E94" w14:textId="77777777" w:rsidR="002F0ADB" w:rsidRDefault="002F0ADB" w:rsidP="002F0ADB">
      <w:pPr>
        <w:jc w:val="both"/>
        <w:rPr>
          <w:rFonts w:cs="Arial"/>
          <w:szCs w:val="24"/>
        </w:rPr>
      </w:pPr>
      <w:r>
        <w:rPr>
          <w:rFonts w:cs="Arial"/>
          <w:szCs w:val="24"/>
        </w:rPr>
        <w:t xml:space="preserve">Chapter 1: Inventories Policy Statement </w:t>
      </w:r>
    </w:p>
    <w:p w14:paraId="46CE9252" w14:textId="77777777" w:rsidR="002F0ADB" w:rsidRDefault="002F0ADB" w:rsidP="002F0ADB">
      <w:pPr>
        <w:spacing w:after="120"/>
        <w:ind w:left="992"/>
        <w:jc w:val="both"/>
        <w:rPr>
          <w:rFonts w:cs="Arial"/>
          <w:szCs w:val="24"/>
        </w:rPr>
      </w:pPr>
      <w:r>
        <w:rPr>
          <w:rFonts w:cs="Arial"/>
          <w:szCs w:val="24"/>
        </w:rPr>
        <w:t>Introduction, Policy Objectives, Policy Statement and Related policies</w:t>
      </w:r>
    </w:p>
    <w:p w14:paraId="7DD0259B" w14:textId="77777777" w:rsidR="002F0ADB" w:rsidRDefault="002F0ADB" w:rsidP="002F0ADB">
      <w:pPr>
        <w:jc w:val="both"/>
        <w:rPr>
          <w:rFonts w:cs="Arial"/>
          <w:szCs w:val="24"/>
        </w:rPr>
      </w:pPr>
      <w:r>
        <w:rPr>
          <w:rFonts w:cs="Arial"/>
          <w:szCs w:val="24"/>
        </w:rPr>
        <w:t>Chapter 2: Holding Stock</w:t>
      </w:r>
    </w:p>
    <w:p w14:paraId="353FB900" w14:textId="77777777" w:rsidR="002F0ADB" w:rsidRDefault="002F0ADB" w:rsidP="002F0ADB">
      <w:pPr>
        <w:spacing w:after="120"/>
        <w:ind w:left="992"/>
        <w:jc w:val="both"/>
        <w:rPr>
          <w:rFonts w:cs="Arial"/>
          <w:szCs w:val="24"/>
        </w:rPr>
      </w:pPr>
      <w:r>
        <w:rPr>
          <w:rFonts w:cs="Arial"/>
          <w:szCs w:val="24"/>
        </w:rPr>
        <w:t>Need for stock, Service Unit Procedures, Finance Service Responsibilities and Importance of Maintaining Internal Controls</w:t>
      </w:r>
    </w:p>
    <w:p w14:paraId="68A8FB0E" w14:textId="77777777" w:rsidR="002F0ADB" w:rsidRDefault="002F0ADB" w:rsidP="002F0ADB">
      <w:pPr>
        <w:jc w:val="both"/>
        <w:rPr>
          <w:rFonts w:cs="Arial"/>
          <w:szCs w:val="24"/>
        </w:rPr>
      </w:pPr>
      <w:r>
        <w:rPr>
          <w:rFonts w:cs="Arial"/>
          <w:szCs w:val="24"/>
        </w:rPr>
        <w:t>Chapter 3: Security and Records</w:t>
      </w:r>
    </w:p>
    <w:p w14:paraId="35B441EC" w14:textId="77777777" w:rsidR="002F0ADB" w:rsidRDefault="002F0ADB" w:rsidP="002F0ADB">
      <w:pPr>
        <w:ind w:left="993"/>
        <w:jc w:val="both"/>
        <w:rPr>
          <w:rFonts w:cs="Arial"/>
          <w:szCs w:val="24"/>
        </w:rPr>
      </w:pPr>
      <w:r>
        <w:rPr>
          <w:rFonts w:cs="Arial"/>
          <w:szCs w:val="24"/>
        </w:rPr>
        <w:t>Security, Records, Stock takes and Returns to Finance Service</w:t>
      </w:r>
    </w:p>
    <w:p w14:paraId="5F51BB8C" w14:textId="77777777" w:rsidR="002F0ADB" w:rsidRDefault="002F0ADB" w:rsidP="002F0ADB">
      <w:pPr>
        <w:jc w:val="both"/>
        <w:rPr>
          <w:rFonts w:cs="Arial"/>
          <w:szCs w:val="24"/>
        </w:rPr>
      </w:pPr>
    </w:p>
    <w:p w14:paraId="5D94C844" w14:textId="41BEBC73" w:rsidR="002F0ADB" w:rsidRDefault="002F0ADB" w:rsidP="002F0ADB">
      <w:pPr>
        <w:jc w:val="both"/>
        <w:rPr>
          <w:rFonts w:cs="Arial"/>
          <w:szCs w:val="24"/>
        </w:rPr>
      </w:pPr>
      <w:r>
        <w:rPr>
          <w:rFonts w:cs="Arial"/>
          <w:szCs w:val="24"/>
        </w:rPr>
        <w:t>Chapter 1 in each policy document is the formal policy and as such was subject to Council approval. The remaining chapters were procedural in nature and therefore subject to periodic management review.</w:t>
      </w:r>
    </w:p>
    <w:p w14:paraId="0DB86A6C" w14:textId="77777777" w:rsidR="002F0ADB" w:rsidRDefault="002F0ADB" w:rsidP="002F0ADB">
      <w:pPr>
        <w:rPr>
          <w:rFonts w:cs="Arial"/>
          <w:szCs w:val="24"/>
        </w:rPr>
      </w:pPr>
    </w:p>
    <w:p w14:paraId="76D766E1" w14:textId="2E4741C7" w:rsidR="002F0ADB" w:rsidRDefault="002F0ADB" w:rsidP="002F0ADB">
      <w:pPr>
        <w:jc w:val="both"/>
        <w:rPr>
          <w:rFonts w:cs="Arial"/>
          <w:szCs w:val="24"/>
        </w:rPr>
      </w:pPr>
      <w:r>
        <w:rPr>
          <w:rFonts w:cs="Arial"/>
          <w:szCs w:val="24"/>
        </w:rPr>
        <w:t>RECOMMENDED that Council approves the Purchasing and Payments Policy and the Inventories Policy.</w:t>
      </w:r>
    </w:p>
    <w:p w14:paraId="5C27D1B4" w14:textId="77777777" w:rsidR="00EA6EF5" w:rsidRDefault="00EA6EF5" w:rsidP="00EA6EF5">
      <w:pPr>
        <w:rPr>
          <w:rFonts w:cs="Arial"/>
          <w:szCs w:val="24"/>
        </w:rPr>
      </w:pPr>
    </w:p>
    <w:p w14:paraId="7EA4C88B" w14:textId="3C5D1490" w:rsidR="00EA6EF5" w:rsidRDefault="002A5080" w:rsidP="00EA6EF5">
      <w:pPr>
        <w:pStyle w:val="Normal0"/>
        <w:rPr>
          <w:rFonts w:cs="Arial"/>
          <w:sz w:val="24"/>
          <w:szCs w:val="24"/>
        </w:rPr>
      </w:pPr>
      <w:r>
        <w:rPr>
          <w:rFonts w:cs="Arial"/>
          <w:sz w:val="24"/>
          <w:szCs w:val="24"/>
        </w:rPr>
        <w:t>Alderman Graham</w:t>
      </w:r>
      <w:r w:rsidR="00EA6EF5">
        <w:rPr>
          <w:rFonts w:cs="Arial"/>
          <w:sz w:val="24"/>
          <w:szCs w:val="24"/>
        </w:rPr>
        <w:t xml:space="preserve"> proposed, seconded by Councillor</w:t>
      </w:r>
      <w:r>
        <w:rPr>
          <w:rFonts w:cs="Arial"/>
          <w:sz w:val="24"/>
          <w:szCs w:val="24"/>
        </w:rPr>
        <w:t xml:space="preserve"> McCracken</w:t>
      </w:r>
      <w:r w:rsidR="00EA6EF5">
        <w:rPr>
          <w:rFonts w:cs="Arial"/>
          <w:sz w:val="24"/>
          <w:szCs w:val="24"/>
        </w:rPr>
        <w:t>, that the recommendation be adopted.</w:t>
      </w:r>
    </w:p>
    <w:p w14:paraId="1AB04021" w14:textId="77777777" w:rsidR="002A5080" w:rsidRDefault="002A5080" w:rsidP="00EA6EF5">
      <w:pPr>
        <w:pStyle w:val="Normal0"/>
        <w:rPr>
          <w:rFonts w:cs="Arial"/>
          <w:sz w:val="24"/>
          <w:szCs w:val="24"/>
        </w:rPr>
      </w:pPr>
    </w:p>
    <w:p w14:paraId="12AE7AC1" w14:textId="1A01D116" w:rsidR="00EA6EF5" w:rsidRDefault="002A5080" w:rsidP="00EA6EF5">
      <w:pPr>
        <w:pStyle w:val="Normal0"/>
        <w:rPr>
          <w:rFonts w:cs="Arial"/>
          <w:sz w:val="24"/>
          <w:szCs w:val="24"/>
        </w:rPr>
      </w:pPr>
      <w:r>
        <w:rPr>
          <w:rFonts w:cs="Arial"/>
          <w:sz w:val="24"/>
          <w:szCs w:val="24"/>
        </w:rPr>
        <w:t xml:space="preserve">Councillor McCracken referred to Chapter 1 Policy Objectives and asked what local purchasing policies existed, if any and how Council would try to spend money in the borough to help local businesses. The Head of Finance explained that it was covered in the procurement policy within which provisions existed in line with current regulations to buy local if possible. A new Procurement Act was coming into force that may have some implications but these would be considered by the Strategic </w:t>
      </w:r>
      <w:r>
        <w:rPr>
          <w:rFonts w:cs="Arial"/>
          <w:sz w:val="24"/>
          <w:szCs w:val="24"/>
        </w:rPr>
        <w:lastRenderedPageBreak/>
        <w:t xml:space="preserve">Transformation Service. Councillor McCracken asked that Council be mindful of small businesses who </w:t>
      </w:r>
      <w:r w:rsidR="000C1617">
        <w:rPr>
          <w:rFonts w:cs="Arial"/>
          <w:sz w:val="24"/>
          <w:szCs w:val="24"/>
        </w:rPr>
        <w:t>found</w:t>
      </w:r>
      <w:r>
        <w:rPr>
          <w:rFonts w:cs="Arial"/>
          <w:sz w:val="24"/>
          <w:szCs w:val="24"/>
        </w:rPr>
        <w:t xml:space="preserve"> it difficult to engage due to Council processes and procedures. The Head of Finance advised that the Procurement Manager and their team </w:t>
      </w:r>
      <w:r w:rsidR="000C1617">
        <w:rPr>
          <w:rFonts w:cs="Arial"/>
          <w:sz w:val="24"/>
          <w:szCs w:val="24"/>
        </w:rPr>
        <w:t>did</w:t>
      </w:r>
      <w:r>
        <w:rPr>
          <w:rFonts w:cs="Arial"/>
          <w:sz w:val="24"/>
          <w:szCs w:val="24"/>
        </w:rPr>
        <w:t xml:space="preserve"> engage and provide</w:t>
      </w:r>
      <w:r w:rsidR="000C1617">
        <w:rPr>
          <w:rFonts w:cs="Arial"/>
          <w:sz w:val="24"/>
          <w:szCs w:val="24"/>
        </w:rPr>
        <w:t>d</w:t>
      </w:r>
      <w:r>
        <w:rPr>
          <w:rFonts w:cs="Arial"/>
          <w:sz w:val="24"/>
          <w:szCs w:val="24"/>
        </w:rPr>
        <w:t xml:space="preserve"> assistance in that regard. </w:t>
      </w:r>
    </w:p>
    <w:p w14:paraId="4AA7F423" w14:textId="77777777" w:rsidR="00EA6EF5" w:rsidRDefault="00EA6EF5" w:rsidP="00EA6EF5">
      <w:pPr>
        <w:pStyle w:val="Normal0"/>
        <w:rPr>
          <w:rFonts w:cs="Arial"/>
          <w:sz w:val="24"/>
          <w:szCs w:val="24"/>
        </w:rPr>
      </w:pPr>
    </w:p>
    <w:p w14:paraId="284DBB22" w14:textId="2F232DD9" w:rsidR="00EA6EF5" w:rsidRPr="005E7457" w:rsidRDefault="00EA6EF5" w:rsidP="00EA6EF5">
      <w:pPr>
        <w:rPr>
          <w:rFonts w:eastAsia="Times New Roman"/>
          <w:szCs w:val="20"/>
        </w:rPr>
      </w:pPr>
      <w:r w:rsidRPr="007F0DD5">
        <w:rPr>
          <w:b/>
          <w:bCs/>
        </w:rPr>
        <w:t>AGREED TO RECOMMEND, on the proposal of</w:t>
      </w:r>
      <w:r>
        <w:rPr>
          <w:b/>
          <w:bCs/>
        </w:rPr>
        <w:t xml:space="preserve"> </w:t>
      </w:r>
      <w:r w:rsidR="002A5080">
        <w:rPr>
          <w:b/>
          <w:bCs/>
        </w:rPr>
        <w:t>Alderman Graham</w:t>
      </w:r>
      <w:r w:rsidRPr="007F0DD5">
        <w:rPr>
          <w:b/>
          <w:bCs/>
        </w:rPr>
        <w:t>, seconded</w:t>
      </w:r>
      <w:r>
        <w:rPr>
          <w:b/>
          <w:bCs/>
        </w:rPr>
        <w:t xml:space="preserve"> by </w:t>
      </w:r>
      <w:r w:rsidR="002A5080">
        <w:rPr>
          <w:b/>
          <w:bCs/>
        </w:rPr>
        <w:t>Councillor McCracken</w:t>
      </w:r>
      <w:r w:rsidRPr="007F0DD5">
        <w:rPr>
          <w:b/>
          <w:bCs/>
        </w:rPr>
        <w:t xml:space="preserve">, that </w:t>
      </w:r>
      <w:r>
        <w:rPr>
          <w:b/>
          <w:bCs/>
        </w:rPr>
        <w:t>the recommendation be adopted.</w:t>
      </w:r>
    </w:p>
    <w:p w14:paraId="5E884F21" w14:textId="77777777" w:rsidR="00EA6EF5" w:rsidRPr="00EA6EF5" w:rsidRDefault="00EA6EF5" w:rsidP="00EA6EF5"/>
    <w:p w14:paraId="4A00FA46" w14:textId="1C5C37B2" w:rsidR="00593CC5" w:rsidRPr="005F2888" w:rsidRDefault="00593CC5" w:rsidP="00593CC5">
      <w:pPr>
        <w:rPr>
          <w:b/>
          <w:bCs/>
          <w:sz w:val="28"/>
          <w:szCs w:val="28"/>
          <w:u w:val="single"/>
        </w:rPr>
      </w:pPr>
      <w:r>
        <w:rPr>
          <w:b/>
          <w:bCs/>
          <w:sz w:val="28"/>
          <w:szCs w:val="28"/>
          <w:u w:val="single"/>
        </w:rPr>
        <w:t>REPORTS FOR NOTING</w:t>
      </w:r>
    </w:p>
    <w:p w14:paraId="5545A3D8" w14:textId="77777777" w:rsidR="00D23E4F" w:rsidRDefault="00D23E4F" w:rsidP="00D23E4F">
      <w:pPr>
        <w:contextualSpacing/>
        <w:rPr>
          <w:rFonts w:ascii="Arial Bold" w:hAnsi="Arial Bold" w:cs="Arial"/>
          <w:b/>
          <w:bCs/>
          <w:szCs w:val="24"/>
        </w:rPr>
      </w:pPr>
      <w:bookmarkStart w:id="3" w:name="_Hlk145490014"/>
    </w:p>
    <w:p w14:paraId="65848851" w14:textId="6699E206" w:rsidR="00D23E4F" w:rsidRPr="00CE35A9" w:rsidRDefault="00EA6EF5" w:rsidP="00CE35A9">
      <w:pPr>
        <w:pStyle w:val="Heading1"/>
        <w:rPr>
          <w:u w:val="single"/>
        </w:rPr>
      </w:pPr>
      <w:r>
        <w:t>8</w:t>
      </w:r>
      <w:r w:rsidR="00D23E4F">
        <w:t>.</w:t>
      </w:r>
      <w:r w:rsidR="00D23E4F">
        <w:tab/>
      </w:r>
      <w:r w:rsidRPr="00CE35A9">
        <w:rPr>
          <w:u w:val="single"/>
        </w:rPr>
        <w:t>REVENUE RAISING CONSULTATIONS</w:t>
      </w:r>
    </w:p>
    <w:p w14:paraId="49CB41B6" w14:textId="77777777" w:rsidR="00593CC5" w:rsidRDefault="00593CC5" w:rsidP="00593CC5">
      <w:pPr>
        <w:rPr>
          <w:rFonts w:cs="Arial"/>
          <w:bCs/>
          <w:caps/>
          <w:szCs w:val="24"/>
        </w:rPr>
      </w:pPr>
    </w:p>
    <w:p w14:paraId="4AC2D407" w14:textId="18060B87" w:rsidR="005138BA" w:rsidRDefault="00593CC5" w:rsidP="005138BA">
      <w:pPr>
        <w:pStyle w:val="Default"/>
      </w:pPr>
      <w:r w:rsidRPr="00343303">
        <w:rPr>
          <w:bCs/>
          <w:caps/>
        </w:rPr>
        <w:t>Previously circulated:-</w:t>
      </w:r>
      <w:r w:rsidRPr="00343303">
        <w:rPr>
          <w:bCs/>
        </w:rPr>
        <w:t xml:space="preserve"> Report from the </w:t>
      </w:r>
      <w:r w:rsidRPr="00343303">
        <w:t xml:space="preserve">Director of  Corporate Services </w:t>
      </w:r>
      <w:r w:rsidR="005138BA">
        <w:t xml:space="preserve">which advised that a letter had been received from The Northern Ireland Local Government Association (NILGA) in relation to the </w:t>
      </w:r>
      <w:r w:rsidR="005138BA">
        <w:rPr>
          <w:rFonts w:eastAsia="Calibri"/>
        </w:rPr>
        <w:t>Revenue Raising Consultations initiated by the Secretary of State for Northern Ireland and NILGA in turn had written to the Land and Property Services and the Chief Executives of the Northern Ireland Councils.  Copies of the letters are attached.</w:t>
      </w:r>
    </w:p>
    <w:p w14:paraId="2F4CEB82" w14:textId="77777777" w:rsidR="005138BA" w:rsidRDefault="005138BA" w:rsidP="005138BA"/>
    <w:p w14:paraId="34F3A156" w14:textId="7C9FC2ED" w:rsidR="005138BA" w:rsidRDefault="005138BA" w:rsidP="005138BA">
      <w:r>
        <w:t>RECOMMENDED that Council notes the letters.</w:t>
      </w:r>
    </w:p>
    <w:p w14:paraId="6E34145C" w14:textId="77777777" w:rsidR="00593CC5" w:rsidRDefault="00593CC5" w:rsidP="00593CC5">
      <w:pPr>
        <w:pStyle w:val="Normal0"/>
        <w:rPr>
          <w:rFonts w:cs="Arial"/>
          <w:sz w:val="24"/>
          <w:szCs w:val="24"/>
        </w:rPr>
      </w:pPr>
    </w:p>
    <w:p w14:paraId="5EFE0947" w14:textId="02F55896" w:rsidR="00593CC5" w:rsidRPr="005E7457" w:rsidRDefault="00593CC5" w:rsidP="00593CC5">
      <w:pPr>
        <w:rPr>
          <w:rFonts w:eastAsia="Times New Roman"/>
          <w:szCs w:val="20"/>
        </w:rPr>
      </w:pPr>
      <w:r w:rsidRPr="007F0DD5">
        <w:rPr>
          <w:b/>
          <w:bCs/>
        </w:rPr>
        <w:t>AGREED TO RECOMMEND, on the proposal of</w:t>
      </w:r>
      <w:r>
        <w:rPr>
          <w:b/>
          <w:bCs/>
        </w:rPr>
        <w:t xml:space="preserve"> </w:t>
      </w:r>
      <w:r w:rsidR="002A5080">
        <w:rPr>
          <w:b/>
          <w:bCs/>
        </w:rPr>
        <w:t>Alderman Smith</w:t>
      </w:r>
      <w:r w:rsidRPr="007F0DD5">
        <w:rPr>
          <w:b/>
          <w:bCs/>
        </w:rPr>
        <w:t>, seconded</w:t>
      </w:r>
      <w:r>
        <w:rPr>
          <w:b/>
          <w:bCs/>
        </w:rPr>
        <w:t xml:space="preserve"> by </w:t>
      </w:r>
      <w:r w:rsidR="002A5080">
        <w:rPr>
          <w:b/>
          <w:bCs/>
        </w:rPr>
        <w:t>Alderman Graham</w:t>
      </w:r>
      <w:r w:rsidRPr="007F0DD5">
        <w:rPr>
          <w:b/>
          <w:bCs/>
        </w:rPr>
        <w:t xml:space="preserve">, that </w:t>
      </w:r>
      <w:r>
        <w:rPr>
          <w:b/>
          <w:bCs/>
        </w:rPr>
        <w:t>the recommendation be adopted</w:t>
      </w:r>
      <w:r w:rsidR="002A5080">
        <w:rPr>
          <w:b/>
          <w:bCs/>
        </w:rPr>
        <w:t>.</w:t>
      </w:r>
    </w:p>
    <w:p w14:paraId="4C0BDCB3" w14:textId="4910C7B7" w:rsidR="00EA6EF5" w:rsidRPr="00343303" w:rsidRDefault="00EA6EF5" w:rsidP="00EA6EF5">
      <w:pPr>
        <w:pStyle w:val="Normal0"/>
        <w:rPr>
          <w:b/>
          <w:bCs/>
          <w:noProof/>
          <w:sz w:val="28"/>
          <w:szCs w:val="28"/>
          <w:u w:val="single"/>
        </w:rPr>
      </w:pPr>
    </w:p>
    <w:p w14:paraId="1C10EE86" w14:textId="192EE975" w:rsidR="00593CC5" w:rsidRPr="00CE35A9" w:rsidRDefault="00593CC5" w:rsidP="00CE35A9">
      <w:pPr>
        <w:pStyle w:val="Heading1"/>
        <w:rPr>
          <w:u w:val="single"/>
        </w:rPr>
      </w:pPr>
      <w:r>
        <w:t>9.</w:t>
      </w:r>
      <w:r>
        <w:tab/>
      </w:r>
      <w:r w:rsidRPr="00CE35A9">
        <w:rPr>
          <w:u w:val="single"/>
        </w:rPr>
        <w:t>QUARTERLY REPORT ON EQUALITY AND GOOD RELATIONS</w:t>
      </w:r>
    </w:p>
    <w:p w14:paraId="509B437A" w14:textId="451F0FF3" w:rsidR="00593CC5" w:rsidRPr="00405611" w:rsidRDefault="00405611" w:rsidP="00593CC5">
      <w:pPr>
        <w:contextualSpacing/>
        <w:rPr>
          <w:rFonts w:cs="Arial"/>
          <w:sz w:val="28"/>
          <w:szCs w:val="28"/>
        </w:rPr>
      </w:pPr>
      <w:r>
        <w:rPr>
          <w:rFonts w:cs="Arial"/>
          <w:b/>
          <w:bCs/>
          <w:sz w:val="28"/>
          <w:szCs w:val="28"/>
        </w:rPr>
        <w:tab/>
      </w:r>
      <w:r>
        <w:rPr>
          <w:rFonts w:cs="Arial"/>
          <w:sz w:val="28"/>
          <w:szCs w:val="28"/>
        </w:rPr>
        <w:t>(REF: EQ33)</w:t>
      </w:r>
    </w:p>
    <w:p w14:paraId="6F786D05" w14:textId="77777777" w:rsidR="00593CC5" w:rsidRDefault="00593CC5" w:rsidP="00593CC5">
      <w:pPr>
        <w:rPr>
          <w:rFonts w:cs="Arial"/>
          <w:bCs/>
          <w:caps/>
          <w:szCs w:val="24"/>
        </w:rPr>
      </w:pPr>
    </w:p>
    <w:p w14:paraId="5278CDCD" w14:textId="24CCD888" w:rsidR="00405611" w:rsidRDefault="00593CC5" w:rsidP="00CE35A9">
      <w:pPr>
        <w:rPr>
          <w:rFonts w:eastAsia="Times New Roman"/>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 xml:space="preserve">Director of  Corporate Services </w:t>
      </w:r>
      <w:r w:rsidR="00405611">
        <w:rPr>
          <w:rFonts w:cs="Arial"/>
          <w:szCs w:val="24"/>
        </w:rPr>
        <w:t>which advised that, in</w:t>
      </w:r>
      <w:r w:rsidR="00405611">
        <w:t xml:space="preserve"> accordance with the Council’s Equality Scheme, a progress report was required to be submitted to the Council's Corporate Services Committee every quarter.  This ensured that the Council complied with its obligations to meet its equality and good relations duties and responsibilities, as identified in Section 75 of the Northern Ireland Act 1998.</w:t>
      </w:r>
    </w:p>
    <w:p w14:paraId="7F7C2529" w14:textId="77777777" w:rsidR="00405611" w:rsidRDefault="00405611" w:rsidP="00CE35A9"/>
    <w:p w14:paraId="49485E66" w14:textId="61644245" w:rsidR="006A231F" w:rsidRDefault="00405611" w:rsidP="00CE35A9">
      <w:pPr>
        <w:rPr>
          <w:b/>
        </w:rPr>
      </w:pPr>
      <w:r>
        <w:t>This report lists the actions of Council officers to meet the statutory duties since 1 January 2024.</w:t>
      </w:r>
    </w:p>
    <w:p w14:paraId="0D10A225" w14:textId="77777777" w:rsidR="006A231F" w:rsidRDefault="006A231F" w:rsidP="00CE35A9">
      <w:pPr>
        <w:rPr>
          <w:b/>
        </w:rPr>
      </w:pPr>
    </w:p>
    <w:p w14:paraId="413AE9FD" w14:textId="18018323" w:rsidR="00405611" w:rsidRDefault="00405611" w:rsidP="00CE35A9">
      <w:pPr>
        <w:rPr>
          <w:b/>
        </w:rPr>
      </w:pPr>
      <w:r>
        <w:rPr>
          <w:b/>
        </w:rPr>
        <w:t>Consultative Panel</w:t>
      </w:r>
    </w:p>
    <w:p w14:paraId="0C2F6335" w14:textId="77777777" w:rsidR="00405611" w:rsidRDefault="00405611" w:rsidP="00CE35A9">
      <w:pPr>
        <w:rPr>
          <w:bCs/>
        </w:rPr>
      </w:pPr>
    </w:p>
    <w:p w14:paraId="10FDA8FF" w14:textId="77777777" w:rsidR="00405611" w:rsidRDefault="00405611" w:rsidP="00CE35A9">
      <w:pPr>
        <w:rPr>
          <w:bCs/>
        </w:rPr>
      </w:pPr>
      <w:r>
        <w:rPr>
          <w:bCs/>
        </w:rPr>
        <w:t>A meeting of the consultative panel was held on 5</w:t>
      </w:r>
      <w:r>
        <w:rPr>
          <w:bCs/>
          <w:vertAlign w:val="superscript"/>
        </w:rPr>
        <w:t>th</w:t>
      </w:r>
      <w:r>
        <w:rPr>
          <w:bCs/>
        </w:rPr>
        <w:t xml:space="preserve"> March 2024 in Alderman George Green Community Centre, all members were invited to come along a meet with the panel.  The panel members reviewed Council policies, and suggestions were taken on board and added to the screening forms.</w:t>
      </w:r>
    </w:p>
    <w:p w14:paraId="6E48EFB6" w14:textId="77777777" w:rsidR="00405611" w:rsidRDefault="00405611" w:rsidP="00CE35A9">
      <w:pPr>
        <w:rPr>
          <w:iCs/>
        </w:rPr>
      </w:pPr>
    </w:p>
    <w:p w14:paraId="7F211858" w14:textId="77777777" w:rsidR="00405611" w:rsidRDefault="00405611" w:rsidP="00CE35A9">
      <w:pPr>
        <w:rPr>
          <w:b/>
          <w:iCs/>
        </w:rPr>
      </w:pPr>
      <w:r>
        <w:rPr>
          <w:b/>
          <w:iCs/>
        </w:rPr>
        <w:t>Screening of Council policies</w:t>
      </w:r>
    </w:p>
    <w:p w14:paraId="33AFD24B" w14:textId="77777777" w:rsidR="00405611" w:rsidRDefault="00405611" w:rsidP="00CE35A9">
      <w:pPr>
        <w:rPr>
          <w:iCs/>
        </w:rPr>
      </w:pPr>
    </w:p>
    <w:p w14:paraId="7B23577E" w14:textId="670D7160" w:rsidR="00405611" w:rsidRDefault="00405611" w:rsidP="00CE35A9">
      <w:pPr>
        <w:rPr>
          <w:iCs/>
        </w:rPr>
      </w:pPr>
      <w:r>
        <w:rPr>
          <w:iCs/>
        </w:rPr>
        <w:t xml:space="preserve">The Internal Screening Panel met in January 2024 and again in March 2024.  Officers from across the Council directorates screened 11 Council policies.  This enabled comments to be received, considered, and addressed.  All Heads of Service </w:t>
      </w:r>
      <w:r>
        <w:rPr>
          <w:iCs/>
        </w:rPr>
        <w:lastRenderedPageBreak/>
        <w:t xml:space="preserve">and Service Unit Managers had been issued a reminder of the Council's screening obligations and instructions on completing the Jot Form.  </w:t>
      </w:r>
    </w:p>
    <w:p w14:paraId="15E06B38" w14:textId="77777777" w:rsidR="00405611" w:rsidRDefault="00405611" w:rsidP="00405611">
      <w:pPr>
        <w:jc w:val="both"/>
        <w:rPr>
          <w:i/>
        </w:rPr>
      </w:pPr>
    </w:p>
    <w:p w14:paraId="5D7E134A" w14:textId="77777777" w:rsidR="00405611" w:rsidRDefault="00405611" w:rsidP="00405611">
      <w:pPr>
        <w:jc w:val="both"/>
        <w:rPr>
          <w:b/>
          <w:iCs/>
        </w:rPr>
      </w:pPr>
      <w:r>
        <w:rPr>
          <w:b/>
          <w:iCs/>
        </w:rPr>
        <w:t>Quarterly Consultations</w:t>
      </w:r>
    </w:p>
    <w:p w14:paraId="48B6F6D1" w14:textId="77777777" w:rsidR="00405611" w:rsidRDefault="00405611" w:rsidP="00405611">
      <w:pPr>
        <w:jc w:val="both"/>
        <w:rPr>
          <w:iCs/>
        </w:rPr>
      </w:pPr>
    </w:p>
    <w:p w14:paraId="2E279036" w14:textId="6FF3DA92" w:rsidR="00405611" w:rsidRDefault="00405611" w:rsidP="00405611">
      <w:pPr>
        <w:jc w:val="both"/>
        <w:rPr>
          <w:iCs/>
        </w:rPr>
      </w:pPr>
      <w:r>
        <w:rPr>
          <w:iCs/>
        </w:rPr>
        <w:t>The Council had a requirement within the Equality Scheme to publish the outcome of screened policies quarterly.  A quarterly report was uploaded onto the Council’s website on 25</w:t>
      </w:r>
      <w:r>
        <w:rPr>
          <w:iCs/>
          <w:vertAlign w:val="superscript"/>
        </w:rPr>
        <w:t>th</w:t>
      </w:r>
      <w:r>
        <w:rPr>
          <w:iCs/>
        </w:rPr>
        <w:t xml:space="preserve"> January 2024. </w:t>
      </w:r>
    </w:p>
    <w:p w14:paraId="6C78FE5C" w14:textId="77777777" w:rsidR="00405611" w:rsidRDefault="00405611" w:rsidP="00405611">
      <w:pPr>
        <w:jc w:val="both"/>
        <w:rPr>
          <w:i/>
        </w:rPr>
      </w:pPr>
    </w:p>
    <w:p w14:paraId="78C2FDDD" w14:textId="77777777" w:rsidR="00405611" w:rsidRDefault="00405611" w:rsidP="00405611">
      <w:pPr>
        <w:jc w:val="both"/>
        <w:rPr>
          <w:b/>
          <w:iCs/>
        </w:rPr>
      </w:pPr>
      <w:r>
        <w:rPr>
          <w:b/>
          <w:iCs/>
        </w:rPr>
        <w:t>Equality Action Plan</w:t>
      </w:r>
    </w:p>
    <w:p w14:paraId="6B91FD98" w14:textId="77777777" w:rsidR="00405611" w:rsidRDefault="00405611" w:rsidP="00405611">
      <w:pPr>
        <w:jc w:val="both"/>
        <w:rPr>
          <w:bCs/>
          <w:iCs/>
        </w:rPr>
      </w:pPr>
    </w:p>
    <w:p w14:paraId="5ABAA93A" w14:textId="521F4840" w:rsidR="00405611" w:rsidRDefault="00405611" w:rsidP="00405611">
      <w:pPr>
        <w:jc w:val="both"/>
        <w:rPr>
          <w:bCs/>
          <w:iCs/>
        </w:rPr>
      </w:pPr>
      <w:r>
        <w:rPr>
          <w:bCs/>
          <w:iCs/>
        </w:rPr>
        <w:t xml:space="preserve">The </w:t>
      </w:r>
      <w:bookmarkStart w:id="4" w:name="_Hlk2760742"/>
      <w:r>
        <w:rPr>
          <w:bCs/>
          <w:iCs/>
        </w:rPr>
        <w:t>Compliance Officer (Equality and Safeguarding) continued to review</w:t>
      </w:r>
      <w:r>
        <w:rPr>
          <w:bCs/>
          <w:iCs/>
          <w:color w:val="FF0000"/>
        </w:rPr>
        <w:t xml:space="preserve"> </w:t>
      </w:r>
      <w:r>
        <w:rPr>
          <w:bCs/>
          <w:iCs/>
          <w:color w:val="000000" w:themeColor="text1"/>
        </w:rPr>
        <w:t xml:space="preserve">and ensure that items outlined in the plan were in place and on track.  </w:t>
      </w:r>
      <w:r>
        <w:rPr>
          <w:bCs/>
          <w:iCs/>
        </w:rPr>
        <w:t>Officers were reminded of their responsibilities</w:t>
      </w:r>
      <w:bookmarkEnd w:id="4"/>
      <w:r>
        <w:rPr>
          <w:bCs/>
          <w:iCs/>
        </w:rPr>
        <w:t xml:space="preserve"> during the quarterly Screening Panel meetings.  </w:t>
      </w:r>
      <w:bookmarkStart w:id="5" w:name="_Hlk157420931"/>
      <w:r>
        <w:rPr>
          <w:bCs/>
          <w:iCs/>
        </w:rPr>
        <w:t>A review of the EAP was required and a new EAP for 2025 – 2030 is underway.</w:t>
      </w:r>
    </w:p>
    <w:bookmarkEnd w:id="5"/>
    <w:p w14:paraId="48D7F80A" w14:textId="77777777" w:rsidR="00405611" w:rsidRDefault="00405611" w:rsidP="00405611">
      <w:pPr>
        <w:jc w:val="both"/>
        <w:rPr>
          <w:bCs/>
          <w:iCs/>
        </w:rPr>
      </w:pPr>
    </w:p>
    <w:p w14:paraId="20536423" w14:textId="77777777" w:rsidR="00405611" w:rsidRDefault="00405611" w:rsidP="00405611">
      <w:pPr>
        <w:jc w:val="both"/>
        <w:rPr>
          <w:b/>
          <w:iCs/>
        </w:rPr>
      </w:pPr>
      <w:r>
        <w:rPr>
          <w:b/>
          <w:iCs/>
        </w:rPr>
        <w:t>Disability Forum</w:t>
      </w:r>
    </w:p>
    <w:p w14:paraId="3A3557A6" w14:textId="77777777" w:rsidR="00405611" w:rsidRDefault="00405611" w:rsidP="00405611">
      <w:pPr>
        <w:jc w:val="both"/>
        <w:rPr>
          <w:iCs/>
        </w:rPr>
      </w:pPr>
    </w:p>
    <w:p w14:paraId="2B705957" w14:textId="77777777" w:rsidR="00405611" w:rsidRDefault="00405611" w:rsidP="00405611">
      <w:pPr>
        <w:jc w:val="both"/>
        <w:rPr>
          <w:iCs/>
        </w:rPr>
      </w:pPr>
      <w:r>
        <w:rPr>
          <w:iCs/>
        </w:rPr>
        <w:t>The Disability Forum met in March 2024.</w:t>
      </w:r>
    </w:p>
    <w:p w14:paraId="102036E0" w14:textId="77777777" w:rsidR="00405611" w:rsidRDefault="00405611" w:rsidP="00405611">
      <w:pPr>
        <w:jc w:val="both"/>
        <w:rPr>
          <w:iCs/>
        </w:rPr>
      </w:pPr>
    </w:p>
    <w:p w14:paraId="3EE5E1CD" w14:textId="77777777" w:rsidR="00405611" w:rsidRDefault="00405611" w:rsidP="00CE35A9">
      <w:pPr>
        <w:rPr>
          <w:iCs/>
        </w:rPr>
      </w:pPr>
      <w:r>
        <w:rPr>
          <w:iCs/>
        </w:rPr>
        <w:t>At the meeting, Linda Doherty from the Patient and Client Council gave a presentation on their services.</w:t>
      </w:r>
    </w:p>
    <w:p w14:paraId="141458AE" w14:textId="70390848" w:rsidR="00405611" w:rsidRDefault="00405611" w:rsidP="00CE35A9">
      <w:pPr>
        <w:rPr>
          <w:iCs/>
        </w:rPr>
      </w:pPr>
      <w:r>
        <w:rPr>
          <w:iCs/>
        </w:rPr>
        <w:t>The Compliance Officer (Equality and Safeguarding) updated members regarding the review of the Disability Action plan.  A number of parking issues and concerns had been identified by both the Over 50s Council and Disability Forum members. As a result, a workshop was to be facilitated on Wednesday 13 March 2024, 2pm – 4pm at Londonderry Park, Newtownards. The aim of the workshop was to develop key messages for an awareness campaign that would help people to understand the consequences of their actions and to alter their parking habits.</w:t>
      </w:r>
    </w:p>
    <w:p w14:paraId="2D669705" w14:textId="77777777" w:rsidR="00405611" w:rsidRDefault="00405611" w:rsidP="00405611">
      <w:pPr>
        <w:jc w:val="both"/>
        <w:rPr>
          <w:iCs/>
        </w:rPr>
      </w:pPr>
    </w:p>
    <w:p w14:paraId="53BC71A8" w14:textId="77777777" w:rsidR="00405611" w:rsidRDefault="00405611" w:rsidP="00405611">
      <w:pPr>
        <w:jc w:val="both"/>
        <w:rPr>
          <w:b/>
          <w:bCs/>
          <w:iCs/>
        </w:rPr>
      </w:pPr>
      <w:r>
        <w:rPr>
          <w:b/>
          <w:bCs/>
          <w:iCs/>
        </w:rPr>
        <w:t>Disability Confident Scheme</w:t>
      </w:r>
    </w:p>
    <w:p w14:paraId="7F6127DF" w14:textId="77777777" w:rsidR="00405611" w:rsidRDefault="00405611" w:rsidP="00405611">
      <w:pPr>
        <w:jc w:val="both"/>
        <w:rPr>
          <w:b/>
          <w:bCs/>
          <w:iCs/>
        </w:rPr>
      </w:pPr>
    </w:p>
    <w:p w14:paraId="4D43A127" w14:textId="66A11FFF" w:rsidR="00405611" w:rsidRPr="00CE35A9" w:rsidRDefault="00405611" w:rsidP="00405611">
      <w:pPr>
        <w:jc w:val="both"/>
        <w:rPr>
          <w:rFonts w:cs="Arial"/>
          <w:iCs/>
          <w:szCs w:val="24"/>
        </w:rPr>
      </w:pPr>
      <w:r w:rsidRPr="00CE35A9">
        <w:rPr>
          <w:rFonts w:cs="Arial"/>
          <w:iCs/>
          <w:szCs w:val="24"/>
        </w:rPr>
        <w:t xml:space="preserve">Ards and North Down Borough Council signed up to the Disability Confident scheme, level 1 in January 2024.  The scheme had 3 levels </w:t>
      </w:r>
    </w:p>
    <w:p w14:paraId="368A3AD9" w14:textId="77777777" w:rsidR="00405611" w:rsidRPr="00CE35A9" w:rsidRDefault="00405611" w:rsidP="00405611">
      <w:pPr>
        <w:pStyle w:val="ListParagraph"/>
        <w:numPr>
          <w:ilvl w:val="0"/>
          <w:numId w:val="6"/>
        </w:numPr>
        <w:contextualSpacing/>
        <w:jc w:val="both"/>
        <w:rPr>
          <w:rFonts w:ascii="Arial" w:hAnsi="Arial" w:cs="Arial"/>
          <w:iCs/>
          <w:sz w:val="24"/>
          <w:szCs w:val="24"/>
        </w:rPr>
      </w:pPr>
      <w:r w:rsidRPr="00CE35A9">
        <w:rPr>
          <w:rFonts w:ascii="Arial" w:hAnsi="Arial" w:cs="Arial"/>
          <w:iCs/>
          <w:sz w:val="24"/>
          <w:szCs w:val="24"/>
        </w:rPr>
        <w:t>Level 1 to become a Disability Confident Committed</w:t>
      </w:r>
    </w:p>
    <w:p w14:paraId="70005CF6" w14:textId="77777777" w:rsidR="00405611" w:rsidRPr="00CE35A9" w:rsidRDefault="00405611" w:rsidP="00405611">
      <w:pPr>
        <w:pStyle w:val="ListParagraph"/>
        <w:numPr>
          <w:ilvl w:val="0"/>
          <w:numId w:val="6"/>
        </w:numPr>
        <w:contextualSpacing/>
        <w:jc w:val="both"/>
        <w:rPr>
          <w:rFonts w:ascii="Arial" w:hAnsi="Arial" w:cs="Arial"/>
          <w:iCs/>
          <w:sz w:val="24"/>
          <w:szCs w:val="24"/>
        </w:rPr>
      </w:pPr>
      <w:r w:rsidRPr="00CE35A9">
        <w:rPr>
          <w:rFonts w:ascii="Arial" w:hAnsi="Arial" w:cs="Arial"/>
          <w:iCs/>
          <w:sz w:val="24"/>
          <w:szCs w:val="24"/>
        </w:rPr>
        <w:t>Level 2 to become Disability Confident Employer</w:t>
      </w:r>
    </w:p>
    <w:p w14:paraId="58FB4A2B" w14:textId="77777777" w:rsidR="00405611" w:rsidRPr="00CE35A9" w:rsidRDefault="00405611" w:rsidP="00405611">
      <w:pPr>
        <w:pStyle w:val="ListParagraph"/>
        <w:numPr>
          <w:ilvl w:val="0"/>
          <w:numId w:val="6"/>
        </w:numPr>
        <w:contextualSpacing/>
        <w:jc w:val="both"/>
        <w:rPr>
          <w:rFonts w:ascii="Arial" w:hAnsi="Arial" w:cs="Arial"/>
          <w:iCs/>
          <w:sz w:val="24"/>
          <w:szCs w:val="24"/>
        </w:rPr>
      </w:pPr>
      <w:r w:rsidRPr="00CE35A9">
        <w:rPr>
          <w:rFonts w:ascii="Arial" w:hAnsi="Arial" w:cs="Arial"/>
          <w:iCs/>
          <w:sz w:val="24"/>
          <w:szCs w:val="24"/>
        </w:rPr>
        <w:t>Level 3 to become Disability Confident Leader</w:t>
      </w:r>
    </w:p>
    <w:p w14:paraId="3B5936C0" w14:textId="77777777" w:rsidR="00405611" w:rsidRPr="00CE35A9" w:rsidRDefault="00405611" w:rsidP="00405611">
      <w:pPr>
        <w:jc w:val="both"/>
        <w:rPr>
          <w:rFonts w:cs="Arial"/>
          <w:iCs/>
          <w:szCs w:val="24"/>
        </w:rPr>
      </w:pPr>
    </w:p>
    <w:p w14:paraId="68964980" w14:textId="5DCEC466" w:rsidR="00405611" w:rsidRPr="00CE35A9" w:rsidRDefault="00405611" w:rsidP="00405611">
      <w:pPr>
        <w:jc w:val="both"/>
        <w:rPr>
          <w:rFonts w:cs="Arial"/>
          <w:iCs/>
          <w:szCs w:val="24"/>
        </w:rPr>
      </w:pPr>
      <w:r w:rsidRPr="00CE35A9">
        <w:rPr>
          <w:rFonts w:cs="Arial"/>
          <w:iCs/>
          <w:szCs w:val="24"/>
        </w:rPr>
        <w:t>The Disability Confident scheme developed by CIPD supported employers to make the most of the talents disabled people can bring to the workplace.</w:t>
      </w:r>
    </w:p>
    <w:p w14:paraId="688EA6F6" w14:textId="77777777" w:rsidR="00405611" w:rsidRPr="00CE35A9" w:rsidRDefault="00405611" w:rsidP="00405611">
      <w:pPr>
        <w:jc w:val="both"/>
        <w:rPr>
          <w:rFonts w:cs="Arial"/>
          <w:iCs/>
          <w:szCs w:val="24"/>
        </w:rPr>
      </w:pPr>
      <w:r w:rsidRPr="00CE35A9">
        <w:rPr>
          <w:rFonts w:cs="Arial"/>
          <w:iCs/>
          <w:szCs w:val="24"/>
        </w:rPr>
        <w:t>whilst</w:t>
      </w:r>
    </w:p>
    <w:p w14:paraId="43A8280C" w14:textId="77777777" w:rsidR="00405611" w:rsidRPr="00CE35A9" w:rsidRDefault="00405611" w:rsidP="00405611">
      <w:pPr>
        <w:pStyle w:val="ListParagraph"/>
        <w:numPr>
          <w:ilvl w:val="0"/>
          <w:numId w:val="7"/>
        </w:numPr>
        <w:contextualSpacing/>
        <w:jc w:val="both"/>
        <w:rPr>
          <w:rFonts w:ascii="Arial" w:hAnsi="Arial" w:cs="Arial"/>
          <w:iCs/>
          <w:sz w:val="24"/>
          <w:szCs w:val="24"/>
        </w:rPr>
      </w:pPr>
      <w:r w:rsidRPr="00CE35A9">
        <w:rPr>
          <w:rFonts w:ascii="Arial" w:hAnsi="Arial" w:cs="Arial"/>
          <w:iCs/>
          <w:sz w:val="24"/>
          <w:szCs w:val="24"/>
        </w:rPr>
        <w:t>challenging attitudes towards disability</w:t>
      </w:r>
    </w:p>
    <w:p w14:paraId="251537CB" w14:textId="77777777" w:rsidR="00405611" w:rsidRPr="00CE35A9" w:rsidRDefault="00405611" w:rsidP="00405611">
      <w:pPr>
        <w:pStyle w:val="ListParagraph"/>
        <w:numPr>
          <w:ilvl w:val="0"/>
          <w:numId w:val="7"/>
        </w:numPr>
        <w:contextualSpacing/>
        <w:jc w:val="both"/>
        <w:rPr>
          <w:rFonts w:ascii="Arial" w:hAnsi="Arial" w:cs="Arial"/>
          <w:iCs/>
          <w:sz w:val="24"/>
          <w:szCs w:val="24"/>
        </w:rPr>
      </w:pPr>
      <w:r w:rsidRPr="00CE35A9">
        <w:rPr>
          <w:rFonts w:ascii="Arial" w:hAnsi="Arial" w:cs="Arial"/>
          <w:iCs/>
          <w:sz w:val="24"/>
          <w:szCs w:val="24"/>
        </w:rPr>
        <w:t>increasing understanding of disability</w:t>
      </w:r>
    </w:p>
    <w:p w14:paraId="3A0A1BA5" w14:textId="77777777" w:rsidR="00405611" w:rsidRPr="00CE35A9" w:rsidRDefault="00405611" w:rsidP="00405611">
      <w:pPr>
        <w:pStyle w:val="ListParagraph"/>
        <w:numPr>
          <w:ilvl w:val="0"/>
          <w:numId w:val="7"/>
        </w:numPr>
        <w:contextualSpacing/>
        <w:jc w:val="both"/>
        <w:rPr>
          <w:rFonts w:ascii="Arial" w:hAnsi="Arial" w:cs="Arial"/>
          <w:iCs/>
          <w:sz w:val="24"/>
          <w:szCs w:val="24"/>
        </w:rPr>
      </w:pPr>
      <w:r w:rsidRPr="00CE35A9">
        <w:rPr>
          <w:rFonts w:ascii="Arial" w:hAnsi="Arial" w:cs="Arial"/>
          <w:iCs/>
          <w:sz w:val="24"/>
          <w:szCs w:val="24"/>
        </w:rPr>
        <w:t>removing barriers to disabled people and those with long-term health conditions</w:t>
      </w:r>
    </w:p>
    <w:p w14:paraId="30D36BEC" w14:textId="77777777" w:rsidR="00405611" w:rsidRPr="00CE35A9" w:rsidRDefault="00405611" w:rsidP="00405611">
      <w:pPr>
        <w:pStyle w:val="ListParagraph"/>
        <w:numPr>
          <w:ilvl w:val="0"/>
          <w:numId w:val="7"/>
        </w:numPr>
        <w:contextualSpacing/>
        <w:jc w:val="both"/>
        <w:rPr>
          <w:rFonts w:ascii="Arial" w:hAnsi="Arial" w:cs="Arial"/>
          <w:iCs/>
          <w:sz w:val="24"/>
          <w:szCs w:val="24"/>
        </w:rPr>
      </w:pPr>
      <w:r w:rsidRPr="00CE35A9">
        <w:rPr>
          <w:rFonts w:ascii="Arial" w:hAnsi="Arial" w:cs="Arial"/>
          <w:iCs/>
          <w:sz w:val="24"/>
          <w:szCs w:val="24"/>
        </w:rPr>
        <w:t>ensuring that disabled people have the opportunities to fulfil their potential and realise their aspirations.</w:t>
      </w:r>
    </w:p>
    <w:p w14:paraId="39E0148D" w14:textId="77777777" w:rsidR="00405611" w:rsidRDefault="00405611" w:rsidP="00405611">
      <w:pPr>
        <w:ind w:left="360"/>
        <w:jc w:val="both"/>
        <w:rPr>
          <w:iCs/>
        </w:rPr>
      </w:pPr>
    </w:p>
    <w:p w14:paraId="64813A90" w14:textId="48EDA954" w:rsidR="00405611" w:rsidRDefault="00405611" w:rsidP="00405611">
      <w:pPr>
        <w:ind w:left="360"/>
        <w:jc w:val="both"/>
        <w:rPr>
          <w:iCs/>
        </w:rPr>
      </w:pPr>
      <w:r>
        <w:rPr>
          <w:iCs/>
        </w:rPr>
        <w:t>Together with Councils Human Resources department, the Compliance Officer (Equality and Safeguarding) would work towards achieving level 2.</w:t>
      </w:r>
    </w:p>
    <w:p w14:paraId="4CB0A23E" w14:textId="77777777" w:rsidR="00405611" w:rsidRDefault="00405611" w:rsidP="00405611">
      <w:pPr>
        <w:jc w:val="both"/>
        <w:rPr>
          <w:iCs/>
        </w:rPr>
      </w:pPr>
    </w:p>
    <w:p w14:paraId="3A452ABF" w14:textId="77777777" w:rsidR="00405611" w:rsidRDefault="00405611" w:rsidP="00405611">
      <w:pPr>
        <w:jc w:val="both"/>
        <w:rPr>
          <w:b/>
          <w:iCs/>
        </w:rPr>
      </w:pPr>
      <w:r>
        <w:rPr>
          <w:b/>
          <w:iCs/>
        </w:rPr>
        <w:lastRenderedPageBreak/>
        <w:t>Disability Action Plan</w:t>
      </w:r>
    </w:p>
    <w:p w14:paraId="0A85C0A0" w14:textId="77777777" w:rsidR="00405611" w:rsidRDefault="00405611" w:rsidP="00CE35A9">
      <w:pPr>
        <w:rPr>
          <w:iCs/>
        </w:rPr>
      </w:pPr>
    </w:p>
    <w:p w14:paraId="483B686E" w14:textId="6BC543EE" w:rsidR="00405611" w:rsidRDefault="00405611" w:rsidP="00CE35A9">
      <w:pPr>
        <w:rPr>
          <w:iCs/>
        </w:rPr>
      </w:pPr>
      <w:r>
        <w:rPr>
          <w:iCs/>
        </w:rPr>
        <w:t>The Compliance Officer (Equality and Safeguarding) continued to work to deliver the Disability Action Plan.   This was reported through the Internal Screening Group and the Disability Forum.  At these meetings, any identified concerns may have been added to the plan to ensure appropriate actions were identified and undertaken promptly to enable the Council to remain compliant with the relevant legislation.</w:t>
      </w:r>
      <w:r>
        <w:t xml:space="preserve"> </w:t>
      </w:r>
      <w:r>
        <w:rPr>
          <w:iCs/>
        </w:rPr>
        <w:t>A review of the DAP was required and a new DAP for 2025 – 2030 was underway.</w:t>
      </w:r>
    </w:p>
    <w:p w14:paraId="2A22278B" w14:textId="77777777" w:rsidR="00405611" w:rsidRDefault="00405611" w:rsidP="00CE35A9">
      <w:pPr>
        <w:rPr>
          <w:iCs/>
        </w:rPr>
      </w:pPr>
    </w:p>
    <w:p w14:paraId="7B53C254" w14:textId="77777777" w:rsidR="00405611" w:rsidRDefault="00405611" w:rsidP="00CE35A9">
      <w:pPr>
        <w:rPr>
          <w:b/>
          <w:bCs/>
          <w:iCs/>
        </w:rPr>
      </w:pPr>
      <w:r>
        <w:rPr>
          <w:b/>
          <w:bCs/>
          <w:iCs/>
        </w:rPr>
        <w:t>Disability Employment and Support Day</w:t>
      </w:r>
    </w:p>
    <w:p w14:paraId="5753119E" w14:textId="77777777" w:rsidR="00405611" w:rsidRDefault="00405611" w:rsidP="00CE35A9">
      <w:pPr>
        <w:rPr>
          <w:iCs/>
        </w:rPr>
      </w:pPr>
    </w:p>
    <w:p w14:paraId="28D7B30A" w14:textId="77777777" w:rsidR="00405611" w:rsidRDefault="00405611" w:rsidP="00CE35A9">
      <w:pPr>
        <w:rPr>
          <w:iCs/>
        </w:rPr>
      </w:pPr>
      <w:r>
        <w:rPr>
          <w:iCs/>
        </w:rPr>
        <w:t>In conjunction with the Labour Market Partnership Manager the Compliance Officer (Equality and Safeguarding) held a Disability Employment and Support Day In February 2024.</w:t>
      </w:r>
      <w:r>
        <w:t xml:space="preserve">  The programme was aimed at those who </w:t>
      </w:r>
      <w:r>
        <w:rPr>
          <w:iCs/>
        </w:rPr>
        <w:t>self-identify as having a disability or a neurodiverse condition as well as parents, carers, or guardians of someone with a disability or neurodiverse condition. Local exhibitors who offer programmes and support packages for those with a disability were in attendance, to give advice on training, employment options and offer help and assistance.</w:t>
      </w:r>
      <w:r>
        <w:t xml:space="preserve"> </w:t>
      </w:r>
    </w:p>
    <w:p w14:paraId="75FC5BE6" w14:textId="77777777" w:rsidR="00405611" w:rsidRDefault="00405611" w:rsidP="00CE35A9">
      <w:pPr>
        <w:rPr>
          <w:b/>
          <w:iCs/>
        </w:rPr>
      </w:pPr>
    </w:p>
    <w:p w14:paraId="6D5E7B84" w14:textId="77777777" w:rsidR="00405611" w:rsidRDefault="00405611" w:rsidP="00CE35A9">
      <w:pPr>
        <w:rPr>
          <w:b/>
          <w:iCs/>
        </w:rPr>
      </w:pPr>
      <w:r>
        <w:rPr>
          <w:b/>
          <w:iCs/>
        </w:rPr>
        <w:t>Complaints</w:t>
      </w:r>
    </w:p>
    <w:p w14:paraId="5CB5659F" w14:textId="77777777" w:rsidR="00405611" w:rsidRDefault="00405611" w:rsidP="00CE35A9">
      <w:pPr>
        <w:rPr>
          <w:iCs/>
          <w:color w:val="000000" w:themeColor="text1"/>
        </w:rPr>
      </w:pPr>
    </w:p>
    <w:p w14:paraId="3608698B" w14:textId="3EF97A3D" w:rsidR="00405611" w:rsidRDefault="00405611" w:rsidP="00CE35A9">
      <w:pPr>
        <w:rPr>
          <w:iCs/>
        </w:rPr>
      </w:pPr>
      <w:r>
        <w:rPr>
          <w:iCs/>
          <w:color w:val="000000" w:themeColor="text1"/>
        </w:rPr>
        <w:t>During this period, no</w:t>
      </w:r>
      <w:r>
        <w:rPr>
          <w:iCs/>
          <w:color w:val="FF0000"/>
        </w:rPr>
        <w:t xml:space="preserve"> </w:t>
      </w:r>
      <w:r>
        <w:rPr>
          <w:iCs/>
        </w:rPr>
        <w:t xml:space="preserve">Section 75 complaints </w:t>
      </w:r>
      <w:r w:rsidR="00EB14F6">
        <w:rPr>
          <w:iCs/>
        </w:rPr>
        <w:t>had</w:t>
      </w:r>
      <w:r>
        <w:rPr>
          <w:iCs/>
        </w:rPr>
        <w:t xml:space="preserve"> been received.  </w:t>
      </w:r>
    </w:p>
    <w:p w14:paraId="7BC5B8BB" w14:textId="77777777" w:rsidR="00405611" w:rsidRDefault="00405611" w:rsidP="00405611">
      <w:pPr>
        <w:jc w:val="both"/>
        <w:rPr>
          <w:b/>
          <w:i/>
        </w:rPr>
      </w:pPr>
    </w:p>
    <w:p w14:paraId="6B4CE9D3" w14:textId="77777777" w:rsidR="00405611" w:rsidRDefault="00405611" w:rsidP="00405611">
      <w:pPr>
        <w:jc w:val="both"/>
        <w:rPr>
          <w:b/>
          <w:iCs/>
        </w:rPr>
      </w:pPr>
      <w:r>
        <w:rPr>
          <w:b/>
          <w:iCs/>
        </w:rPr>
        <w:t xml:space="preserve">Safeguarding </w:t>
      </w:r>
    </w:p>
    <w:p w14:paraId="00B3224A" w14:textId="77777777" w:rsidR="00405611" w:rsidRDefault="00405611" w:rsidP="00405611">
      <w:pPr>
        <w:jc w:val="both"/>
        <w:rPr>
          <w:b/>
          <w:iCs/>
        </w:rPr>
      </w:pPr>
    </w:p>
    <w:p w14:paraId="7337343E" w14:textId="57A5C763" w:rsidR="00405611" w:rsidRDefault="00405611" w:rsidP="00CE35A9">
      <w:pPr>
        <w:rPr>
          <w:iCs/>
          <w:color w:val="000000" w:themeColor="text1"/>
        </w:rPr>
      </w:pPr>
      <w:r>
        <w:rPr>
          <w:iCs/>
          <w:color w:val="000000" w:themeColor="text1"/>
        </w:rPr>
        <w:t xml:space="preserve">Employee training </w:t>
      </w:r>
      <w:r w:rsidR="00EB14F6">
        <w:rPr>
          <w:iCs/>
          <w:color w:val="000000" w:themeColor="text1"/>
        </w:rPr>
        <w:t>had</w:t>
      </w:r>
      <w:r>
        <w:rPr>
          <w:iCs/>
          <w:color w:val="000000" w:themeColor="text1"/>
        </w:rPr>
        <w:t xml:space="preserve"> been developed in line with the Keeping Safe initiative, which aim</w:t>
      </w:r>
      <w:r w:rsidR="00EB14F6">
        <w:rPr>
          <w:iCs/>
          <w:color w:val="000000" w:themeColor="text1"/>
        </w:rPr>
        <w:t>ed</w:t>
      </w:r>
      <w:r>
        <w:rPr>
          <w:iCs/>
          <w:color w:val="000000" w:themeColor="text1"/>
        </w:rPr>
        <w:t xml:space="preserve"> to raise awareness of the issues concerning Safeguarding Children and adults at risk.  Between November 2023 and March 2024, the Council </w:t>
      </w:r>
      <w:r w:rsidR="00EB14F6">
        <w:rPr>
          <w:iCs/>
          <w:color w:val="000000" w:themeColor="text1"/>
        </w:rPr>
        <w:t>had</w:t>
      </w:r>
      <w:r>
        <w:rPr>
          <w:iCs/>
          <w:color w:val="000000" w:themeColor="text1"/>
        </w:rPr>
        <w:t xml:space="preserve"> trained 170 employees across all directorates.</w:t>
      </w:r>
    </w:p>
    <w:p w14:paraId="27DC13AE" w14:textId="77777777" w:rsidR="00405611" w:rsidRDefault="00405611" w:rsidP="00CE35A9">
      <w:pPr>
        <w:rPr>
          <w:iCs/>
          <w:color w:val="000000" w:themeColor="text1"/>
        </w:rPr>
      </w:pPr>
    </w:p>
    <w:p w14:paraId="40EBC178" w14:textId="3F9BB33F" w:rsidR="00405611" w:rsidRDefault="00405611" w:rsidP="00CE35A9">
      <w:pPr>
        <w:rPr>
          <w:iCs/>
          <w:color w:val="000000" w:themeColor="text1"/>
        </w:rPr>
      </w:pPr>
      <w:r>
        <w:rPr>
          <w:iCs/>
          <w:color w:val="000000" w:themeColor="text1"/>
        </w:rPr>
        <w:t>The Compliance officer (Equality and Safeguarding) continue</w:t>
      </w:r>
      <w:r w:rsidR="00EB14F6">
        <w:rPr>
          <w:iCs/>
          <w:color w:val="000000" w:themeColor="text1"/>
        </w:rPr>
        <w:t>d</w:t>
      </w:r>
      <w:r>
        <w:rPr>
          <w:iCs/>
          <w:color w:val="000000" w:themeColor="text1"/>
        </w:rPr>
        <w:t xml:space="preserve"> working together to safeguard and promote the welfare of children and young people and prevent and protect them from risk and harm.</w:t>
      </w:r>
    </w:p>
    <w:p w14:paraId="2F69E878" w14:textId="77777777" w:rsidR="00405611" w:rsidRDefault="00405611" w:rsidP="00CE35A9">
      <w:pPr>
        <w:rPr>
          <w:iCs/>
          <w:color w:val="000000" w:themeColor="text1"/>
        </w:rPr>
      </w:pPr>
    </w:p>
    <w:p w14:paraId="093BD592" w14:textId="5E4F2F53" w:rsidR="00405611" w:rsidRDefault="00405611" w:rsidP="00CE35A9">
      <w:pPr>
        <w:rPr>
          <w:b/>
          <w:bCs/>
          <w:iCs/>
          <w:color w:val="000000" w:themeColor="text1"/>
        </w:rPr>
      </w:pPr>
      <w:r>
        <w:rPr>
          <w:iCs/>
          <w:color w:val="000000" w:themeColor="text1"/>
        </w:rPr>
        <w:t xml:space="preserve">No Safeguarding referrals </w:t>
      </w:r>
      <w:r w:rsidR="00EB14F6">
        <w:rPr>
          <w:iCs/>
          <w:color w:val="000000" w:themeColor="text1"/>
        </w:rPr>
        <w:t>had</w:t>
      </w:r>
      <w:r>
        <w:rPr>
          <w:iCs/>
          <w:color w:val="000000" w:themeColor="text1"/>
        </w:rPr>
        <w:t xml:space="preserve"> been made in this reporting period.</w:t>
      </w:r>
    </w:p>
    <w:p w14:paraId="5A694313" w14:textId="77777777" w:rsidR="006A231F" w:rsidRDefault="006A231F" w:rsidP="00CE35A9">
      <w:pPr>
        <w:rPr>
          <w:b/>
          <w:bCs/>
          <w:iCs/>
          <w:color w:val="000000" w:themeColor="text1"/>
        </w:rPr>
      </w:pPr>
    </w:p>
    <w:p w14:paraId="6ECF5A9B" w14:textId="6016813F" w:rsidR="00405611" w:rsidRDefault="00405611" w:rsidP="00CE35A9">
      <w:pPr>
        <w:rPr>
          <w:b/>
          <w:bCs/>
          <w:iCs/>
          <w:color w:val="000000" w:themeColor="text1"/>
        </w:rPr>
      </w:pPr>
      <w:r>
        <w:rPr>
          <w:b/>
          <w:bCs/>
          <w:iCs/>
          <w:color w:val="000000" w:themeColor="text1"/>
        </w:rPr>
        <w:t>It Takes All Sorts</w:t>
      </w:r>
    </w:p>
    <w:p w14:paraId="23D3EB04" w14:textId="77777777" w:rsidR="00405611" w:rsidRDefault="00405611" w:rsidP="00CE35A9">
      <w:pPr>
        <w:rPr>
          <w:iCs/>
          <w:color w:val="000000" w:themeColor="text1"/>
        </w:rPr>
      </w:pPr>
    </w:p>
    <w:p w14:paraId="13EBB1ED" w14:textId="77777777" w:rsidR="00405611" w:rsidRDefault="00405611" w:rsidP="00CE35A9">
      <w:pPr>
        <w:rPr>
          <w:iCs/>
          <w:color w:val="000000" w:themeColor="text1"/>
        </w:rPr>
      </w:pPr>
      <w:r>
        <w:rPr>
          <w:iCs/>
          <w:color w:val="000000" w:themeColor="text1"/>
        </w:rPr>
        <w:t>The It takes all sorts events 2023/2024 were very successful and gave staff and members of the public a wide variety of information ranging from Money advice to suicide prevention advice.</w:t>
      </w:r>
    </w:p>
    <w:p w14:paraId="018BA0CF" w14:textId="77777777" w:rsidR="004D2CF9" w:rsidRDefault="004D2CF9" w:rsidP="00CE35A9">
      <w:pPr>
        <w:rPr>
          <w:iCs/>
          <w:color w:val="000000" w:themeColor="text1"/>
        </w:rPr>
      </w:pPr>
    </w:p>
    <w:p w14:paraId="3D1C9778" w14:textId="1ED77053" w:rsidR="00405611" w:rsidRDefault="00405611" w:rsidP="00CE35A9">
      <w:pPr>
        <w:rPr>
          <w:iCs/>
          <w:color w:val="000000" w:themeColor="text1"/>
        </w:rPr>
      </w:pPr>
      <w:r>
        <w:rPr>
          <w:iCs/>
          <w:color w:val="000000" w:themeColor="text1"/>
        </w:rPr>
        <w:t xml:space="preserve">It is envisaged that another 4 events will take place from September 2024 through to January 2025, </w:t>
      </w:r>
      <w:r w:rsidR="00EB14F6">
        <w:rPr>
          <w:iCs/>
          <w:color w:val="000000" w:themeColor="text1"/>
        </w:rPr>
        <w:t>which</w:t>
      </w:r>
      <w:r>
        <w:rPr>
          <w:iCs/>
          <w:color w:val="000000" w:themeColor="text1"/>
        </w:rPr>
        <w:t xml:space="preserve"> </w:t>
      </w:r>
      <w:r w:rsidR="00EB14F6">
        <w:rPr>
          <w:iCs/>
          <w:color w:val="000000" w:themeColor="text1"/>
        </w:rPr>
        <w:t>was to</w:t>
      </w:r>
      <w:r>
        <w:rPr>
          <w:iCs/>
          <w:color w:val="000000" w:themeColor="text1"/>
        </w:rPr>
        <w:t xml:space="preserve"> be reported in the next quarterly report.</w:t>
      </w:r>
    </w:p>
    <w:p w14:paraId="0CEBBB87" w14:textId="77777777" w:rsidR="00405611" w:rsidRDefault="00405611" w:rsidP="00CE35A9">
      <w:pPr>
        <w:rPr>
          <w:bCs/>
          <w:iCs/>
        </w:rPr>
      </w:pPr>
    </w:p>
    <w:p w14:paraId="4039C3C7" w14:textId="597933B4" w:rsidR="00405611" w:rsidRDefault="00EB14F6" w:rsidP="00CE35A9">
      <w:pPr>
        <w:rPr>
          <w:i/>
        </w:rPr>
      </w:pPr>
      <w:r>
        <w:rPr>
          <w:bCs/>
          <w:iCs/>
        </w:rPr>
        <w:t xml:space="preserve">RECOMMENDED </w:t>
      </w:r>
      <w:r w:rsidR="00405611">
        <w:rPr>
          <w:iCs/>
        </w:rPr>
        <w:t>that Council notes this report.</w:t>
      </w:r>
    </w:p>
    <w:p w14:paraId="7A494E43" w14:textId="77777777" w:rsidR="00593CC5" w:rsidRDefault="00593CC5" w:rsidP="00593CC5">
      <w:pPr>
        <w:rPr>
          <w:rFonts w:cs="Arial"/>
          <w:szCs w:val="24"/>
        </w:rPr>
      </w:pPr>
    </w:p>
    <w:p w14:paraId="112DD0C3" w14:textId="6260B65D" w:rsidR="00593CC5" w:rsidRPr="005E7457" w:rsidRDefault="00593CC5" w:rsidP="00593CC5">
      <w:pPr>
        <w:rPr>
          <w:rFonts w:eastAsia="Times New Roman"/>
          <w:szCs w:val="20"/>
        </w:rPr>
      </w:pPr>
      <w:r w:rsidRPr="007F0DD5">
        <w:rPr>
          <w:b/>
          <w:bCs/>
        </w:rPr>
        <w:t>AGREED TO RECOMMEND, on the proposal of</w:t>
      </w:r>
      <w:r>
        <w:rPr>
          <w:b/>
          <w:bCs/>
        </w:rPr>
        <w:t xml:space="preserve"> Councillor</w:t>
      </w:r>
      <w:r w:rsidR="002A5080">
        <w:rPr>
          <w:b/>
          <w:bCs/>
        </w:rPr>
        <w:t xml:space="preserve"> W Irvine</w:t>
      </w:r>
      <w:r w:rsidRPr="007F0DD5">
        <w:rPr>
          <w:b/>
          <w:bCs/>
        </w:rPr>
        <w:t>, seconded</w:t>
      </w:r>
      <w:r>
        <w:rPr>
          <w:b/>
          <w:bCs/>
        </w:rPr>
        <w:t xml:space="preserve"> by Councillor</w:t>
      </w:r>
      <w:r w:rsidR="002A5080">
        <w:rPr>
          <w:b/>
          <w:bCs/>
        </w:rPr>
        <w:t xml:space="preserve"> Alderman Graham</w:t>
      </w:r>
      <w:r w:rsidRPr="007F0DD5">
        <w:rPr>
          <w:b/>
          <w:bCs/>
        </w:rPr>
        <w:t xml:space="preserve">, that </w:t>
      </w:r>
      <w:r>
        <w:rPr>
          <w:b/>
          <w:bCs/>
        </w:rPr>
        <w:t>the recommendation be adopted</w:t>
      </w:r>
      <w:r w:rsidR="002A5080">
        <w:rPr>
          <w:b/>
          <w:bCs/>
        </w:rPr>
        <w:t>.</w:t>
      </w:r>
    </w:p>
    <w:p w14:paraId="1BE8C64B" w14:textId="77777777" w:rsidR="00EA6EF5" w:rsidRPr="00FF60C9" w:rsidRDefault="00EA6EF5" w:rsidP="00D23E4F">
      <w:pPr>
        <w:contextualSpacing/>
        <w:rPr>
          <w:rFonts w:cs="Arial"/>
          <w:b/>
          <w:bCs/>
          <w:szCs w:val="24"/>
        </w:rPr>
      </w:pPr>
    </w:p>
    <w:p w14:paraId="31E3822F" w14:textId="49FCEC94" w:rsidR="00593CC5" w:rsidRDefault="00593CC5" w:rsidP="00CE35A9">
      <w:pPr>
        <w:pStyle w:val="Heading1"/>
        <w:ind w:left="720" w:hanging="720"/>
      </w:pPr>
      <w:r>
        <w:lastRenderedPageBreak/>
        <w:t>10.</w:t>
      </w:r>
      <w:r>
        <w:tab/>
      </w:r>
      <w:r w:rsidRPr="00CE35A9">
        <w:rPr>
          <w:u w:val="single"/>
        </w:rPr>
        <w:t>LOCAL GOVERNMENT STAFF COMMISSION FOR NORTHERN IRELAND CONTINUING OPERATIONS BEYOND 2024</w:t>
      </w:r>
    </w:p>
    <w:p w14:paraId="00060A3D" w14:textId="77777777" w:rsidR="00593CC5" w:rsidRDefault="00593CC5" w:rsidP="00593CC5">
      <w:pPr>
        <w:rPr>
          <w:rFonts w:cs="Arial"/>
          <w:bCs/>
          <w:caps/>
          <w:szCs w:val="24"/>
        </w:rPr>
      </w:pPr>
    </w:p>
    <w:p w14:paraId="02C36C61" w14:textId="070CCE19" w:rsidR="00593CC5" w:rsidRDefault="00593CC5" w:rsidP="000C1617">
      <w:pPr>
        <w:pStyle w:val="Default"/>
      </w:pPr>
      <w:r w:rsidRPr="00343303">
        <w:rPr>
          <w:bCs/>
          <w:caps/>
        </w:rPr>
        <w:t>Previously circulated:-</w:t>
      </w:r>
      <w:r w:rsidRPr="00343303">
        <w:rPr>
          <w:bCs/>
        </w:rPr>
        <w:t xml:space="preserve"> Report from the </w:t>
      </w:r>
      <w:r w:rsidRPr="00343303">
        <w:t xml:space="preserve">Director of  Corporate Services </w:t>
      </w:r>
      <w:r w:rsidR="001D7394">
        <w:t xml:space="preserve">which advised that a letter had been received from the Local Government Staff Commission for Northern Ireland in relation to their continuing operations beyond 2024.  The letter indicated that Department of Communities had advised the Commission that their operations were to be extended to March 2027.  The Commission had advised that once the schedule detailing the Estimated Penny Rate Product for Rates Support Grant for the incoming financial year was forwarded by the Department for Communities that they would advise Ards and North Down Borough Council of the Councils apportioned contribution for the financial year 2024/2025. </w:t>
      </w:r>
    </w:p>
    <w:p w14:paraId="1E216AC8" w14:textId="77777777" w:rsidR="00593CC5" w:rsidRDefault="00593CC5" w:rsidP="00593CC5">
      <w:pPr>
        <w:rPr>
          <w:rFonts w:cs="Arial"/>
          <w:szCs w:val="24"/>
        </w:rPr>
      </w:pPr>
    </w:p>
    <w:p w14:paraId="3187CD81" w14:textId="50387956" w:rsidR="001D7394" w:rsidRDefault="001D7394" w:rsidP="001D7394">
      <w:pPr>
        <w:rPr>
          <w:rFonts w:eastAsia="Times New Roman"/>
        </w:rPr>
      </w:pPr>
      <w:r>
        <w:t>RECOMMENDED that Council notes the letter.</w:t>
      </w:r>
    </w:p>
    <w:p w14:paraId="3AA7604E" w14:textId="77777777" w:rsidR="00593CC5" w:rsidRDefault="00593CC5" w:rsidP="00593CC5">
      <w:pPr>
        <w:rPr>
          <w:rFonts w:cs="Arial"/>
          <w:szCs w:val="24"/>
        </w:rPr>
      </w:pPr>
    </w:p>
    <w:p w14:paraId="42267411" w14:textId="056B1286" w:rsidR="00593CC5" w:rsidRDefault="002A5080" w:rsidP="00593CC5">
      <w:pPr>
        <w:pStyle w:val="Normal0"/>
        <w:rPr>
          <w:rFonts w:cs="Arial"/>
          <w:sz w:val="24"/>
          <w:szCs w:val="24"/>
        </w:rPr>
      </w:pPr>
      <w:r>
        <w:rPr>
          <w:rFonts w:cs="Arial"/>
          <w:sz w:val="24"/>
          <w:szCs w:val="24"/>
        </w:rPr>
        <w:t>Alderman Graham</w:t>
      </w:r>
      <w:r w:rsidR="00593CC5">
        <w:rPr>
          <w:rFonts w:cs="Arial"/>
          <w:sz w:val="24"/>
          <w:szCs w:val="24"/>
        </w:rPr>
        <w:t xml:space="preserve"> proposed, seconded by </w:t>
      </w:r>
      <w:r>
        <w:rPr>
          <w:rFonts w:cs="Arial"/>
          <w:sz w:val="24"/>
          <w:szCs w:val="24"/>
        </w:rPr>
        <w:t>Councillor Gilmour</w:t>
      </w:r>
      <w:r w:rsidR="00593CC5">
        <w:rPr>
          <w:rFonts w:cs="Arial"/>
          <w:sz w:val="24"/>
          <w:szCs w:val="24"/>
        </w:rPr>
        <w:t>, that the recommendation be adopted.</w:t>
      </w:r>
    </w:p>
    <w:p w14:paraId="52502AAB" w14:textId="77777777" w:rsidR="002A5080" w:rsidRDefault="002A5080" w:rsidP="00593CC5">
      <w:pPr>
        <w:pStyle w:val="Normal0"/>
        <w:rPr>
          <w:rFonts w:cs="Arial"/>
          <w:sz w:val="24"/>
          <w:szCs w:val="24"/>
        </w:rPr>
      </w:pPr>
    </w:p>
    <w:p w14:paraId="583F97F3" w14:textId="114B50E1" w:rsidR="00593CC5" w:rsidRDefault="002A5080" w:rsidP="00593CC5">
      <w:pPr>
        <w:pStyle w:val="Normal0"/>
        <w:rPr>
          <w:rFonts w:cs="Arial"/>
          <w:sz w:val="24"/>
          <w:szCs w:val="24"/>
        </w:rPr>
      </w:pPr>
      <w:r>
        <w:rPr>
          <w:rFonts w:cs="Arial"/>
          <w:sz w:val="24"/>
          <w:szCs w:val="24"/>
        </w:rPr>
        <w:t xml:space="preserve">Councillor Gilmour had in the past questioned why the Council had paid into the service but after having engaged with the services in recent times, now understood their purpose and asked if payments were an obligation. The Head of Finance explained that it had been intended for the Commission to be wound up at re-organisation but this had failed to happen and though not a priority, Council had an obligation to pay. </w:t>
      </w:r>
    </w:p>
    <w:p w14:paraId="1AB53513" w14:textId="77777777" w:rsidR="00593CC5" w:rsidRDefault="00593CC5" w:rsidP="00593CC5">
      <w:pPr>
        <w:pStyle w:val="Normal0"/>
        <w:rPr>
          <w:rFonts w:cs="Arial"/>
          <w:sz w:val="24"/>
          <w:szCs w:val="24"/>
        </w:rPr>
      </w:pPr>
    </w:p>
    <w:p w14:paraId="34C1CDAE" w14:textId="22684BA0" w:rsidR="00593CC5" w:rsidRPr="005E7457" w:rsidRDefault="00593CC5" w:rsidP="00593CC5">
      <w:pPr>
        <w:rPr>
          <w:rFonts w:eastAsia="Times New Roman"/>
          <w:szCs w:val="20"/>
        </w:rPr>
      </w:pPr>
      <w:r w:rsidRPr="007F0DD5">
        <w:rPr>
          <w:b/>
          <w:bCs/>
        </w:rPr>
        <w:t>AGREED TO RECOMMEND, on the proposal of</w:t>
      </w:r>
      <w:r>
        <w:rPr>
          <w:b/>
          <w:bCs/>
        </w:rPr>
        <w:t xml:space="preserve"> </w:t>
      </w:r>
      <w:r w:rsidR="002A5080">
        <w:rPr>
          <w:b/>
          <w:bCs/>
        </w:rPr>
        <w:t>Alderman Graham</w:t>
      </w:r>
      <w:r w:rsidRPr="007F0DD5">
        <w:rPr>
          <w:b/>
          <w:bCs/>
        </w:rPr>
        <w:t>, seconded</w:t>
      </w:r>
      <w:r>
        <w:rPr>
          <w:b/>
          <w:bCs/>
        </w:rPr>
        <w:t xml:space="preserve"> by Councillor</w:t>
      </w:r>
      <w:r w:rsidR="002A5080">
        <w:rPr>
          <w:b/>
          <w:bCs/>
        </w:rPr>
        <w:t xml:space="preserve"> Gilmour</w:t>
      </w:r>
      <w:r w:rsidRPr="007F0DD5">
        <w:rPr>
          <w:b/>
          <w:bCs/>
        </w:rPr>
        <w:t xml:space="preserve">, that </w:t>
      </w:r>
      <w:r>
        <w:rPr>
          <w:b/>
          <w:bCs/>
        </w:rPr>
        <w:t>the recommendation be adopted.</w:t>
      </w:r>
    </w:p>
    <w:p w14:paraId="3741F1F3" w14:textId="77777777" w:rsidR="00B85381" w:rsidRDefault="00B85381" w:rsidP="006113F2">
      <w:pPr>
        <w:contextualSpacing/>
        <w:rPr>
          <w:rFonts w:cs="Arial"/>
          <w:b/>
          <w:bCs/>
          <w:caps/>
          <w:sz w:val="28"/>
          <w:szCs w:val="28"/>
          <w:u w:val="single"/>
        </w:rPr>
      </w:pPr>
    </w:p>
    <w:p w14:paraId="28B07BF2" w14:textId="528D69AD" w:rsidR="00593CC5" w:rsidRDefault="00593CC5" w:rsidP="00CE35A9">
      <w:pPr>
        <w:pStyle w:val="Heading1"/>
      </w:pPr>
      <w:r>
        <w:t>11.</w:t>
      </w:r>
      <w:r>
        <w:tab/>
      </w:r>
      <w:r w:rsidRPr="00CE35A9">
        <w:rPr>
          <w:u w:val="single"/>
        </w:rPr>
        <w:t>CHARTER PLUS AWARD FOR MEMBER DEVELOPMENT</w:t>
      </w:r>
    </w:p>
    <w:p w14:paraId="158FCCE8" w14:textId="77777777" w:rsidR="00593CC5" w:rsidRDefault="00593CC5" w:rsidP="00593CC5">
      <w:pPr>
        <w:contextualSpacing/>
        <w:rPr>
          <w:rFonts w:cs="Arial"/>
          <w:b/>
          <w:bCs/>
          <w:sz w:val="28"/>
          <w:szCs w:val="28"/>
          <w:u w:val="single"/>
        </w:rPr>
      </w:pPr>
    </w:p>
    <w:p w14:paraId="4545DAB0" w14:textId="6B3AEAB4" w:rsidR="001D7394" w:rsidRDefault="00593CC5" w:rsidP="001D7394">
      <w:pPr>
        <w:rPr>
          <w:rFonts w:eastAsia="Times New Roman" w:cs="Arial"/>
          <w:szCs w:val="24"/>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 xml:space="preserve">Director of  Corporate Services </w:t>
      </w:r>
      <w:r w:rsidR="001D7394">
        <w:rPr>
          <w:rFonts w:cs="Arial"/>
          <w:szCs w:val="24"/>
        </w:rPr>
        <w:t xml:space="preserve">which explained that, on 29 January 2024, NILGA assessed the Council under the Charter Plus Framework (attached) for Member Development. Over 30 councillors and officers were interviewed as part of the day long assessment process, which was successful. </w:t>
      </w:r>
    </w:p>
    <w:p w14:paraId="23E364BC" w14:textId="77777777" w:rsidR="001D7394" w:rsidRDefault="001D7394" w:rsidP="001D7394">
      <w:pPr>
        <w:rPr>
          <w:rFonts w:cs="Arial"/>
          <w:szCs w:val="24"/>
        </w:rPr>
      </w:pPr>
    </w:p>
    <w:p w14:paraId="659C4F1F" w14:textId="2A45A054" w:rsidR="001D7394" w:rsidRDefault="001D7394" w:rsidP="001D7394">
      <w:pPr>
        <w:rPr>
          <w:rFonts w:cs="Arial"/>
          <w:noProof/>
          <w:szCs w:val="24"/>
        </w:rPr>
      </w:pPr>
      <w:r>
        <w:rPr>
          <w:rFonts w:cs="Arial"/>
          <w:szCs w:val="24"/>
        </w:rPr>
        <w:t>The Charter Framework helped councils to support councillor development and recognised those that had built an effective approach. T</w:t>
      </w:r>
      <w:r>
        <w:rPr>
          <w:rFonts w:cs="Arial"/>
          <w:noProof/>
          <w:szCs w:val="24"/>
        </w:rPr>
        <w:t>he Elected Member Development Steering Group led the work involved and provide</w:t>
      </w:r>
      <w:r w:rsidR="00B57F9B">
        <w:rPr>
          <w:rFonts w:cs="Arial"/>
          <w:noProof/>
          <w:szCs w:val="24"/>
        </w:rPr>
        <w:t>d</w:t>
      </w:r>
      <w:r>
        <w:rPr>
          <w:rFonts w:cs="Arial"/>
          <w:noProof/>
          <w:szCs w:val="24"/>
        </w:rPr>
        <w:t xml:space="preserve"> a comprehensive menu of development opportunities across a 4 year period after each election. </w:t>
      </w:r>
    </w:p>
    <w:p w14:paraId="38943566" w14:textId="77777777" w:rsidR="001D7394" w:rsidRDefault="001D7394" w:rsidP="001D7394">
      <w:pPr>
        <w:rPr>
          <w:rFonts w:cs="Arial"/>
          <w:noProof/>
          <w:szCs w:val="24"/>
        </w:rPr>
      </w:pPr>
    </w:p>
    <w:p w14:paraId="2AD4C592" w14:textId="02BE4EDF" w:rsidR="00593CC5" w:rsidRPr="00B57F9B" w:rsidRDefault="00B57F9B" w:rsidP="00B57F9B">
      <w:pPr>
        <w:spacing w:after="200" w:line="276" w:lineRule="auto"/>
        <w:rPr>
          <w:rFonts w:eastAsiaTheme="minorHAnsi" w:cs="Arial"/>
          <w:bCs/>
          <w:szCs w:val="24"/>
        </w:rPr>
      </w:pPr>
      <w:r>
        <w:rPr>
          <w:bCs/>
        </w:rPr>
        <w:t xml:space="preserve">RECOMMENDED </w:t>
      </w:r>
      <w:r w:rsidR="001D7394">
        <w:rPr>
          <w:rFonts w:eastAsiaTheme="minorHAnsi" w:cs="Arial"/>
          <w:bCs/>
          <w:szCs w:val="24"/>
        </w:rPr>
        <w:t>that Council note the information contained in this report.</w:t>
      </w:r>
    </w:p>
    <w:p w14:paraId="3FAC3746" w14:textId="45E2196F" w:rsidR="00593CC5" w:rsidRDefault="00257CE1" w:rsidP="00593CC5">
      <w:pPr>
        <w:pStyle w:val="Normal0"/>
        <w:rPr>
          <w:rFonts w:cs="Arial"/>
          <w:sz w:val="24"/>
          <w:szCs w:val="24"/>
        </w:rPr>
      </w:pPr>
      <w:r>
        <w:rPr>
          <w:rFonts w:cs="Arial"/>
          <w:sz w:val="24"/>
          <w:szCs w:val="24"/>
        </w:rPr>
        <w:t>Alderman Graham</w:t>
      </w:r>
      <w:r w:rsidR="00593CC5">
        <w:rPr>
          <w:rFonts w:cs="Arial"/>
          <w:sz w:val="24"/>
          <w:szCs w:val="24"/>
        </w:rPr>
        <w:t xml:space="preserve"> proposed, seconded by </w:t>
      </w:r>
      <w:r>
        <w:rPr>
          <w:rFonts w:cs="Arial"/>
          <w:sz w:val="24"/>
          <w:szCs w:val="24"/>
        </w:rPr>
        <w:t>Alderman McAlpine</w:t>
      </w:r>
      <w:r w:rsidR="00593CC5">
        <w:rPr>
          <w:rFonts w:cs="Arial"/>
          <w:sz w:val="24"/>
          <w:szCs w:val="24"/>
        </w:rPr>
        <w:t>, that the recommendation be adopted.</w:t>
      </w:r>
    </w:p>
    <w:p w14:paraId="44FE2305" w14:textId="77777777" w:rsidR="00257CE1" w:rsidRDefault="00257CE1" w:rsidP="00593CC5">
      <w:pPr>
        <w:pStyle w:val="Normal0"/>
        <w:rPr>
          <w:rFonts w:cs="Arial"/>
          <w:sz w:val="24"/>
          <w:szCs w:val="24"/>
        </w:rPr>
      </w:pPr>
    </w:p>
    <w:p w14:paraId="4CD14BF9" w14:textId="3CBB0204" w:rsidR="00593CC5" w:rsidRDefault="00257CE1" w:rsidP="00593CC5">
      <w:pPr>
        <w:pStyle w:val="Normal0"/>
        <w:rPr>
          <w:rFonts w:cs="Arial"/>
          <w:sz w:val="24"/>
          <w:szCs w:val="24"/>
        </w:rPr>
      </w:pPr>
      <w:r>
        <w:rPr>
          <w:rFonts w:cs="Arial"/>
          <w:sz w:val="24"/>
          <w:szCs w:val="24"/>
        </w:rPr>
        <w:t>Alderman Graham found the assessment encouraging and wished to thank the enthusiasm of Samantha</w:t>
      </w:r>
      <w:r w:rsidR="00C415A6">
        <w:rPr>
          <w:rFonts w:cs="Arial"/>
          <w:sz w:val="24"/>
          <w:szCs w:val="24"/>
        </w:rPr>
        <w:t xml:space="preserve"> Rea</w:t>
      </w:r>
      <w:r>
        <w:rPr>
          <w:rFonts w:cs="Arial"/>
          <w:sz w:val="24"/>
          <w:szCs w:val="24"/>
        </w:rPr>
        <w:t xml:space="preserve"> who had been a driving force throughout the process. </w:t>
      </w:r>
    </w:p>
    <w:p w14:paraId="145C7D9B" w14:textId="77777777" w:rsidR="00593CC5" w:rsidRDefault="00593CC5" w:rsidP="00593CC5">
      <w:pPr>
        <w:pStyle w:val="Normal0"/>
        <w:rPr>
          <w:rFonts w:cs="Arial"/>
          <w:sz w:val="24"/>
          <w:szCs w:val="24"/>
        </w:rPr>
      </w:pPr>
    </w:p>
    <w:p w14:paraId="3B4B573C" w14:textId="750CA3B4" w:rsidR="00593CC5" w:rsidRDefault="00593CC5" w:rsidP="00593CC5">
      <w:pPr>
        <w:rPr>
          <w:b/>
          <w:bCs/>
        </w:rPr>
      </w:pPr>
      <w:r w:rsidRPr="007F0DD5">
        <w:rPr>
          <w:b/>
          <w:bCs/>
        </w:rPr>
        <w:t>AGREED TO RECOMMEND, on the proposal of</w:t>
      </w:r>
      <w:r>
        <w:rPr>
          <w:b/>
          <w:bCs/>
        </w:rPr>
        <w:t xml:space="preserve"> </w:t>
      </w:r>
      <w:r w:rsidR="00257CE1">
        <w:rPr>
          <w:b/>
          <w:bCs/>
        </w:rPr>
        <w:t>Alderman Graham</w:t>
      </w:r>
      <w:r w:rsidRPr="007F0DD5">
        <w:rPr>
          <w:b/>
          <w:bCs/>
        </w:rPr>
        <w:t>, seconded</w:t>
      </w:r>
      <w:r>
        <w:rPr>
          <w:b/>
          <w:bCs/>
        </w:rPr>
        <w:t xml:space="preserve"> by </w:t>
      </w:r>
      <w:r w:rsidR="00257CE1">
        <w:rPr>
          <w:b/>
          <w:bCs/>
        </w:rPr>
        <w:t>Alderman McAlpine</w:t>
      </w:r>
      <w:r w:rsidRPr="007F0DD5">
        <w:rPr>
          <w:b/>
          <w:bCs/>
        </w:rPr>
        <w:t xml:space="preserve">, that </w:t>
      </w:r>
      <w:r>
        <w:rPr>
          <w:b/>
          <w:bCs/>
        </w:rPr>
        <w:t>the recommendation be adopted.</w:t>
      </w:r>
    </w:p>
    <w:p w14:paraId="4A75EA76" w14:textId="77777777" w:rsidR="00593CC5" w:rsidRDefault="00593CC5" w:rsidP="006113F2">
      <w:pPr>
        <w:contextualSpacing/>
        <w:rPr>
          <w:rFonts w:cs="Arial"/>
          <w:b/>
          <w:bCs/>
          <w:caps/>
          <w:sz w:val="28"/>
          <w:szCs w:val="28"/>
          <w:u w:val="single"/>
        </w:rPr>
      </w:pPr>
    </w:p>
    <w:p w14:paraId="342E24C5" w14:textId="3EB01E2C" w:rsidR="00593CC5" w:rsidRPr="00CE35A9" w:rsidRDefault="00593CC5" w:rsidP="00CE35A9">
      <w:pPr>
        <w:pStyle w:val="Heading1"/>
        <w:rPr>
          <w:u w:val="single"/>
        </w:rPr>
      </w:pPr>
      <w:r>
        <w:t>12.</w:t>
      </w:r>
      <w:r>
        <w:tab/>
      </w:r>
      <w:r w:rsidRPr="00CE35A9">
        <w:rPr>
          <w:u w:val="single"/>
        </w:rPr>
        <w:t>RESIDENTS SURVEY</w:t>
      </w:r>
    </w:p>
    <w:p w14:paraId="69456EFC" w14:textId="6F9C2C8C" w:rsidR="00593CC5" w:rsidRPr="00B57F9B" w:rsidRDefault="00B57F9B" w:rsidP="00593CC5">
      <w:pPr>
        <w:contextualSpacing/>
        <w:rPr>
          <w:rFonts w:cs="Arial"/>
          <w:sz w:val="28"/>
          <w:szCs w:val="28"/>
        </w:rPr>
      </w:pPr>
      <w:r>
        <w:rPr>
          <w:rFonts w:cs="Arial"/>
          <w:b/>
          <w:bCs/>
          <w:sz w:val="28"/>
          <w:szCs w:val="28"/>
        </w:rPr>
        <w:tab/>
      </w:r>
      <w:r>
        <w:rPr>
          <w:rFonts w:cs="Arial"/>
          <w:sz w:val="28"/>
          <w:szCs w:val="28"/>
        </w:rPr>
        <w:t>(REF: CJ/2024RS)</w:t>
      </w:r>
    </w:p>
    <w:p w14:paraId="27BF9616" w14:textId="77777777" w:rsidR="00593CC5" w:rsidRDefault="00593CC5" w:rsidP="00593CC5">
      <w:pPr>
        <w:rPr>
          <w:rFonts w:cs="Arial"/>
          <w:bCs/>
          <w:caps/>
          <w:szCs w:val="24"/>
        </w:rPr>
      </w:pPr>
    </w:p>
    <w:p w14:paraId="57D3F9A4" w14:textId="0588EC1B" w:rsidR="00B57F9B" w:rsidRDefault="00593CC5" w:rsidP="001C4514">
      <w:pPr>
        <w:rPr>
          <w:rFonts w:eastAsia="Times New Roman"/>
        </w:rPr>
      </w:pPr>
      <w:r w:rsidRPr="00343303">
        <w:rPr>
          <w:rFonts w:cs="Arial"/>
          <w:bCs/>
          <w:caps/>
          <w:szCs w:val="24"/>
        </w:rPr>
        <w:t>Previously circulated:-</w:t>
      </w:r>
      <w:r w:rsidRPr="00343303">
        <w:rPr>
          <w:rFonts w:cs="Arial"/>
          <w:bCs/>
          <w:szCs w:val="24"/>
        </w:rPr>
        <w:t xml:space="preserve"> Report from the </w:t>
      </w:r>
      <w:r w:rsidR="00D9646B">
        <w:rPr>
          <w:rFonts w:cs="Arial"/>
          <w:bCs/>
          <w:szCs w:val="24"/>
        </w:rPr>
        <w:t xml:space="preserve">Chief Executive’s Office </w:t>
      </w:r>
      <w:r w:rsidR="00B57F9B">
        <w:rPr>
          <w:rFonts w:cs="Arial"/>
          <w:szCs w:val="24"/>
        </w:rPr>
        <w:t>which explained that Council</w:t>
      </w:r>
      <w:r w:rsidR="00B57F9B">
        <w:t xml:space="preserve"> had committed to undertaking a formal survey of residents every two years to gain an insight into satisfaction levels with the organisation and the services delivered.  The information gathered was shared across all service areas and used to inform a number of performance improvement measures including our annual service plans, performance improvement plan and financial statements.     </w:t>
      </w:r>
    </w:p>
    <w:p w14:paraId="7A1CEC4E" w14:textId="77777777" w:rsidR="00B57F9B" w:rsidRDefault="00B57F9B" w:rsidP="001C4514"/>
    <w:p w14:paraId="42A26379" w14:textId="77777777" w:rsidR="00B57F9B" w:rsidRDefault="00B57F9B" w:rsidP="001C4514">
      <w:pPr>
        <w:rPr>
          <w:rFonts w:eastAsiaTheme="minorHAnsi" w:cs="Arial"/>
          <w:szCs w:val="24"/>
        </w:rPr>
      </w:pPr>
      <w:r>
        <w:t>A procurement exercise was undertaken to secure a market research company to deliver a survey that would</w:t>
      </w:r>
      <w:r>
        <w:rPr>
          <w:rFonts w:eastAsiaTheme="minorHAnsi" w:cs="Arial"/>
          <w:szCs w:val="24"/>
        </w:rPr>
        <w:t xml:space="preserve"> provide:</w:t>
      </w:r>
    </w:p>
    <w:p w14:paraId="6ACEEB9A" w14:textId="77777777" w:rsidR="00B57F9B" w:rsidRDefault="00B57F9B" w:rsidP="001C4514">
      <w:pPr>
        <w:rPr>
          <w:rFonts w:eastAsia="Times New Roman"/>
          <w:szCs w:val="20"/>
        </w:rPr>
      </w:pPr>
    </w:p>
    <w:p w14:paraId="1F315A33" w14:textId="2B830A3E" w:rsidR="00B57F9B" w:rsidRDefault="00B57F9B" w:rsidP="00A94D55">
      <w:r>
        <w:t>an insight into how the Council is perceived by the community it serves</w:t>
      </w:r>
    </w:p>
    <w:p w14:paraId="435E15B1" w14:textId="1A910D52" w:rsidR="00B57F9B" w:rsidRDefault="00B57F9B" w:rsidP="00A94D55">
      <w:r>
        <w:t>satisfaction with the local area</w:t>
      </w:r>
    </w:p>
    <w:p w14:paraId="0B7305DD" w14:textId="4F4BF3D4" w:rsidR="00B57F9B" w:rsidRDefault="00B57F9B" w:rsidP="00A94D55">
      <w:pPr>
        <w:rPr>
          <w:rFonts w:ascii="ArialMT" w:hAnsi="ArialMT" w:cs="ArialMT"/>
        </w:rPr>
      </w:pPr>
      <w:r>
        <w:rPr>
          <w:rFonts w:ascii="ArialMT" w:hAnsi="ArialMT" w:cs="ArialMT"/>
        </w:rPr>
        <w:t>satisfaction with ‘key’ Council services</w:t>
      </w:r>
    </w:p>
    <w:p w14:paraId="56B4AB9A" w14:textId="3F244E99" w:rsidR="00B57F9B" w:rsidRDefault="00B57F9B" w:rsidP="00A94D55">
      <w:r>
        <w:t>the responsiveness of the Council</w:t>
      </w:r>
    </w:p>
    <w:p w14:paraId="6C281540" w14:textId="582DFBE2" w:rsidR="00B57F9B" w:rsidRDefault="00B57F9B" w:rsidP="00A94D55">
      <w:r>
        <w:t>how informed residents feel</w:t>
      </w:r>
    </w:p>
    <w:p w14:paraId="58C41E14" w14:textId="5D498265" w:rsidR="00B57F9B" w:rsidRDefault="00B57F9B" w:rsidP="00A94D55">
      <w:r>
        <w:t>their perception of the value for money the Council provides.</w:t>
      </w:r>
    </w:p>
    <w:p w14:paraId="76C2B968" w14:textId="77777777" w:rsidR="00B57F9B" w:rsidRDefault="00B57F9B" w:rsidP="001C4514"/>
    <w:p w14:paraId="274FCA50" w14:textId="77777777" w:rsidR="00B57F9B" w:rsidRDefault="00B57F9B" w:rsidP="001C4514">
      <w:pPr>
        <w:rPr>
          <w:rFonts w:eastAsia="Times New Roman"/>
          <w:szCs w:val="20"/>
        </w:rPr>
      </w:pPr>
      <w:r>
        <w:t>Social Market Research Ltd (SMR) was successful in the procurement exercise and commissioned to undertake the survey.  The research was conducted in line with ISO20252 of which Social Market Research (SMR) is fully accredited.</w:t>
      </w:r>
    </w:p>
    <w:p w14:paraId="3B111888" w14:textId="77777777" w:rsidR="00B57F9B" w:rsidRDefault="00B57F9B" w:rsidP="001C4514"/>
    <w:p w14:paraId="19E6FF76" w14:textId="05F80333" w:rsidR="00B57F9B" w:rsidRDefault="00B57F9B" w:rsidP="001C4514">
      <w:r>
        <w:t>The survey was based on a representative sample of 1,004 residents aged 16+, with quotas applied for age, gender, social class and location within the Borough.</w:t>
      </w:r>
    </w:p>
    <w:p w14:paraId="4DE3147A" w14:textId="77777777" w:rsidR="00B57F9B" w:rsidRDefault="00B57F9B" w:rsidP="001C4514"/>
    <w:p w14:paraId="1B957885" w14:textId="77777777" w:rsidR="00B57F9B" w:rsidRDefault="00B57F9B" w:rsidP="001C4514">
      <w:r>
        <w:t xml:space="preserve">The survey was conducted using Computer Assisted Telephone Interviewing (CATI).  </w:t>
      </w:r>
    </w:p>
    <w:p w14:paraId="503D44E2" w14:textId="77777777" w:rsidR="00B57F9B" w:rsidRDefault="00B57F9B" w:rsidP="001C4514">
      <w:r>
        <w:t>All interviews were conducted by telephone with interviewers fully briefed before the commencement of fieldwork.</w:t>
      </w:r>
    </w:p>
    <w:p w14:paraId="59885F47" w14:textId="77777777" w:rsidR="00B57F9B" w:rsidRDefault="00B57F9B" w:rsidP="001C4514"/>
    <w:p w14:paraId="5FBC0414" w14:textId="3A2A5B00" w:rsidR="00B57F9B" w:rsidRDefault="00B57F9B" w:rsidP="001C4514">
      <w:r>
        <w:t>A summary of the headline findings is attached in Appendix A</w:t>
      </w:r>
      <w:r w:rsidR="00F07B30">
        <w:t xml:space="preserve"> and the full report in Appendix B</w:t>
      </w:r>
    </w:p>
    <w:p w14:paraId="4AF55293" w14:textId="77777777" w:rsidR="00B57F9B" w:rsidRDefault="00B57F9B" w:rsidP="001C4514"/>
    <w:p w14:paraId="406DAD0A" w14:textId="4960352F" w:rsidR="00B57F9B" w:rsidRDefault="00B57F9B" w:rsidP="001C4514">
      <w:r>
        <w:t xml:space="preserve">It was encouraging to note that residents report a high level of overall satisfaction with the Council – 83%.  The comparative figure for all GB Councils in June 2021 was 60%.  </w:t>
      </w:r>
    </w:p>
    <w:p w14:paraId="4A943817" w14:textId="77777777" w:rsidR="00B57F9B" w:rsidRDefault="00B57F9B" w:rsidP="001C4514"/>
    <w:p w14:paraId="3338B3EE" w14:textId="107819D5" w:rsidR="00B57F9B" w:rsidRDefault="00B57F9B" w:rsidP="001C4514">
      <w:r>
        <w:t xml:space="preserve">The findings had been considered by Corporate Leadership Team and Heads of Service and as referenced previously, would be used to inform a number of our performance improvement publications.   </w:t>
      </w:r>
    </w:p>
    <w:p w14:paraId="215B88AE" w14:textId="77777777" w:rsidR="00B57F9B" w:rsidRDefault="00B57F9B" w:rsidP="001C4514"/>
    <w:p w14:paraId="4EC63182" w14:textId="3F3B5642" w:rsidR="00B57F9B" w:rsidRDefault="00B57F9B" w:rsidP="001C4514">
      <w:r>
        <w:rPr>
          <w:bCs/>
        </w:rPr>
        <w:t xml:space="preserve">RECOMMENDED </w:t>
      </w:r>
      <w:r>
        <w:t xml:space="preserve">that Council notes the results of the 2023 Resident Survey, which will be shared across all service areas and used to inform a number of performance improvement measures including our annual service plans, performance improvement plan and financial statements.     </w:t>
      </w:r>
    </w:p>
    <w:p w14:paraId="2466371F" w14:textId="77777777" w:rsidR="00B57F9B" w:rsidRDefault="00B57F9B" w:rsidP="00B57F9B">
      <w:pPr>
        <w:jc w:val="center"/>
      </w:pPr>
    </w:p>
    <w:p w14:paraId="46E5EE2E" w14:textId="2A197667" w:rsidR="00593CC5" w:rsidRDefault="00257CE1" w:rsidP="00593CC5">
      <w:pPr>
        <w:pStyle w:val="Normal0"/>
        <w:rPr>
          <w:rFonts w:cs="Arial"/>
          <w:sz w:val="24"/>
          <w:szCs w:val="24"/>
        </w:rPr>
      </w:pPr>
      <w:r>
        <w:rPr>
          <w:rFonts w:cs="Arial"/>
          <w:sz w:val="24"/>
          <w:szCs w:val="24"/>
        </w:rPr>
        <w:t>Alderman Smith</w:t>
      </w:r>
      <w:r w:rsidR="00593CC5">
        <w:rPr>
          <w:rFonts w:cs="Arial"/>
          <w:sz w:val="24"/>
          <w:szCs w:val="24"/>
        </w:rPr>
        <w:t xml:space="preserve"> proposed, seconded by </w:t>
      </w:r>
      <w:r>
        <w:rPr>
          <w:rFonts w:cs="Arial"/>
          <w:sz w:val="24"/>
          <w:szCs w:val="24"/>
        </w:rPr>
        <w:t>Councillor McCracken</w:t>
      </w:r>
      <w:r w:rsidR="00593CC5">
        <w:rPr>
          <w:rFonts w:cs="Arial"/>
          <w:sz w:val="24"/>
          <w:szCs w:val="24"/>
        </w:rPr>
        <w:t>, that the recommendation be adopted.</w:t>
      </w:r>
    </w:p>
    <w:p w14:paraId="7DEF32C0" w14:textId="77777777" w:rsidR="00593CC5" w:rsidRDefault="00593CC5" w:rsidP="00593CC5">
      <w:pPr>
        <w:pStyle w:val="Normal0"/>
        <w:rPr>
          <w:rFonts w:cs="Arial"/>
          <w:sz w:val="24"/>
          <w:szCs w:val="24"/>
        </w:rPr>
      </w:pPr>
    </w:p>
    <w:p w14:paraId="2FBBEEB9" w14:textId="28092914" w:rsidR="00E11A96" w:rsidRDefault="00C256A3" w:rsidP="00593CC5">
      <w:pPr>
        <w:pStyle w:val="Normal0"/>
        <w:rPr>
          <w:rFonts w:cs="Arial"/>
          <w:sz w:val="24"/>
          <w:szCs w:val="24"/>
        </w:rPr>
      </w:pPr>
      <w:r>
        <w:rPr>
          <w:rFonts w:cs="Arial"/>
          <w:sz w:val="24"/>
          <w:szCs w:val="24"/>
        </w:rPr>
        <w:t>Alderman Smith found the report positive, noting 8</w:t>
      </w:r>
      <w:r w:rsidR="00DA0F70">
        <w:rPr>
          <w:rFonts w:cs="Arial"/>
          <w:sz w:val="24"/>
          <w:szCs w:val="24"/>
        </w:rPr>
        <w:t>3</w:t>
      </w:r>
      <w:r>
        <w:rPr>
          <w:rFonts w:cs="Arial"/>
          <w:sz w:val="24"/>
          <w:szCs w:val="24"/>
        </w:rPr>
        <w:t xml:space="preserve">% satisfaction compared to the benchmark of 60% with only a 5% dissatisfaction. 97% had </w:t>
      </w:r>
      <w:r w:rsidR="005D6603">
        <w:rPr>
          <w:rFonts w:cs="Arial"/>
          <w:sz w:val="24"/>
          <w:szCs w:val="24"/>
        </w:rPr>
        <w:t xml:space="preserve">used </w:t>
      </w:r>
      <w:r>
        <w:rPr>
          <w:rFonts w:cs="Arial"/>
          <w:sz w:val="24"/>
          <w:szCs w:val="24"/>
        </w:rPr>
        <w:t xml:space="preserve">at least </w:t>
      </w:r>
      <w:r w:rsidR="005D6603">
        <w:rPr>
          <w:rFonts w:cs="Arial"/>
          <w:sz w:val="24"/>
          <w:szCs w:val="24"/>
        </w:rPr>
        <w:t>one Council</w:t>
      </w:r>
      <w:r>
        <w:rPr>
          <w:rFonts w:cs="Arial"/>
          <w:sz w:val="24"/>
          <w:szCs w:val="24"/>
        </w:rPr>
        <w:t xml:space="preserve"> </w:t>
      </w:r>
      <w:r w:rsidR="00975201">
        <w:rPr>
          <w:rFonts w:cs="Arial"/>
          <w:sz w:val="24"/>
          <w:szCs w:val="24"/>
        </w:rPr>
        <w:t>service which</w:t>
      </w:r>
      <w:r>
        <w:rPr>
          <w:rFonts w:cs="Arial"/>
          <w:sz w:val="24"/>
          <w:szCs w:val="24"/>
        </w:rPr>
        <w:t xml:space="preserve"> allowed for an informed opinion. 78% had said that the Council kept them informed whilst 67% believed there was good value for money which, when compared to the 55% benchmark was positive. Unfortunately, there had been a decrease in contributing to recycling which was down from 67% in 2021 to 58%. He hoped that the information gleaned from the survey would allow officers to develop policies. </w:t>
      </w:r>
      <w:r w:rsidR="000C1617">
        <w:rPr>
          <w:rFonts w:cs="Arial"/>
          <w:sz w:val="24"/>
          <w:szCs w:val="24"/>
        </w:rPr>
        <w:t xml:space="preserve">Alderman </w:t>
      </w:r>
      <w:r>
        <w:rPr>
          <w:rFonts w:cs="Arial"/>
          <w:sz w:val="24"/>
          <w:szCs w:val="24"/>
        </w:rPr>
        <w:t xml:space="preserve">Smith noted however that satisfaction rates appeared to be quite different in DEAs with the former North Down area appearing to be more satisfied than the former Newtownards area. </w:t>
      </w:r>
      <w:r w:rsidR="00E11A96">
        <w:rPr>
          <w:rFonts w:cs="Arial"/>
          <w:sz w:val="24"/>
          <w:szCs w:val="24"/>
        </w:rPr>
        <w:t xml:space="preserve">He believed it was possible this may have been attributable to announcements of investments over the past two years that may have led some ratepayers to believe Council acted more favourably to some areas. </w:t>
      </w:r>
    </w:p>
    <w:p w14:paraId="6D7EF43C" w14:textId="77777777" w:rsidR="00E11A96" w:rsidRDefault="00E11A96" w:rsidP="00593CC5">
      <w:pPr>
        <w:pStyle w:val="Normal0"/>
        <w:rPr>
          <w:rFonts w:cs="Arial"/>
          <w:sz w:val="24"/>
          <w:szCs w:val="24"/>
        </w:rPr>
      </w:pPr>
    </w:p>
    <w:p w14:paraId="7298A24D" w14:textId="5C23D654" w:rsidR="00E11A96" w:rsidRDefault="00E11A96" w:rsidP="00593CC5">
      <w:pPr>
        <w:pStyle w:val="Normal0"/>
        <w:rPr>
          <w:rFonts w:cs="Arial"/>
          <w:sz w:val="24"/>
          <w:szCs w:val="24"/>
        </w:rPr>
      </w:pPr>
      <w:r>
        <w:rPr>
          <w:rFonts w:cs="Arial"/>
          <w:sz w:val="24"/>
          <w:szCs w:val="24"/>
        </w:rPr>
        <w:t>Councillor McCracken offered congratulations to the team especially in the increase for value for money opinions from 49% to 69%.</w:t>
      </w:r>
    </w:p>
    <w:p w14:paraId="31164ADC" w14:textId="77777777" w:rsidR="00E11A96" w:rsidRDefault="00E11A96" w:rsidP="00593CC5">
      <w:pPr>
        <w:pStyle w:val="Normal0"/>
        <w:rPr>
          <w:rFonts w:cs="Arial"/>
          <w:sz w:val="24"/>
          <w:szCs w:val="24"/>
        </w:rPr>
      </w:pPr>
    </w:p>
    <w:p w14:paraId="7D83EB2C" w14:textId="2C423A19" w:rsidR="00E11A96" w:rsidRDefault="00E11A96" w:rsidP="00593CC5">
      <w:pPr>
        <w:pStyle w:val="Normal0"/>
        <w:rPr>
          <w:rFonts w:cs="Arial"/>
          <w:sz w:val="24"/>
          <w:szCs w:val="24"/>
        </w:rPr>
      </w:pPr>
      <w:r>
        <w:rPr>
          <w:rFonts w:cs="Arial"/>
          <w:sz w:val="24"/>
          <w:szCs w:val="24"/>
        </w:rPr>
        <w:t xml:space="preserve">Councillor W Irvine </w:t>
      </w:r>
      <w:r w:rsidR="00553008">
        <w:rPr>
          <w:rFonts w:cs="Arial"/>
          <w:sz w:val="24"/>
          <w:szCs w:val="24"/>
        </w:rPr>
        <w:t>agreed with his colleagues and hoped the information on the HRC booking system would be passed onto the Environment team.</w:t>
      </w:r>
    </w:p>
    <w:p w14:paraId="4E0F7A25" w14:textId="77777777" w:rsidR="00553008" w:rsidRDefault="00553008" w:rsidP="00593CC5">
      <w:pPr>
        <w:pStyle w:val="Normal0"/>
        <w:rPr>
          <w:rFonts w:cs="Arial"/>
          <w:sz w:val="24"/>
          <w:szCs w:val="24"/>
        </w:rPr>
      </w:pPr>
    </w:p>
    <w:p w14:paraId="67FD4256" w14:textId="5A1326B5" w:rsidR="00553008" w:rsidRDefault="00553008" w:rsidP="00593CC5">
      <w:pPr>
        <w:pStyle w:val="Normal0"/>
        <w:rPr>
          <w:rFonts w:cs="Arial"/>
          <w:sz w:val="24"/>
          <w:szCs w:val="24"/>
        </w:rPr>
      </w:pPr>
      <w:r>
        <w:rPr>
          <w:rFonts w:cs="Arial"/>
          <w:sz w:val="24"/>
          <w:szCs w:val="24"/>
        </w:rPr>
        <w:t xml:space="preserve">Councillor Gilmour thought the feedback was useful for shaping future agendas whilst also pointing towards areas that needed to be targeted and also noted the difference in satisfaction by DEA areas, as did Councillor Moore. </w:t>
      </w:r>
    </w:p>
    <w:p w14:paraId="20A9E1E1" w14:textId="77777777" w:rsidR="00553008" w:rsidRDefault="00553008" w:rsidP="00593CC5">
      <w:pPr>
        <w:pStyle w:val="Normal0"/>
        <w:rPr>
          <w:rFonts w:cs="Arial"/>
          <w:sz w:val="24"/>
          <w:szCs w:val="24"/>
        </w:rPr>
      </w:pPr>
    </w:p>
    <w:p w14:paraId="528E46E5" w14:textId="6B72BF72" w:rsidR="00553008" w:rsidRDefault="00553008" w:rsidP="00593CC5">
      <w:pPr>
        <w:pStyle w:val="Normal0"/>
        <w:rPr>
          <w:rFonts w:cs="Arial"/>
          <w:sz w:val="24"/>
          <w:szCs w:val="24"/>
        </w:rPr>
      </w:pPr>
      <w:r>
        <w:rPr>
          <w:rFonts w:cs="Arial"/>
          <w:sz w:val="24"/>
          <w:szCs w:val="24"/>
        </w:rPr>
        <w:t xml:space="preserve">Alderman McIlveen reminded Members that Comber was once an area that was considered as significantly dissatisfied with issues such as dog fouling and flags. There was perhaps an underlying current of seeing millions of pounds of investment in Bangor as opposed to Newtownards but likely, such undercurrent was fuelled by social media and newspapers. The survey provided </w:t>
      </w:r>
      <w:r w:rsidR="00014C37">
        <w:rPr>
          <w:rFonts w:cs="Arial"/>
          <w:sz w:val="24"/>
          <w:szCs w:val="24"/>
        </w:rPr>
        <w:t xml:space="preserve">some </w:t>
      </w:r>
      <w:r>
        <w:rPr>
          <w:rFonts w:cs="Arial"/>
          <w:sz w:val="24"/>
          <w:szCs w:val="24"/>
        </w:rPr>
        <w:t>evidence of disparity which would require investigating.</w:t>
      </w:r>
    </w:p>
    <w:p w14:paraId="07D01C30" w14:textId="77777777" w:rsidR="00553008" w:rsidRDefault="00553008" w:rsidP="00593CC5">
      <w:pPr>
        <w:pStyle w:val="Normal0"/>
        <w:rPr>
          <w:rFonts w:cs="Arial"/>
          <w:sz w:val="24"/>
          <w:szCs w:val="24"/>
        </w:rPr>
      </w:pPr>
    </w:p>
    <w:p w14:paraId="44F5BC7C" w14:textId="1B967D13" w:rsidR="009209BE" w:rsidRPr="00663A2C" w:rsidRDefault="00553008" w:rsidP="009209BE">
      <w:pPr>
        <w:pStyle w:val="Normal0"/>
        <w:rPr>
          <w:rFonts w:cs="Arial"/>
          <w:sz w:val="24"/>
          <w:szCs w:val="24"/>
        </w:rPr>
      </w:pPr>
      <w:r w:rsidRPr="12C62AE4">
        <w:rPr>
          <w:rFonts w:cs="Arial"/>
          <w:sz w:val="24"/>
          <w:szCs w:val="24"/>
        </w:rPr>
        <w:t xml:space="preserve">Councillor Cochrane queried if the sample size could be increased </w:t>
      </w:r>
      <w:r w:rsidR="009209BE" w:rsidRPr="12C62AE4">
        <w:rPr>
          <w:rFonts w:cs="Arial"/>
          <w:sz w:val="24"/>
          <w:szCs w:val="24"/>
        </w:rPr>
        <w:t xml:space="preserve">given that it was less than 1% of the total population and the frustrations some ratepayers may have with not being involved. The Head of </w:t>
      </w:r>
      <w:r w:rsidR="001F1176">
        <w:rPr>
          <w:rFonts w:cs="Arial"/>
          <w:sz w:val="24"/>
          <w:szCs w:val="24"/>
        </w:rPr>
        <w:t xml:space="preserve">Communications and </w:t>
      </w:r>
      <w:r w:rsidR="00975201">
        <w:rPr>
          <w:rFonts w:cs="Arial"/>
          <w:sz w:val="24"/>
          <w:szCs w:val="24"/>
        </w:rPr>
        <w:t xml:space="preserve">Marketing </w:t>
      </w:r>
      <w:r w:rsidR="00975201" w:rsidRPr="12C62AE4">
        <w:rPr>
          <w:rFonts w:cs="Arial"/>
          <w:sz w:val="24"/>
          <w:szCs w:val="24"/>
        </w:rPr>
        <w:t>advised</w:t>
      </w:r>
      <w:r w:rsidR="009209BE" w:rsidRPr="12C62AE4">
        <w:rPr>
          <w:rFonts w:cs="Arial"/>
          <w:sz w:val="24"/>
          <w:szCs w:val="24"/>
        </w:rPr>
        <w:t xml:space="preserve"> that each survey interview took between twenty to thirty minutes</w:t>
      </w:r>
      <w:r w:rsidR="008F6C1F">
        <w:rPr>
          <w:rFonts w:cs="Arial"/>
          <w:sz w:val="24"/>
          <w:szCs w:val="24"/>
        </w:rPr>
        <w:t>, which was resource intensive</w:t>
      </w:r>
      <w:r w:rsidR="00AD4466">
        <w:rPr>
          <w:rFonts w:cs="Arial"/>
          <w:sz w:val="24"/>
          <w:szCs w:val="24"/>
        </w:rPr>
        <w:t>,</w:t>
      </w:r>
      <w:r w:rsidR="008F6C1F">
        <w:rPr>
          <w:rFonts w:cs="Arial"/>
          <w:sz w:val="24"/>
          <w:szCs w:val="24"/>
        </w:rPr>
        <w:t xml:space="preserve"> making the exercise expensive for Council to undertake.</w:t>
      </w:r>
      <w:r w:rsidR="00AD4466">
        <w:rPr>
          <w:rFonts w:cs="Arial"/>
          <w:sz w:val="24"/>
          <w:szCs w:val="24"/>
        </w:rPr>
        <w:t xml:space="preserve">  Sample size could be increased but </w:t>
      </w:r>
      <w:r w:rsidR="003B763E">
        <w:rPr>
          <w:rFonts w:cs="Arial"/>
          <w:sz w:val="24"/>
          <w:szCs w:val="24"/>
        </w:rPr>
        <w:t>costs need to be factored in.</w:t>
      </w:r>
      <w:r w:rsidR="008F6C1F">
        <w:rPr>
          <w:rFonts w:cs="Arial"/>
          <w:sz w:val="24"/>
          <w:szCs w:val="24"/>
        </w:rPr>
        <w:t xml:space="preserve">  She reminded Members that </w:t>
      </w:r>
      <w:r w:rsidR="00C35D8C">
        <w:rPr>
          <w:rFonts w:cs="Arial"/>
          <w:sz w:val="24"/>
          <w:szCs w:val="24"/>
        </w:rPr>
        <w:t xml:space="preserve">additional </w:t>
      </w:r>
      <w:r w:rsidR="003B763E">
        <w:rPr>
          <w:rFonts w:cs="Arial"/>
          <w:sz w:val="24"/>
          <w:szCs w:val="24"/>
        </w:rPr>
        <w:t>service specific survey</w:t>
      </w:r>
      <w:r w:rsidR="00C35D8C">
        <w:rPr>
          <w:rFonts w:cs="Arial"/>
          <w:sz w:val="24"/>
          <w:szCs w:val="24"/>
        </w:rPr>
        <w:t>s</w:t>
      </w:r>
      <w:r w:rsidR="003B763E">
        <w:rPr>
          <w:rFonts w:cs="Arial"/>
          <w:sz w:val="24"/>
          <w:szCs w:val="24"/>
        </w:rPr>
        <w:t xml:space="preserve"> </w:t>
      </w:r>
      <w:r w:rsidR="000C1617">
        <w:rPr>
          <w:rFonts w:cs="Arial"/>
          <w:sz w:val="24"/>
          <w:szCs w:val="24"/>
        </w:rPr>
        <w:t>were</w:t>
      </w:r>
      <w:r w:rsidR="0006604C">
        <w:rPr>
          <w:rFonts w:cs="Arial"/>
          <w:sz w:val="24"/>
          <w:szCs w:val="24"/>
        </w:rPr>
        <w:t xml:space="preserve"> ongoing throughout the year</w:t>
      </w:r>
      <w:r w:rsidR="00826850">
        <w:rPr>
          <w:rFonts w:cs="Arial"/>
          <w:sz w:val="24"/>
          <w:szCs w:val="24"/>
        </w:rPr>
        <w:t xml:space="preserve"> </w:t>
      </w:r>
      <w:r w:rsidR="00EA5529">
        <w:rPr>
          <w:rFonts w:cs="Arial"/>
          <w:sz w:val="24"/>
          <w:szCs w:val="24"/>
        </w:rPr>
        <w:t xml:space="preserve">allowing further exploration of satisfaction in particular areas of </w:t>
      </w:r>
      <w:r w:rsidR="00230DAB">
        <w:rPr>
          <w:rFonts w:cs="Arial"/>
          <w:sz w:val="24"/>
          <w:szCs w:val="24"/>
        </w:rPr>
        <w:t>Council’s</w:t>
      </w:r>
      <w:r w:rsidR="00EA5529">
        <w:rPr>
          <w:rFonts w:cs="Arial"/>
          <w:sz w:val="24"/>
          <w:szCs w:val="24"/>
        </w:rPr>
        <w:t xml:space="preserve"> work.  She invited </w:t>
      </w:r>
      <w:r w:rsidR="00663A2C" w:rsidRPr="00663A2C">
        <w:rPr>
          <w:rFonts w:cs="Arial"/>
          <w:sz w:val="24"/>
          <w:szCs w:val="24"/>
        </w:rPr>
        <w:t>Donal McDade</w:t>
      </w:r>
      <w:r w:rsidR="00FC58F6" w:rsidRPr="00663A2C">
        <w:rPr>
          <w:rFonts w:cs="Arial"/>
          <w:sz w:val="24"/>
          <w:szCs w:val="24"/>
        </w:rPr>
        <w:t>, Managing Director</w:t>
      </w:r>
      <w:r w:rsidR="00D00A3A">
        <w:rPr>
          <w:rFonts w:cs="Arial"/>
          <w:sz w:val="24"/>
          <w:szCs w:val="24"/>
        </w:rPr>
        <w:t xml:space="preserve"> </w:t>
      </w:r>
      <w:r w:rsidR="00663A2C" w:rsidRPr="00663A2C">
        <w:rPr>
          <w:rFonts w:cs="Arial"/>
          <w:sz w:val="24"/>
          <w:szCs w:val="24"/>
        </w:rPr>
        <w:t>SMR Research</w:t>
      </w:r>
      <w:r w:rsidR="00D00A3A">
        <w:rPr>
          <w:rFonts w:cs="Arial"/>
          <w:sz w:val="24"/>
          <w:szCs w:val="24"/>
        </w:rPr>
        <w:t>,</w:t>
      </w:r>
      <w:r w:rsidR="00663A2C" w:rsidRPr="00663A2C">
        <w:rPr>
          <w:rFonts w:cs="Arial"/>
          <w:sz w:val="24"/>
          <w:szCs w:val="24"/>
        </w:rPr>
        <w:t xml:space="preserve"> to comment on the validity/ representation of the sample size.  </w:t>
      </w:r>
      <w:r w:rsidR="00FC58F6" w:rsidRPr="00663A2C">
        <w:rPr>
          <w:rFonts w:cs="Arial"/>
          <w:sz w:val="24"/>
          <w:szCs w:val="24"/>
        </w:rPr>
        <w:t xml:space="preserve"> </w:t>
      </w:r>
    </w:p>
    <w:p w14:paraId="6613B7E6" w14:textId="77777777" w:rsidR="009209BE" w:rsidRDefault="009209BE" w:rsidP="009209BE">
      <w:pPr>
        <w:pStyle w:val="Normal0"/>
        <w:rPr>
          <w:rFonts w:cs="Arial"/>
          <w:sz w:val="24"/>
          <w:szCs w:val="24"/>
        </w:rPr>
      </w:pPr>
    </w:p>
    <w:p w14:paraId="428E1AD3" w14:textId="1D9F3647" w:rsidR="009209BE" w:rsidRDefault="00D00A3A" w:rsidP="009209BE">
      <w:pPr>
        <w:pStyle w:val="Normal0"/>
        <w:rPr>
          <w:rFonts w:cs="Arial"/>
          <w:sz w:val="24"/>
          <w:szCs w:val="24"/>
        </w:rPr>
      </w:pPr>
      <w:r w:rsidRPr="00D00A3A">
        <w:rPr>
          <w:rFonts w:cs="Arial"/>
          <w:sz w:val="24"/>
          <w:szCs w:val="24"/>
        </w:rPr>
        <w:t>Mr McDade</w:t>
      </w:r>
      <w:r w:rsidR="009209BE">
        <w:rPr>
          <w:rFonts w:cs="Arial"/>
          <w:sz w:val="24"/>
          <w:szCs w:val="24"/>
        </w:rPr>
        <w:t xml:space="preserve"> explained that the sample size of 1000 was </w:t>
      </w:r>
      <w:r w:rsidR="00E97D6D">
        <w:rPr>
          <w:rFonts w:cs="Arial"/>
          <w:sz w:val="24"/>
          <w:szCs w:val="24"/>
        </w:rPr>
        <w:t xml:space="preserve">determined with consideration of </w:t>
      </w:r>
      <w:r w:rsidR="00842B23">
        <w:rPr>
          <w:rFonts w:cs="Arial"/>
          <w:sz w:val="24"/>
          <w:szCs w:val="24"/>
        </w:rPr>
        <w:t xml:space="preserve">managing the ‘margin of error’.  It delivered a </w:t>
      </w:r>
      <w:r w:rsidR="009209BE">
        <w:rPr>
          <w:rFonts w:cs="Arial"/>
          <w:sz w:val="24"/>
          <w:szCs w:val="24"/>
        </w:rPr>
        <w:t>95% confidence rate</w:t>
      </w:r>
      <w:r w:rsidR="00B020E5">
        <w:rPr>
          <w:rFonts w:cs="Arial"/>
          <w:sz w:val="24"/>
          <w:szCs w:val="24"/>
        </w:rPr>
        <w:t xml:space="preserve"> </w:t>
      </w:r>
      <w:r w:rsidR="00842B23">
        <w:rPr>
          <w:rFonts w:cs="Arial"/>
          <w:sz w:val="24"/>
          <w:szCs w:val="24"/>
        </w:rPr>
        <w:t xml:space="preserve">that the sample was representative </w:t>
      </w:r>
      <w:r w:rsidR="009209BE">
        <w:rPr>
          <w:rFonts w:cs="Arial"/>
          <w:sz w:val="24"/>
          <w:szCs w:val="24"/>
        </w:rPr>
        <w:t xml:space="preserve">across the </w:t>
      </w:r>
      <w:r w:rsidR="00842B23">
        <w:rPr>
          <w:rFonts w:cs="Arial"/>
          <w:sz w:val="24"/>
          <w:szCs w:val="24"/>
        </w:rPr>
        <w:t xml:space="preserve">Ards and North Down </w:t>
      </w:r>
      <w:r w:rsidR="009209BE">
        <w:rPr>
          <w:rFonts w:cs="Arial"/>
          <w:sz w:val="24"/>
          <w:szCs w:val="24"/>
        </w:rPr>
        <w:t>population.</w:t>
      </w:r>
      <w:r w:rsidR="00C6254F">
        <w:rPr>
          <w:rFonts w:cs="Arial"/>
          <w:sz w:val="24"/>
          <w:szCs w:val="24"/>
        </w:rPr>
        <w:t xml:space="preserve">  It was the number used by most councils in NI.  He commented that </w:t>
      </w:r>
      <w:r w:rsidR="009209BE">
        <w:rPr>
          <w:rFonts w:cs="Arial"/>
          <w:sz w:val="24"/>
          <w:szCs w:val="24"/>
        </w:rPr>
        <w:t>Belfast City</w:t>
      </w:r>
      <w:r w:rsidR="00C6254F">
        <w:rPr>
          <w:rFonts w:cs="Arial"/>
          <w:sz w:val="24"/>
          <w:szCs w:val="24"/>
        </w:rPr>
        <w:t xml:space="preserve"> </w:t>
      </w:r>
      <w:r w:rsidR="00C6254F">
        <w:rPr>
          <w:rFonts w:cs="Arial"/>
          <w:sz w:val="24"/>
          <w:szCs w:val="24"/>
        </w:rPr>
        <w:lastRenderedPageBreak/>
        <w:t>Council</w:t>
      </w:r>
      <w:r w:rsidR="009209BE">
        <w:rPr>
          <w:rFonts w:cs="Arial"/>
          <w:sz w:val="24"/>
          <w:szCs w:val="24"/>
        </w:rPr>
        <w:t xml:space="preserve"> had used </w:t>
      </w:r>
      <w:r w:rsidR="00F61DCB">
        <w:rPr>
          <w:rFonts w:cs="Arial"/>
          <w:sz w:val="24"/>
          <w:szCs w:val="24"/>
        </w:rPr>
        <w:t xml:space="preserve">a </w:t>
      </w:r>
      <w:r w:rsidR="009209BE">
        <w:rPr>
          <w:rFonts w:cs="Arial"/>
          <w:sz w:val="24"/>
          <w:szCs w:val="24"/>
        </w:rPr>
        <w:t xml:space="preserve">1500 </w:t>
      </w:r>
      <w:r w:rsidR="00F61DCB">
        <w:rPr>
          <w:rFonts w:cs="Arial"/>
          <w:sz w:val="24"/>
          <w:szCs w:val="24"/>
        </w:rPr>
        <w:t>sample size</w:t>
      </w:r>
      <w:r w:rsidR="009209BE">
        <w:rPr>
          <w:rFonts w:cs="Arial"/>
          <w:sz w:val="24"/>
          <w:szCs w:val="24"/>
        </w:rPr>
        <w:t xml:space="preserve"> last year in their survey</w:t>
      </w:r>
      <w:r w:rsidR="00DF3F07">
        <w:rPr>
          <w:rFonts w:cs="Arial"/>
          <w:sz w:val="24"/>
          <w:szCs w:val="24"/>
        </w:rPr>
        <w:t>,</w:t>
      </w:r>
      <w:r w:rsidR="009209BE">
        <w:rPr>
          <w:rFonts w:cs="Arial"/>
          <w:sz w:val="24"/>
          <w:szCs w:val="24"/>
        </w:rPr>
        <w:t xml:space="preserve"> </w:t>
      </w:r>
      <w:r w:rsidR="002F7F15">
        <w:rPr>
          <w:rFonts w:cs="Arial"/>
          <w:sz w:val="24"/>
          <w:szCs w:val="24"/>
        </w:rPr>
        <w:t xml:space="preserve">but this was because they wanted more detailed </w:t>
      </w:r>
      <w:r w:rsidR="009209BE">
        <w:rPr>
          <w:rFonts w:cs="Arial"/>
          <w:sz w:val="24"/>
          <w:szCs w:val="24"/>
        </w:rPr>
        <w:t xml:space="preserve">geographical breakdown. </w:t>
      </w:r>
      <w:r w:rsidR="002F7F15">
        <w:rPr>
          <w:rFonts w:cs="Arial"/>
          <w:sz w:val="24"/>
          <w:szCs w:val="24"/>
        </w:rPr>
        <w:t xml:space="preserve"> </w:t>
      </w:r>
      <w:r w:rsidR="009209BE">
        <w:rPr>
          <w:rFonts w:cs="Arial"/>
          <w:sz w:val="24"/>
          <w:szCs w:val="24"/>
        </w:rPr>
        <w:t xml:space="preserve">The sample </w:t>
      </w:r>
      <w:r w:rsidR="002F7F15">
        <w:rPr>
          <w:rFonts w:cs="Arial"/>
          <w:sz w:val="24"/>
          <w:szCs w:val="24"/>
        </w:rPr>
        <w:t>size</w:t>
      </w:r>
      <w:r w:rsidR="009209BE">
        <w:rPr>
          <w:rFonts w:cs="Arial"/>
          <w:sz w:val="24"/>
          <w:szCs w:val="24"/>
        </w:rPr>
        <w:t xml:space="preserve"> could be doubled but the margin of error would only increase by 1%</w:t>
      </w:r>
      <w:r w:rsidR="002F7F15">
        <w:rPr>
          <w:rFonts w:cs="Arial"/>
          <w:sz w:val="24"/>
          <w:szCs w:val="24"/>
        </w:rPr>
        <w:t xml:space="preserve">, </w:t>
      </w:r>
      <w:r w:rsidR="009209BE">
        <w:rPr>
          <w:rFonts w:cs="Arial"/>
          <w:sz w:val="24"/>
          <w:szCs w:val="24"/>
        </w:rPr>
        <w:t>which would be hard to justify</w:t>
      </w:r>
      <w:r w:rsidR="002F7F15">
        <w:rPr>
          <w:rFonts w:cs="Arial"/>
          <w:sz w:val="24"/>
          <w:szCs w:val="24"/>
        </w:rPr>
        <w:t xml:space="preserve"> in terms of the additional costs.  </w:t>
      </w:r>
    </w:p>
    <w:p w14:paraId="5B6BBFBD" w14:textId="77777777" w:rsidR="009209BE" w:rsidRDefault="009209BE" w:rsidP="009209BE">
      <w:pPr>
        <w:pStyle w:val="Normal0"/>
        <w:rPr>
          <w:rFonts w:cs="Arial"/>
          <w:sz w:val="24"/>
          <w:szCs w:val="24"/>
        </w:rPr>
      </w:pPr>
    </w:p>
    <w:p w14:paraId="2CFE758C" w14:textId="4536B932" w:rsidR="009209BE" w:rsidRDefault="009209BE" w:rsidP="00593CC5">
      <w:pPr>
        <w:pStyle w:val="Normal0"/>
        <w:rPr>
          <w:rFonts w:cs="Arial"/>
          <w:sz w:val="24"/>
          <w:szCs w:val="24"/>
        </w:rPr>
      </w:pPr>
      <w:r>
        <w:rPr>
          <w:rFonts w:cs="Arial"/>
          <w:sz w:val="24"/>
          <w:szCs w:val="24"/>
        </w:rPr>
        <w:t>Alderman Graham was encouraged by the survey results and agreed with other Members that dissatisfaction should be investigated further in the hopes of identifying and improving any issues</w:t>
      </w:r>
      <w:r w:rsidR="002245E0">
        <w:rPr>
          <w:rFonts w:cs="Arial"/>
          <w:sz w:val="24"/>
          <w:szCs w:val="24"/>
        </w:rPr>
        <w:t xml:space="preserve"> such as the apparent HRC dissatisfaction. He noted that certain social media pages would make one believe that the borough was very dissatisfied and was happy to see this was not actually the case before thanking officers and staff for their efforts. </w:t>
      </w:r>
    </w:p>
    <w:p w14:paraId="5C7AD9FF" w14:textId="77777777" w:rsidR="00593CC5" w:rsidRDefault="00593CC5" w:rsidP="00593CC5">
      <w:pPr>
        <w:pStyle w:val="Normal0"/>
        <w:rPr>
          <w:rFonts w:cs="Arial"/>
          <w:sz w:val="24"/>
          <w:szCs w:val="24"/>
        </w:rPr>
      </w:pPr>
    </w:p>
    <w:p w14:paraId="1F0FFD1F" w14:textId="4F5993F7" w:rsidR="00975201" w:rsidRDefault="00593CC5" w:rsidP="00593CC5">
      <w:pPr>
        <w:rPr>
          <w:b/>
          <w:bCs/>
        </w:rPr>
      </w:pPr>
      <w:r w:rsidRPr="007F0DD5">
        <w:rPr>
          <w:b/>
          <w:bCs/>
        </w:rPr>
        <w:t>AGREED TO RECOMMEND, on the proposal of</w:t>
      </w:r>
      <w:r>
        <w:rPr>
          <w:b/>
          <w:bCs/>
        </w:rPr>
        <w:t xml:space="preserve"> </w:t>
      </w:r>
      <w:r w:rsidR="00CE35A9">
        <w:rPr>
          <w:b/>
          <w:bCs/>
        </w:rPr>
        <w:t>Alderman</w:t>
      </w:r>
      <w:r w:rsidR="002245E0">
        <w:rPr>
          <w:b/>
          <w:bCs/>
        </w:rPr>
        <w:t xml:space="preserve"> P Smith</w:t>
      </w:r>
      <w:r w:rsidRPr="007F0DD5">
        <w:rPr>
          <w:b/>
          <w:bCs/>
        </w:rPr>
        <w:t>, seconded</w:t>
      </w:r>
      <w:r>
        <w:rPr>
          <w:b/>
          <w:bCs/>
        </w:rPr>
        <w:t xml:space="preserve"> by Councillor</w:t>
      </w:r>
      <w:r w:rsidR="002245E0">
        <w:rPr>
          <w:b/>
          <w:bCs/>
        </w:rPr>
        <w:t xml:space="preserve"> McCracken</w:t>
      </w:r>
      <w:r w:rsidRPr="007F0DD5">
        <w:rPr>
          <w:b/>
          <w:bCs/>
        </w:rPr>
        <w:t xml:space="preserve">, that </w:t>
      </w:r>
      <w:r>
        <w:rPr>
          <w:b/>
          <w:bCs/>
        </w:rPr>
        <w:t>the recommendation be adopted.</w:t>
      </w:r>
    </w:p>
    <w:p w14:paraId="2DEB3A73" w14:textId="77777777" w:rsidR="00593CC5" w:rsidRDefault="00593CC5" w:rsidP="006113F2">
      <w:pPr>
        <w:contextualSpacing/>
        <w:rPr>
          <w:rFonts w:cs="Arial"/>
          <w:b/>
          <w:bCs/>
          <w:caps/>
          <w:sz w:val="28"/>
          <w:szCs w:val="28"/>
          <w:u w:val="single"/>
        </w:rPr>
      </w:pPr>
    </w:p>
    <w:p w14:paraId="6A6575FC" w14:textId="2492408E" w:rsidR="00593CC5" w:rsidRDefault="00593CC5" w:rsidP="00CE35A9">
      <w:pPr>
        <w:pStyle w:val="Heading1"/>
        <w:ind w:left="720" w:hanging="720"/>
      </w:pPr>
      <w:r>
        <w:t>13.</w:t>
      </w:r>
      <w:r>
        <w:tab/>
      </w:r>
      <w:r w:rsidRPr="00CE35A9">
        <w:rPr>
          <w:u w:val="single"/>
        </w:rPr>
        <w:t>PRUDENTIAL INDICATORS &amp; TREASURY MANAGEMENT – 2023/24 QTR 3</w:t>
      </w:r>
    </w:p>
    <w:p w14:paraId="1DA95C36" w14:textId="17ADBF29" w:rsidR="00B63355" w:rsidRPr="00B63355" w:rsidRDefault="00B63355" w:rsidP="00593CC5">
      <w:pPr>
        <w:ind w:left="720" w:hanging="720"/>
        <w:contextualSpacing/>
        <w:rPr>
          <w:rFonts w:cs="Arial"/>
          <w:sz w:val="28"/>
          <w:szCs w:val="28"/>
          <w:u w:val="single"/>
        </w:rPr>
      </w:pPr>
      <w:r>
        <w:rPr>
          <w:rFonts w:cs="Arial"/>
          <w:sz w:val="28"/>
          <w:szCs w:val="28"/>
        </w:rPr>
        <w:tab/>
        <w:t>(REF: FIN161)</w:t>
      </w:r>
    </w:p>
    <w:p w14:paraId="516C27FA" w14:textId="77777777" w:rsidR="00593CC5" w:rsidRDefault="00593CC5" w:rsidP="00593CC5">
      <w:pPr>
        <w:contextualSpacing/>
        <w:rPr>
          <w:rFonts w:cs="Arial"/>
          <w:b/>
          <w:bCs/>
          <w:sz w:val="28"/>
          <w:szCs w:val="28"/>
          <w:u w:val="single"/>
        </w:rPr>
      </w:pPr>
    </w:p>
    <w:p w14:paraId="733EFC42" w14:textId="28F3CD67" w:rsidR="00B63355" w:rsidRPr="00B63355" w:rsidRDefault="00593CC5" w:rsidP="00CE35A9">
      <w:pPr>
        <w:pStyle w:val="Header"/>
        <w:rPr>
          <w:rFonts w:cs="Arial"/>
          <w:color w:val="000000"/>
          <w:sz w:val="24"/>
          <w:szCs w:val="24"/>
        </w:rPr>
      </w:pPr>
      <w:r w:rsidRPr="00B63355">
        <w:rPr>
          <w:rFonts w:cs="Arial"/>
          <w:bCs/>
          <w:caps/>
          <w:sz w:val="24"/>
          <w:szCs w:val="24"/>
        </w:rPr>
        <w:t>Previously circulated:-</w:t>
      </w:r>
      <w:r w:rsidRPr="00B63355">
        <w:rPr>
          <w:rFonts w:cs="Arial"/>
          <w:bCs/>
          <w:sz w:val="24"/>
          <w:szCs w:val="24"/>
        </w:rPr>
        <w:t xml:space="preserve"> Report from the </w:t>
      </w:r>
      <w:r w:rsidRPr="00B63355">
        <w:rPr>
          <w:rFonts w:cs="Arial"/>
          <w:sz w:val="24"/>
          <w:szCs w:val="24"/>
        </w:rPr>
        <w:t xml:space="preserve">Director of  Corporate Services </w:t>
      </w:r>
      <w:r w:rsidR="00B63355">
        <w:rPr>
          <w:rFonts w:cs="Arial"/>
          <w:sz w:val="24"/>
          <w:szCs w:val="24"/>
        </w:rPr>
        <w:t>which explained that, in</w:t>
      </w:r>
      <w:r w:rsidR="00B63355" w:rsidRPr="00B63355">
        <w:rPr>
          <w:rFonts w:cs="Arial"/>
          <w:sz w:val="24"/>
          <w:szCs w:val="24"/>
        </w:rPr>
        <w:t xml:space="preserve"> February 2023, Council approved its annual Capital and Treasury Management Strategies, including the setting of Prudential Indicators (PIs) for the financial year </w:t>
      </w:r>
      <w:r w:rsidR="00B63355">
        <w:rPr>
          <w:rFonts w:cs="Arial"/>
          <w:sz w:val="24"/>
          <w:szCs w:val="24"/>
        </w:rPr>
        <w:t>at the time of writing that was to end</w:t>
      </w:r>
      <w:r w:rsidR="00B63355" w:rsidRPr="00B63355">
        <w:rPr>
          <w:rFonts w:cs="Arial"/>
          <w:sz w:val="24"/>
          <w:szCs w:val="24"/>
        </w:rPr>
        <w:t xml:space="preserve"> 31 March 2024.  These </w:t>
      </w:r>
      <w:r w:rsidR="00B63355">
        <w:rPr>
          <w:rFonts w:cs="Arial"/>
          <w:sz w:val="24"/>
          <w:szCs w:val="24"/>
        </w:rPr>
        <w:t>were</w:t>
      </w:r>
      <w:r w:rsidR="00B63355" w:rsidRPr="00B63355">
        <w:rPr>
          <w:rFonts w:cs="Arial"/>
          <w:sz w:val="24"/>
          <w:szCs w:val="24"/>
        </w:rPr>
        <w:t xml:space="preserve"> statutory requirements in accordance with the Local Government Finance Act (NI) 2011, the CIPFA Prudential Code and the CIPFA Treasury Management Code.  </w:t>
      </w:r>
    </w:p>
    <w:p w14:paraId="5260646A" w14:textId="77777777" w:rsidR="00B63355" w:rsidRPr="00B63355" w:rsidRDefault="00B63355" w:rsidP="00CE35A9">
      <w:pPr>
        <w:rPr>
          <w:rFonts w:cs="Arial"/>
          <w:color w:val="000000"/>
          <w:szCs w:val="24"/>
        </w:rPr>
      </w:pPr>
    </w:p>
    <w:p w14:paraId="56F91AD6" w14:textId="76776311" w:rsidR="00B63355" w:rsidRPr="00B63355" w:rsidRDefault="00B63355" w:rsidP="00CE35A9">
      <w:pPr>
        <w:pStyle w:val="Header"/>
        <w:rPr>
          <w:rFonts w:cs="Arial"/>
          <w:bCs/>
          <w:sz w:val="24"/>
          <w:szCs w:val="24"/>
        </w:rPr>
      </w:pPr>
      <w:r w:rsidRPr="00B63355">
        <w:rPr>
          <w:rFonts w:cs="Arial"/>
          <w:bCs/>
          <w:sz w:val="24"/>
          <w:szCs w:val="24"/>
        </w:rPr>
        <w:t xml:space="preserve">The purpose of this report </w:t>
      </w:r>
      <w:r>
        <w:rPr>
          <w:rFonts w:cs="Arial"/>
          <w:bCs/>
          <w:sz w:val="24"/>
          <w:szCs w:val="24"/>
        </w:rPr>
        <w:t>was</w:t>
      </w:r>
      <w:r w:rsidRPr="00B63355">
        <w:rPr>
          <w:rFonts w:cs="Arial"/>
          <w:bCs/>
          <w:sz w:val="24"/>
          <w:szCs w:val="24"/>
        </w:rPr>
        <w:t xml:space="preserve"> to provide Members with an update on the PIs and treasury management activity at the end of quarter 3 of the financial year, as required by the CIPFA Codes.  The figures presented in this report </w:t>
      </w:r>
      <w:r>
        <w:rPr>
          <w:rFonts w:cs="Arial"/>
          <w:bCs/>
          <w:sz w:val="24"/>
          <w:szCs w:val="24"/>
        </w:rPr>
        <w:t>were</w:t>
      </w:r>
      <w:r w:rsidRPr="00B63355">
        <w:rPr>
          <w:rFonts w:cs="Arial"/>
          <w:bCs/>
          <w:sz w:val="24"/>
          <w:szCs w:val="24"/>
        </w:rPr>
        <w:t xml:space="preserve"> based on knowledge and information held at 31 December 2023.</w:t>
      </w:r>
    </w:p>
    <w:p w14:paraId="2D8765E6" w14:textId="77777777" w:rsidR="00B63355" w:rsidRPr="00B63355" w:rsidRDefault="00B63355" w:rsidP="00CE35A9">
      <w:pPr>
        <w:pStyle w:val="Header"/>
        <w:rPr>
          <w:rFonts w:cs="Arial"/>
          <w:b/>
          <w:bCs/>
          <w:sz w:val="24"/>
          <w:szCs w:val="24"/>
          <w:u w:val="single"/>
        </w:rPr>
      </w:pPr>
    </w:p>
    <w:p w14:paraId="06D43E05" w14:textId="77777777" w:rsidR="00B63355" w:rsidRPr="00B63355" w:rsidRDefault="00B63355" w:rsidP="00CE35A9">
      <w:pPr>
        <w:pStyle w:val="Header"/>
        <w:rPr>
          <w:rFonts w:cs="Arial"/>
          <w:b/>
          <w:bCs/>
          <w:sz w:val="24"/>
          <w:szCs w:val="24"/>
        </w:rPr>
      </w:pPr>
      <w:r w:rsidRPr="00B63355">
        <w:rPr>
          <w:rFonts w:cs="Arial"/>
          <w:b/>
          <w:bCs/>
          <w:sz w:val="24"/>
          <w:szCs w:val="24"/>
        </w:rPr>
        <w:t>1.1  Capital - Expenditure &amp; Financing</w:t>
      </w:r>
    </w:p>
    <w:p w14:paraId="175C0A4E" w14:textId="77777777" w:rsidR="00B63355" w:rsidRPr="00B63355" w:rsidRDefault="00B63355" w:rsidP="00CE35A9">
      <w:pPr>
        <w:pStyle w:val="Header"/>
        <w:rPr>
          <w:rFonts w:cs="Arial"/>
          <w:bCs/>
          <w:sz w:val="24"/>
          <w:szCs w:val="24"/>
        </w:rPr>
      </w:pPr>
    </w:p>
    <w:p w14:paraId="41040690" w14:textId="04A3B038" w:rsidR="00B63355" w:rsidRPr="00B63355" w:rsidRDefault="00B63355" w:rsidP="00CE35A9">
      <w:pPr>
        <w:pStyle w:val="Header"/>
        <w:rPr>
          <w:rFonts w:cs="Arial"/>
          <w:bCs/>
          <w:sz w:val="24"/>
          <w:szCs w:val="24"/>
        </w:rPr>
      </w:pPr>
      <w:r w:rsidRPr="00B63355">
        <w:rPr>
          <w:rFonts w:cs="Arial"/>
          <w:bCs/>
          <w:sz w:val="24"/>
          <w:szCs w:val="24"/>
        </w:rPr>
        <w:t xml:space="preserve">The PIs for capital expenditure and financing should ensure that, within a clear framework, the capital investment plans of the Council </w:t>
      </w:r>
      <w:r>
        <w:rPr>
          <w:rFonts w:cs="Arial"/>
          <w:bCs/>
          <w:sz w:val="24"/>
          <w:szCs w:val="24"/>
        </w:rPr>
        <w:t>would be</w:t>
      </w:r>
      <w:r w:rsidRPr="00B63355">
        <w:rPr>
          <w:rFonts w:cs="Arial"/>
          <w:bCs/>
          <w:sz w:val="24"/>
          <w:szCs w:val="24"/>
        </w:rPr>
        <w:t xml:space="preserve"> affordable, prudent and sustainable.  Updates to these PIs are set out below.</w:t>
      </w:r>
    </w:p>
    <w:p w14:paraId="527C8CF1" w14:textId="77777777" w:rsidR="00B63355" w:rsidRPr="00B63355" w:rsidRDefault="00B63355" w:rsidP="00B63355">
      <w:pPr>
        <w:pStyle w:val="Header"/>
        <w:jc w:val="both"/>
        <w:rPr>
          <w:rFonts w:cs="Arial"/>
          <w:bCs/>
          <w:sz w:val="24"/>
          <w:szCs w:val="24"/>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1418"/>
        <w:gridCol w:w="1417"/>
      </w:tblGrid>
      <w:tr w:rsidR="00B63355" w:rsidRPr="00B63355" w14:paraId="19B8B3B6" w14:textId="77777777" w:rsidTr="00B63355">
        <w:trPr>
          <w:trHeight w:val="567"/>
        </w:trPr>
        <w:tc>
          <w:tcPr>
            <w:tcW w:w="5670" w:type="dxa"/>
            <w:tcBorders>
              <w:top w:val="nil"/>
              <w:left w:val="nil"/>
              <w:bottom w:val="single" w:sz="4" w:space="0" w:color="auto"/>
              <w:right w:val="nil"/>
            </w:tcBorders>
            <w:vAlign w:val="center"/>
          </w:tcPr>
          <w:p w14:paraId="0F37D019" w14:textId="77777777" w:rsidR="00B63355" w:rsidRPr="00B63355" w:rsidRDefault="00B63355">
            <w:pPr>
              <w:pStyle w:val="ListParagraph"/>
              <w:spacing w:line="256" w:lineRule="auto"/>
              <w:ind w:left="0"/>
              <w:rPr>
                <w:rFonts w:ascii="Arial"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B36FAB0"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Original Forecast</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73C2733"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Revised Forecast</w:t>
            </w:r>
          </w:p>
        </w:tc>
      </w:tr>
      <w:tr w:rsidR="00B63355" w:rsidRPr="00B63355" w14:paraId="29AF7F5E" w14:textId="77777777" w:rsidTr="00B63355">
        <w:trPr>
          <w:trHeight w:val="383"/>
        </w:trPr>
        <w:tc>
          <w:tcPr>
            <w:tcW w:w="567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DD2FAF9" w14:textId="77777777" w:rsidR="00B63355" w:rsidRPr="00B63355" w:rsidRDefault="00B63355">
            <w:pPr>
              <w:pStyle w:val="ListParagraph"/>
              <w:spacing w:line="256" w:lineRule="auto"/>
              <w:ind w:left="0"/>
              <w:rPr>
                <w:rFonts w:ascii="Arial" w:hAnsi="Arial" w:cs="Arial"/>
                <w:b/>
                <w:color w:val="FFFFFF" w:themeColor="background1"/>
                <w:sz w:val="24"/>
                <w:szCs w:val="24"/>
              </w:rPr>
            </w:pPr>
            <w:r w:rsidRPr="00B63355">
              <w:rPr>
                <w:rFonts w:ascii="Arial" w:hAnsi="Arial" w:cs="Arial"/>
                <w:b/>
                <w:color w:val="FFFFFF" w:themeColor="background1"/>
                <w:sz w:val="24"/>
                <w:szCs w:val="24"/>
              </w:rPr>
              <w:t>Table 1.11</w:t>
            </w:r>
          </w:p>
        </w:tc>
        <w:tc>
          <w:tcPr>
            <w:tcW w:w="1418" w:type="dxa"/>
            <w:tcBorders>
              <w:top w:val="single" w:sz="4" w:space="0" w:color="auto"/>
              <w:left w:val="single" w:sz="4" w:space="0" w:color="auto"/>
              <w:bottom w:val="single" w:sz="4" w:space="0" w:color="000000"/>
              <w:right w:val="single" w:sz="4" w:space="0" w:color="auto"/>
            </w:tcBorders>
            <w:shd w:val="clear" w:color="auto" w:fill="0070C0"/>
            <w:vAlign w:val="center"/>
            <w:hideMark/>
          </w:tcPr>
          <w:p w14:paraId="01F30298"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£m</w:t>
            </w:r>
          </w:p>
        </w:tc>
        <w:tc>
          <w:tcPr>
            <w:tcW w:w="1417"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62B7366B"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£m</w:t>
            </w:r>
          </w:p>
        </w:tc>
      </w:tr>
      <w:tr w:rsidR="00B63355" w:rsidRPr="00B63355" w14:paraId="445AA6F7" w14:textId="77777777" w:rsidTr="00B63355">
        <w:trPr>
          <w:trHeight w:val="454"/>
        </w:trPr>
        <w:tc>
          <w:tcPr>
            <w:tcW w:w="5670" w:type="dxa"/>
            <w:tcBorders>
              <w:top w:val="single" w:sz="4" w:space="0" w:color="auto"/>
              <w:left w:val="single" w:sz="4" w:space="0" w:color="000000"/>
              <w:bottom w:val="single" w:sz="4" w:space="0" w:color="auto"/>
              <w:right w:val="single" w:sz="4" w:space="0" w:color="000000"/>
            </w:tcBorders>
            <w:vAlign w:val="center"/>
            <w:hideMark/>
          </w:tcPr>
          <w:p w14:paraId="4CB5F11F" w14:textId="77777777" w:rsidR="00B63355" w:rsidRPr="00B63355" w:rsidRDefault="00B63355">
            <w:pPr>
              <w:pStyle w:val="ListParagraph"/>
              <w:spacing w:line="256" w:lineRule="auto"/>
              <w:ind w:left="0"/>
              <w:rPr>
                <w:rFonts w:ascii="Arial" w:hAnsi="Arial" w:cs="Arial"/>
                <w:sz w:val="24"/>
                <w:szCs w:val="24"/>
              </w:rPr>
            </w:pPr>
            <w:r w:rsidRPr="00B63355">
              <w:rPr>
                <w:rFonts w:ascii="Arial" w:hAnsi="Arial" w:cs="Arial"/>
                <w:sz w:val="24"/>
                <w:szCs w:val="24"/>
              </w:rPr>
              <w:t>Capital Expenditure 2023/24 (Current Year)</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AF00009"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17.406</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3E47F0"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7.788</w:t>
            </w:r>
          </w:p>
        </w:tc>
      </w:tr>
    </w:tbl>
    <w:p w14:paraId="64C43755" w14:textId="77777777" w:rsidR="00B63355" w:rsidRPr="00B63355" w:rsidRDefault="00B63355" w:rsidP="00B63355">
      <w:pPr>
        <w:pStyle w:val="Header"/>
        <w:rPr>
          <w:rFonts w:cs="Arial"/>
          <w:bCs/>
          <w:sz w:val="24"/>
          <w:szCs w:val="24"/>
          <w:lang w:eastAsia="en-US"/>
        </w:rPr>
      </w:pPr>
    </w:p>
    <w:p w14:paraId="568B9D68" w14:textId="12926D34" w:rsidR="00B63355" w:rsidRPr="00B63355" w:rsidRDefault="00B63355" w:rsidP="00B63355">
      <w:pPr>
        <w:pStyle w:val="Header"/>
        <w:jc w:val="both"/>
        <w:rPr>
          <w:rFonts w:cs="Arial"/>
          <w:bCs/>
          <w:sz w:val="24"/>
          <w:szCs w:val="24"/>
        </w:rPr>
      </w:pPr>
      <w:r w:rsidRPr="00B63355">
        <w:rPr>
          <w:rFonts w:cs="Arial"/>
          <w:bCs/>
          <w:sz w:val="24"/>
          <w:szCs w:val="24"/>
        </w:rPr>
        <w:t xml:space="preserve">The original estimate of £17.406m </w:t>
      </w:r>
      <w:r>
        <w:rPr>
          <w:rFonts w:cs="Arial"/>
          <w:bCs/>
          <w:sz w:val="24"/>
          <w:szCs w:val="24"/>
        </w:rPr>
        <w:t>had</w:t>
      </w:r>
      <w:r w:rsidRPr="00B63355">
        <w:rPr>
          <w:rFonts w:cs="Arial"/>
          <w:bCs/>
          <w:sz w:val="24"/>
          <w:szCs w:val="24"/>
        </w:rPr>
        <w:t xml:space="preserve"> been revised to £7.533m, reflecting the capital expenditure that </w:t>
      </w:r>
      <w:r>
        <w:rPr>
          <w:rFonts w:cs="Arial"/>
          <w:bCs/>
          <w:sz w:val="24"/>
          <w:szCs w:val="24"/>
        </w:rPr>
        <w:t>was then</w:t>
      </w:r>
      <w:r w:rsidRPr="00B63355">
        <w:rPr>
          <w:rFonts w:cs="Arial"/>
          <w:bCs/>
          <w:sz w:val="24"/>
          <w:szCs w:val="24"/>
        </w:rPr>
        <w:t xml:space="preserve"> expected to be incurred by 31 March 2024. The reduction in the forecast </w:t>
      </w:r>
      <w:r>
        <w:rPr>
          <w:rFonts w:cs="Arial"/>
          <w:bCs/>
          <w:sz w:val="24"/>
          <w:szCs w:val="24"/>
        </w:rPr>
        <w:t>was</w:t>
      </w:r>
      <w:r w:rsidRPr="00B63355">
        <w:rPr>
          <w:rFonts w:cs="Arial"/>
          <w:bCs/>
          <w:sz w:val="24"/>
          <w:szCs w:val="24"/>
        </w:rPr>
        <w:t xml:space="preserve"> primarily due to programme slippages in the planned major capital schemes, particularly</w:t>
      </w:r>
    </w:p>
    <w:p w14:paraId="45227D57" w14:textId="77777777" w:rsidR="00B63355" w:rsidRPr="00B63355" w:rsidRDefault="00B63355" w:rsidP="00CE35A9">
      <w:pPr>
        <w:pStyle w:val="Header"/>
        <w:numPr>
          <w:ilvl w:val="0"/>
          <w:numId w:val="8"/>
        </w:numPr>
        <w:rPr>
          <w:rFonts w:cs="Arial"/>
          <w:bCs/>
          <w:sz w:val="24"/>
          <w:szCs w:val="24"/>
        </w:rPr>
      </w:pPr>
      <w:r w:rsidRPr="00B63355">
        <w:rPr>
          <w:rFonts w:cs="Arial"/>
          <w:bCs/>
          <w:sz w:val="24"/>
          <w:szCs w:val="24"/>
        </w:rPr>
        <w:lastRenderedPageBreak/>
        <w:t>Greenway Schemes – Comber to Newtownards and Newtownards to Bangor, due to delays in the planning process, including awaiting responses from statutory consultees;</w:t>
      </w:r>
    </w:p>
    <w:p w14:paraId="572F5549" w14:textId="77777777" w:rsidR="00B63355" w:rsidRPr="00B63355" w:rsidRDefault="00B63355" w:rsidP="00CE35A9">
      <w:pPr>
        <w:pStyle w:val="Header"/>
        <w:numPr>
          <w:ilvl w:val="0"/>
          <w:numId w:val="8"/>
        </w:numPr>
        <w:rPr>
          <w:rFonts w:cs="Arial"/>
          <w:bCs/>
          <w:sz w:val="24"/>
          <w:szCs w:val="24"/>
        </w:rPr>
      </w:pPr>
      <w:r w:rsidRPr="00B63355">
        <w:rPr>
          <w:rFonts w:cs="Arial"/>
          <w:bCs/>
          <w:sz w:val="24"/>
          <w:szCs w:val="24"/>
        </w:rPr>
        <w:t>Bangor Aurora Pool Floor – currently undergoing a detailed assessment of business needs;</w:t>
      </w:r>
    </w:p>
    <w:p w14:paraId="4DE7B3D3" w14:textId="77777777" w:rsidR="00B63355" w:rsidRPr="00B63355" w:rsidRDefault="00B63355" w:rsidP="00CE35A9">
      <w:pPr>
        <w:pStyle w:val="Header"/>
        <w:rPr>
          <w:rFonts w:cs="Arial"/>
          <w:bCs/>
          <w:sz w:val="24"/>
          <w:szCs w:val="24"/>
        </w:rPr>
      </w:pPr>
    </w:p>
    <w:p w14:paraId="4CEA8B7B" w14:textId="28AF2C49" w:rsidR="00B63355" w:rsidRPr="00B63355" w:rsidRDefault="00B63355" w:rsidP="00CE35A9">
      <w:pPr>
        <w:pStyle w:val="Header"/>
        <w:rPr>
          <w:rFonts w:cs="Arial"/>
          <w:bCs/>
          <w:sz w:val="24"/>
          <w:szCs w:val="24"/>
        </w:rPr>
      </w:pPr>
      <w:r w:rsidRPr="00B63355">
        <w:rPr>
          <w:rFonts w:cs="Arial"/>
          <w:bCs/>
          <w:sz w:val="24"/>
          <w:szCs w:val="24"/>
        </w:rPr>
        <w:t>The revised capital expenditure forecast</w:t>
      </w:r>
      <w:r>
        <w:rPr>
          <w:rFonts w:cs="Arial"/>
          <w:bCs/>
          <w:sz w:val="24"/>
          <w:szCs w:val="24"/>
        </w:rPr>
        <w:t>ed</w:t>
      </w:r>
      <w:r w:rsidRPr="00B63355">
        <w:rPr>
          <w:rFonts w:cs="Arial"/>
          <w:bCs/>
          <w:sz w:val="24"/>
          <w:szCs w:val="24"/>
        </w:rPr>
        <w:t xml:space="preserve"> for the three-year plan, together with the capital financing implications and previous year activity are summarised below.</w:t>
      </w:r>
    </w:p>
    <w:p w14:paraId="5CF5C1C0" w14:textId="77777777" w:rsidR="00B63355" w:rsidRPr="00B63355" w:rsidRDefault="00B63355" w:rsidP="00B63355">
      <w:pPr>
        <w:pStyle w:val="Header"/>
        <w:jc w:val="both"/>
        <w:rPr>
          <w:rFonts w:cs="Arial"/>
          <w:bCs/>
          <w:sz w:val="24"/>
          <w:szCs w:val="24"/>
        </w:rPr>
      </w:pPr>
    </w:p>
    <w:tbl>
      <w:tblPr>
        <w:tblW w:w="861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2"/>
        <w:gridCol w:w="1562"/>
        <w:gridCol w:w="1276"/>
        <w:gridCol w:w="1417"/>
        <w:gridCol w:w="1276"/>
      </w:tblGrid>
      <w:tr w:rsidR="00B63355" w:rsidRPr="00B63355" w14:paraId="2DA255AF" w14:textId="77777777" w:rsidTr="00B63355">
        <w:trPr>
          <w:trHeight w:val="340"/>
        </w:trPr>
        <w:tc>
          <w:tcPr>
            <w:tcW w:w="3082" w:type="dxa"/>
            <w:tcBorders>
              <w:top w:val="nil"/>
              <w:left w:val="nil"/>
              <w:bottom w:val="nil"/>
              <w:right w:val="nil"/>
            </w:tcBorders>
            <w:vAlign w:val="center"/>
          </w:tcPr>
          <w:p w14:paraId="5B16DB4F" w14:textId="77777777" w:rsidR="00B63355" w:rsidRPr="00B63355" w:rsidRDefault="00B63355">
            <w:pPr>
              <w:pStyle w:val="ListParagraph"/>
              <w:spacing w:line="256" w:lineRule="auto"/>
              <w:ind w:left="0"/>
              <w:rPr>
                <w:rFonts w:ascii="Arial" w:hAnsi="Arial" w:cs="Arial"/>
                <w:sz w:val="24"/>
                <w:szCs w:val="24"/>
              </w:rPr>
            </w:pPr>
          </w:p>
        </w:tc>
        <w:tc>
          <w:tcPr>
            <w:tcW w:w="1562" w:type="dxa"/>
            <w:tcBorders>
              <w:top w:val="single" w:sz="4" w:space="0" w:color="auto"/>
              <w:left w:val="single" w:sz="4" w:space="0" w:color="auto"/>
              <w:bottom w:val="single" w:sz="4" w:space="0" w:color="auto"/>
              <w:right w:val="single" w:sz="4" w:space="0" w:color="000000"/>
            </w:tcBorders>
            <w:shd w:val="clear" w:color="auto" w:fill="0070C0"/>
            <w:vAlign w:val="center"/>
            <w:hideMark/>
          </w:tcPr>
          <w:p w14:paraId="16E84982"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Actual</w:t>
            </w:r>
          </w:p>
        </w:tc>
        <w:tc>
          <w:tcPr>
            <w:tcW w:w="3969" w:type="dxa"/>
            <w:gridSpan w:val="3"/>
            <w:tcBorders>
              <w:top w:val="single" w:sz="4" w:space="0" w:color="auto"/>
              <w:left w:val="single" w:sz="4" w:space="0" w:color="auto"/>
              <w:bottom w:val="single" w:sz="4" w:space="0" w:color="auto"/>
              <w:right w:val="single" w:sz="4" w:space="0" w:color="000000"/>
            </w:tcBorders>
            <w:shd w:val="clear" w:color="auto" w:fill="0070C0"/>
            <w:vAlign w:val="center"/>
            <w:hideMark/>
          </w:tcPr>
          <w:p w14:paraId="6858B19A"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Revised Forecast</w:t>
            </w:r>
          </w:p>
        </w:tc>
      </w:tr>
      <w:tr w:rsidR="00B63355" w:rsidRPr="00B63355" w14:paraId="40FA4D11" w14:textId="77777777" w:rsidTr="00B63355">
        <w:trPr>
          <w:trHeight w:val="340"/>
        </w:trPr>
        <w:tc>
          <w:tcPr>
            <w:tcW w:w="3082" w:type="dxa"/>
            <w:tcBorders>
              <w:top w:val="nil"/>
              <w:left w:val="nil"/>
              <w:bottom w:val="nil"/>
              <w:right w:val="single" w:sz="4" w:space="0" w:color="auto"/>
            </w:tcBorders>
            <w:vAlign w:val="center"/>
          </w:tcPr>
          <w:p w14:paraId="47BDF443" w14:textId="77777777" w:rsidR="00B63355" w:rsidRPr="00B63355" w:rsidRDefault="00B63355">
            <w:pPr>
              <w:pStyle w:val="ListParagraph"/>
              <w:spacing w:line="256" w:lineRule="auto"/>
              <w:ind w:left="0"/>
              <w:rPr>
                <w:rFonts w:ascii="Arial" w:hAnsi="Arial" w:cs="Arial"/>
                <w:b/>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D509870"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2022/23</w:t>
            </w:r>
          </w:p>
        </w:tc>
        <w:tc>
          <w:tcPr>
            <w:tcW w:w="1276"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77F4E251"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2023/24</w:t>
            </w:r>
          </w:p>
        </w:tc>
        <w:tc>
          <w:tcPr>
            <w:tcW w:w="141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89B3145"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2024/25</w:t>
            </w:r>
          </w:p>
        </w:tc>
        <w:tc>
          <w:tcPr>
            <w:tcW w:w="127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44BDD0A6"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2025/26</w:t>
            </w:r>
          </w:p>
        </w:tc>
      </w:tr>
      <w:tr w:rsidR="00B63355" w:rsidRPr="00B63355" w14:paraId="102DE5A6" w14:textId="77777777" w:rsidTr="00B63355">
        <w:trPr>
          <w:trHeight w:val="340"/>
        </w:trPr>
        <w:tc>
          <w:tcPr>
            <w:tcW w:w="3082" w:type="dxa"/>
            <w:tcBorders>
              <w:top w:val="nil"/>
              <w:left w:val="single" w:sz="4" w:space="0" w:color="auto"/>
              <w:bottom w:val="single" w:sz="4" w:space="0" w:color="auto"/>
              <w:right w:val="single" w:sz="4" w:space="0" w:color="auto"/>
            </w:tcBorders>
            <w:shd w:val="clear" w:color="auto" w:fill="0070C0"/>
            <w:vAlign w:val="center"/>
            <w:hideMark/>
          </w:tcPr>
          <w:p w14:paraId="5D6B5A11" w14:textId="77777777" w:rsidR="00B63355" w:rsidRPr="00B63355" w:rsidRDefault="00B63355">
            <w:pPr>
              <w:pStyle w:val="ListParagraph"/>
              <w:spacing w:line="256" w:lineRule="auto"/>
              <w:ind w:left="0"/>
              <w:rPr>
                <w:rFonts w:ascii="Arial" w:hAnsi="Arial" w:cs="Arial"/>
                <w:b/>
                <w:sz w:val="24"/>
                <w:szCs w:val="24"/>
              </w:rPr>
            </w:pPr>
            <w:r w:rsidRPr="00B63355">
              <w:rPr>
                <w:rFonts w:ascii="Arial" w:hAnsi="Arial" w:cs="Arial"/>
                <w:b/>
                <w:color w:val="FFFFFF" w:themeColor="background1"/>
                <w:sz w:val="24"/>
                <w:szCs w:val="24"/>
              </w:rPr>
              <w:t>Table 1.12</w:t>
            </w:r>
          </w:p>
        </w:tc>
        <w:tc>
          <w:tcPr>
            <w:tcW w:w="1562" w:type="dxa"/>
            <w:tcBorders>
              <w:top w:val="single" w:sz="4" w:space="0" w:color="auto"/>
              <w:left w:val="single" w:sz="4" w:space="0" w:color="auto"/>
              <w:bottom w:val="single" w:sz="4" w:space="0" w:color="000000"/>
              <w:right w:val="single" w:sz="4" w:space="0" w:color="auto"/>
            </w:tcBorders>
            <w:shd w:val="clear" w:color="auto" w:fill="0070C0"/>
            <w:vAlign w:val="center"/>
            <w:hideMark/>
          </w:tcPr>
          <w:p w14:paraId="7A6B36A8"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£m</w:t>
            </w:r>
          </w:p>
        </w:tc>
        <w:tc>
          <w:tcPr>
            <w:tcW w:w="1276"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7E1CCE3A"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£m</w:t>
            </w:r>
          </w:p>
        </w:tc>
        <w:tc>
          <w:tcPr>
            <w:tcW w:w="141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3220895F"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£m</w:t>
            </w:r>
          </w:p>
        </w:tc>
        <w:tc>
          <w:tcPr>
            <w:tcW w:w="127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2542D68F"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£m</w:t>
            </w:r>
          </w:p>
        </w:tc>
      </w:tr>
      <w:tr w:rsidR="00B63355" w:rsidRPr="00B63355" w14:paraId="4B78209A" w14:textId="77777777" w:rsidTr="00B63355">
        <w:trPr>
          <w:trHeight w:val="397"/>
        </w:trPr>
        <w:tc>
          <w:tcPr>
            <w:tcW w:w="3082" w:type="dxa"/>
            <w:tcBorders>
              <w:top w:val="single" w:sz="4" w:space="0" w:color="auto"/>
              <w:left w:val="single" w:sz="4" w:space="0" w:color="000000"/>
              <w:bottom w:val="single" w:sz="4" w:space="0" w:color="auto"/>
              <w:right w:val="single" w:sz="4" w:space="0" w:color="000000"/>
            </w:tcBorders>
            <w:vAlign w:val="center"/>
            <w:hideMark/>
          </w:tcPr>
          <w:p w14:paraId="4BCFBF89" w14:textId="77777777" w:rsidR="00B63355" w:rsidRPr="00B63355" w:rsidRDefault="00B63355">
            <w:pPr>
              <w:pStyle w:val="ListParagraph"/>
              <w:spacing w:line="256" w:lineRule="auto"/>
              <w:ind w:left="0"/>
              <w:rPr>
                <w:rFonts w:ascii="Arial" w:hAnsi="Arial" w:cs="Arial"/>
                <w:sz w:val="24"/>
                <w:szCs w:val="24"/>
              </w:rPr>
            </w:pPr>
            <w:r w:rsidRPr="00B63355">
              <w:rPr>
                <w:rFonts w:ascii="Arial" w:hAnsi="Arial" w:cs="Arial"/>
                <w:sz w:val="24"/>
                <w:szCs w:val="24"/>
              </w:rPr>
              <w:t>Capital Expenditure</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BF3C761"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5.187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34C18F"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7.788</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CF26563"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19.406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A286A06" w14:textId="77777777" w:rsidR="00B63355" w:rsidRPr="00B63355" w:rsidRDefault="00B63355">
            <w:pPr>
              <w:pStyle w:val="ListParagraph"/>
              <w:spacing w:line="256" w:lineRule="auto"/>
              <w:ind w:left="0"/>
              <w:jc w:val="right"/>
              <w:rPr>
                <w:rFonts w:ascii="Arial" w:hAnsi="Arial" w:cs="Arial"/>
                <w:bCs/>
                <w:sz w:val="24"/>
                <w:szCs w:val="24"/>
              </w:rPr>
            </w:pPr>
            <w:r w:rsidRPr="00B63355">
              <w:rPr>
                <w:rFonts w:ascii="Arial" w:hAnsi="Arial" w:cs="Arial"/>
                <w:bCs/>
                <w:sz w:val="24"/>
                <w:szCs w:val="24"/>
              </w:rPr>
              <w:t>30.593</w:t>
            </w:r>
          </w:p>
        </w:tc>
      </w:tr>
      <w:tr w:rsidR="00B63355" w:rsidRPr="00B63355" w14:paraId="1AA7C5D9" w14:textId="77777777" w:rsidTr="00B63355">
        <w:trPr>
          <w:trHeight w:val="340"/>
        </w:trPr>
        <w:tc>
          <w:tcPr>
            <w:tcW w:w="3082"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hideMark/>
          </w:tcPr>
          <w:p w14:paraId="5A87852B" w14:textId="77777777" w:rsidR="00B63355" w:rsidRPr="00B63355" w:rsidRDefault="00B63355">
            <w:pPr>
              <w:pStyle w:val="ListParagraph"/>
              <w:spacing w:line="256" w:lineRule="auto"/>
              <w:ind w:left="0"/>
              <w:rPr>
                <w:rFonts w:ascii="Arial" w:hAnsi="Arial" w:cs="Arial"/>
                <w:b/>
                <w:sz w:val="24"/>
                <w:szCs w:val="24"/>
              </w:rPr>
            </w:pPr>
            <w:r w:rsidRPr="00B63355">
              <w:rPr>
                <w:rFonts w:ascii="Arial" w:hAnsi="Arial" w:cs="Arial"/>
                <w:b/>
                <w:sz w:val="24"/>
                <w:szCs w:val="24"/>
              </w:rPr>
              <w:t>Financed by:</w:t>
            </w:r>
          </w:p>
        </w:tc>
        <w:tc>
          <w:tcPr>
            <w:tcW w:w="1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0C9891" w14:textId="77777777" w:rsidR="00B63355" w:rsidRPr="00B63355" w:rsidRDefault="00B63355">
            <w:pPr>
              <w:pStyle w:val="ListParagraph"/>
              <w:spacing w:line="256" w:lineRule="auto"/>
              <w:ind w:left="0"/>
              <w:jc w:val="right"/>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45B344" w14:textId="77777777" w:rsidR="00B63355" w:rsidRPr="00B63355" w:rsidRDefault="00B63355">
            <w:pPr>
              <w:pStyle w:val="ListParagraph"/>
              <w:spacing w:line="256" w:lineRule="auto"/>
              <w:ind w:left="0"/>
              <w:jc w:val="right"/>
              <w:rPr>
                <w:rFonts w:ascii="Arial" w:hAnsi="Arial" w:cs="Arial"/>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FB0135" w14:textId="77777777" w:rsidR="00B63355" w:rsidRPr="00B63355" w:rsidRDefault="00B63355">
            <w:pPr>
              <w:pStyle w:val="ListParagraph"/>
              <w:spacing w:line="256" w:lineRule="auto"/>
              <w:ind w:left="0"/>
              <w:jc w:val="right"/>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6A2F5D" w14:textId="77777777" w:rsidR="00B63355" w:rsidRPr="00B63355" w:rsidRDefault="00B63355">
            <w:pPr>
              <w:pStyle w:val="ListParagraph"/>
              <w:spacing w:line="256" w:lineRule="auto"/>
              <w:ind w:left="0"/>
              <w:jc w:val="right"/>
              <w:rPr>
                <w:rFonts w:ascii="Arial" w:hAnsi="Arial" w:cs="Arial"/>
                <w:bCs/>
                <w:sz w:val="24"/>
                <w:szCs w:val="24"/>
              </w:rPr>
            </w:pPr>
          </w:p>
        </w:tc>
      </w:tr>
      <w:tr w:rsidR="00B63355" w:rsidRPr="00B63355" w14:paraId="1FF844DD" w14:textId="77777777" w:rsidTr="00B63355">
        <w:trPr>
          <w:trHeight w:val="397"/>
        </w:trPr>
        <w:tc>
          <w:tcPr>
            <w:tcW w:w="3082" w:type="dxa"/>
            <w:tcBorders>
              <w:top w:val="single" w:sz="4" w:space="0" w:color="auto"/>
              <w:left w:val="single" w:sz="4" w:space="0" w:color="000000"/>
              <w:bottom w:val="single" w:sz="4" w:space="0" w:color="auto"/>
              <w:right w:val="single" w:sz="4" w:space="0" w:color="000000"/>
            </w:tcBorders>
            <w:vAlign w:val="center"/>
            <w:hideMark/>
          </w:tcPr>
          <w:p w14:paraId="315DDF1D" w14:textId="77777777" w:rsidR="00B63355" w:rsidRPr="00B63355" w:rsidRDefault="00B63355">
            <w:pPr>
              <w:pStyle w:val="ListParagraph"/>
              <w:spacing w:line="256" w:lineRule="auto"/>
              <w:ind w:left="0"/>
              <w:rPr>
                <w:rFonts w:ascii="Arial" w:hAnsi="Arial" w:cs="Arial"/>
                <w:sz w:val="24"/>
                <w:szCs w:val="24"/>
              </w:rPr>
            </w:pPr>
            <w:r w:rsidRPr="00B63355">
              <w:rPr>
                <w:rFonts w:ascii="Arial" w:hAnsi="Arial" w:cs="Arial"/>
                <w:sz w:val="24"/>
                <w:szCs w:val="24"/>
              </w:rPr>
              <w:t>Loans</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794527BC"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2.427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D124D15"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4.901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2240D25"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10.341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C1941A5" w14:textId="77777777" w:rsidR="00B63355" w:rsidRPr="00B63355" w:rsidRDefault="00B63355">
            <w:pPr>
              <w:pStyle w:val="ListParagraph"/>
              <w:spacing w:line="256" w:lineRule="auto"/>
              <w:ind w:left="0"/>
              <w:jc w:val="right"/>
              <w:rPr>
                <w:rFonts w:ascii="Arial" w:hAnsi="Arial" w:cs="Arial"/>
                <w:bCs/>
                <w:sz w:val="24"/>
                <w:szCs w:val="24"/>
              </w:rPr>
            </w:pPr>
            <w:r w:rsidRPr="00B63355">
              <w:rPr>
                <w:rFonts w:ascii="Arial" w:hAnsi="Arial" w:cs="Arial"/>
                <w:bCs/>
                <w:sz w:val="24"/>
                <w:szCs w:val="24"/>
              </w:rPr>
              <w:t>17.520</w:t>
            </w:r>
          </w:p>
        </w:tc>
      </w:tr>
      <w:tr w:rsidR="00B63355" w:rsidRPr="00B63355" w14:paraId="4CB9B814" w14:textId="77777777" w:rsidTr="00B63355">
        <w:trPr>
          <w:trHeight w:val="397"/>
        </w:trPr>
        <w:tc>
          <w:tcPr>
            <w:tcW w:w="3082" w:type="dxa"/>
            <w:tcBorders>
              <w:top w:val="single" w:sz="4" w:space="0" w:color="auto"/>
              <w:left w:val="single" w:sz="4" w:space="0" w:color="000000"/>
              <w:bottom w:val="single" w:sz="4" w:space="0" w:color="auto"/>
              <w:right w:val="single" w:sz="4" w:space="0" w:color="000000"/>
            </w:tcBorders>
            <w:vAlign w:val="center"/>
            <w:hideMark/>
          </w:tcPr>
          <w:p w14:paraId="127697BF" w14:textId="77777777" w:rsidR="00B63355" w:rsidRPr="00B63355" w:rsidRDefault="00B63355">
            <w:pPr>
              <w:pStyle w:val="ListParagraph"/>
              <w:spacing w:line="256" w:lineRule="auto"/>
              <w:ind w:left="0"/>
              <w:rPr>
                <w:rFonts w:ascii="Arial" w:hAnsi="Arial" w:cs="Arial"/>
                <w:sz w:val="24"/>
                <w:szCs w:val="24"/>
              </w:rPr>
            </w:pPr>
            <w:r w:rsidRPr="00B63355">
              <w:rPr>
                <w:rFonts w:ascii="Arial" w:hAnsi="Arial" w:cs="Arial"/>
                <w:sz w:val="24"/>
                <w:szCs w:val="24"/>
              </w:rPr>
              <w:t>Grants</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6AA83C79"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1.384</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324CFBD"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1.983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6426113"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7.309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B92E074" w14:textId="77777777" w:rsidR="00B63355" w:rsidRPr="00B63355" w:rsidRDefault="00B63355">
            <w:pPr>
              <w:pStyle w:val="ListParagraph"/>
              <w:spacing w:line="256" w:lineRule="auto"/>
              <w:ind w:left="0"/>
              <w:jc w:val="right"/>
              <w:rPr>
                <w:rFonts w:ascii="Arial" w:hAnsi="Arial" w:cs="Arial"/>
                <w:bCs/>
                <w:sz w:val="24"/>
                <w:szCs w:val="24"/>
              </w:rPr>
            </w:pPr>
            <w:r w:rsidRPr="00B63355">
              <w:rPr>
                <w:rFonts w:ascii="Arial" w:hAnsi="Arial" w:cs="Arial"/>
                <w:bCs/>
                <w:sz w:val="24"/>
                <w:szCs w:val="24"/>
              </w:rPr>
              <w:t>11.725</w:t>
            </w:r>
          </w:p>
        </w:tc>
      </w:tr>
      <w:tr w:rsidR="00B63355" w:rsidRPr="00B63355" w14:paraId="508E9D62" w14:textId="77777777" w:rsidTr="00B63355">
        <w:trPr>
          <w:trHeight w:val="397"/>
        </w:trPr>
        <w:tc>
          <w:tcPr>
            <w:tcW w:w="3082" w:type="dxa"/>
            <w:tcBorders>
              <w:top w:val="single" w:sz="4" w:space="0" w:color="auto"/>
              <w:left w:val="single" w:sz="4" w:space="0" w:color="000000"/>
              <w:bottom w:val="single" w:sz="4" w:space="0" w:color="auto"/>
              <w:right w:val="single" w:sz="4" w:space="0" w:color="000000"/>
            </w:tcBorders>
            <w:vAlign w:val="center"/>
            <w:hideMark/>
          </w:tcPr>
          <w:p w14:paraId="0BD7AD83" w14:textId="77777777" w:rsidR="00B63355" w:rsidRPr="00B63355" w:rsidRDefault="00B63355">
            <w:pPr>
              <w:pStyle w:val="ListParagraph"/>
              <w:spacing w:line="256" w:lineRule="auto"/>
              <w:ind w:left="0"/>
              <w:rPr>
                <w:rFonts w:ascii="Arial" w:hAnsi="Arial" w:cs="Arial"/>
                <w:sz w:val="24"/>
                <w:szCs w:val="24"/>
              </w:rPr>
            </w:pPr>
            <w:r w:rsidRPr="00B63355">
              <w:rPr>
                <w:rFonts w:ascii="Arial" w:hAnsi="Arial" w:cs="Arial"/>
                <w:sz w:val="24"/>
                <w:szCs w:val="24"/>
              </w:rPr>
              <w:t>Capital Receipts</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6C2830B0"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1.080</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E0AF52"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0.895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B2BF79" w14:textId="77777777" w:rsidR="00B63355" w:rsidRPr="00B63355" w:rsidRDefault="00B63355">
            <w:pPr>
              <w:spacing w:line="256" w:lineRule="auto"/>
              <w:jc w:val="right"/>
              <w:rPr>
                <w:rFonts w:cs="Arial"/>
                <w:szCs w:val="24"/>
              </w:rPr>
            </w:pPr>
            <w:r w:rsidRPr="00B63355">
              <w:rPr>
                <w:rFonts w:cs="Arial"/>
                <w:szCs w:val="24"/>
              </w:rPr>
              <w:t>1.346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E6840E7" w14:textId="77777777" w:rsidR="00B63355" w:rsidRPr="00B63355" w:rsidRDefault="00B63355">
            <w:pPr>
              <w:pStyle w:val="ListParagraph"/>
              <w:spacing w:line="256" w:lineRule="auto"/>
              <w:ind w:left="0"/>
              <w:jc w:val="right"/>
              <w:rPr>
                <w:rFonts w:ascii="Arial" w:hAnsi="Arial" w:cs="Arial"/>
                <w:bCs/>
                <w:sz w:val="24"/>
                <w:szCs w:val="24"/>
              </w:rPr>
            </w:pPr>
            <w:r w:rsidRPr="00B63355">
              <w:rPr>
                <w:rFonts w:ascii="Arial" w:hAnsi="Arial" w:cs="Arial"/>
                <w:bCs/>
                <w:sz w:val="24"/>
                <w:szCs w:val="24"/>
              </w:rPr>
              <w:t>0.953</w:t>
            </w:r>
          </w:p>
        </w:tc>
      </w:tr>
      <w:tr w:rsidR="00B63355" w:rsidRPr="00B63355" w14:paraId="525543B1" w14:textId="77777777" w:rsidTr="00B63355">
        <w:trPr>
          <w:trHeight w:val="397"/>
        </w:trPr>
        <w:tc>
          <w:tcPr>
            <w:tcW w:w="3082" w:type="dxa"/>
            <w:tcBorders>
              <w:top w:val="single" w:sz="4" w:space="0" w:color="auto"/>
              <w:left w:val="single" w:sz="4" w:space="0" w:color="000000"/>
              <w:bottom w:val="single" w:sz="4" w:space="0" w:color="auto"/>
              <w:right w:val="single" w:sz="4" w:space="0" w:color="000000"/>
            </w:tcBorders>
            <w:vAlign w:val="center"/>
            <w:hideMark/>
          </w:tcPr>
          <w:p w14:paraId="0A388CAD" w14:textId="77777777" w:rsidR="00B63355" w:rsidRPr="00B63355" w:rsidRDefault="00B63355">
            <w:pPr>
              <w:pStyle w:val="ListParagraph"/>
              <w:spacing w:line="256" w:lineRule="auto"/>
              <w:ind w:left="0"/>
              <w:rPr>
                <w:rFonts w:ascii="Arial" w:hAnsi="Arial" w:cs="Arial"/>
                <w:sz w:val="24"/>
                <w:szCs w:val="24"/>
              </w:rPr>
            </w:pPr>
            <w:r w:rsidRPr="00B63355">
              <w:rPr>
                <w:rFonts w:ascii="Arial" w:hAnsi="Arial" w:cs="Arial"/>
                <w:sz w:val="24"/>
                <w:szCs w:val="24"/>
              </w:rPr>
              <w:t>Revenue/Reserves</w:t>
            </w:r>
          </w:p>
        </w:tc>
        <w:tc>
          <w:tcPr>
            <w:tcW w:w="1562" w:type="dxa"/>
            <w:tcBorders>
              <w:top w:val="single" w:sz="4" w:space="0" w:color="000000"/>
              <w:left w:val="single" w:sz="4" w:space="0" w:color="000000"/>
              <w:bottom w:val="single" w:sz="4" w:space="0" w:color="000000"/>
              <w:right w:val="single" w:sz="4" w:space="0" w:color="000000"/>
            </w:tcBorders>
            <w:vAlign w:val="center"/>
            <w:hideMark/>
          </w:tcPr>
          <w:p w14:paraId="367974AE"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0.296</w:t>
            </w:r>
          </w:p>
        </w:tc>
        <w:tc>
          <w:tcPr>
            <w:tcW w:w="12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C7E1B03"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0.009</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CDF4032" w14:textId="77777777" w:rsidR="00B63355" w:rsidRPr="00B63355" w:rsidRDefault="00B63355">
            <w:pPr>
              <w:spacing w:line="256" w:lineRule="auto"/>
              <w:jc w:val="right"/>
              <w:rPr>
                <w:rFonts w:cs="Arial"/>
                <w:szCs w:val="24"/>
              </w:rPr>
            </w:pPr>
            <w:r w:rsidRPr="00B63355">
              <w:rPr>
                <w:rFonts w:cs="Arial"/>
                <w:szCs w:val="24"/>
              </w:rPr>
              <w:t>0.409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BAE8C9D" w14:textId="77777777" w:rsidR="00B63355" w:rsidRPr="00B63355" w:rsidRDefault="00B63355">
            <w:pPr>
              <w:pStyle w:val="ListParagraph"/>
              <w:spacing w:line="256" w:lineRule="auto"/>
              <w:ind w:left="0"/>
              <w:jc w:val="right"/>
              <w:rPr>
                <w:rFonts w:ascii="Arial" w:hAnsi="Arial" w:cs="Arial"/>
                <w:bCs/>
                <w:sz w:val="24"/>
                <w:szCs w:val="24"/>
              </w:rPr>
            </w:pPr>
            <w:r w:rsidRPr="00B63355">
              <w:rPr>
                <w:rFonts w:ascii="Arial" w:hAnsi="Arial" w:cs="Arial"/>
                <w:bCs/>
                <w:sz w:val="24"/>
                <w:szCs w:val="24"/>
              </w:rPr>
              <w:t>0.395</w:t>
            </w:r>
          </w:p>
        </w:tc>
      </w:tr>
    </w:tbl>
    <w:p w14:paraId="6226EE6D" w14:textId="77777777" w:rsidR="00B63355" w:rsidRPr="00B63355" w:rsidRDefault="00B63355" w:rsidP="00B63355">
      <w:pPr>
        <w:pStyle w:val="Header"/>
        <w:rPr>
          <w:rFonts w:cs="Arial"/>
          <w:bCs/>
          <w:sz w:val="24"/>
          <w:szCs w:val="24"/>
        </w:rPr>
      </w:pPr>
    </w:p>
    <w:p w14:paraId="0A95B028" w14:textId="77777777" w:rsidR="00B63355" w:rsidRPr="00B63355" w:rsidRDefault="00B63355" w:rsidP="00B63355">
      <w:pPr>
        <w:pStyle w:val="Header"/>
        <w:rPr>
          <w:rFonts w:cs="Arial"/>
          <w:b/>
          <w:bCs/>
          <w:sz w:val="24"/>
          <w:szCs w:val="24"/>
        </w:rPr>
      </w:pPr>
      <w:r w:rsidRPr="00B63355">
        <w:rPr>
          <w:rFonts w:cs="Arial"/>
          <w:b/>
          <w:bCs/>
          <w:sz w:val="24"/>
          <w:szCs w:val="24"/>
        </w:rPr>
        <w:t>1.2  Capital – Capital Financing Requirement and External Borrowings</w:t>
      </w:r>
    </w:p>
    <w:p w14:paraId="2B9398DE" w14:textId="77777777" w:rsidR="00B63355" w:rsidRPr="00B63355" w:rsidRDefault="00B63355" w:rsidP="00B63355">
      <w:pPr>
        <w:pStyle w:val="Header"/>
        <w:rPr>
          <w:rFonts w:cs="Arial"/>
          <w:bCs/>
          <w:sz w:val="24"/>
          <w:szCs w:val="24"/>
        </w:rPr>
      </w:pPr>
    </w:p>
    <w:p w14:paraId="585C482D" w14:textId="191EE172" w:rsidR="00B63355" w:rsidRPr="00B63355" w:rsidRDefault="00B63355" w:rsidP="00B63355">
      <w:pPr>
        <w:pStyle w:val="BodyText"/>
        <w:spacing w:after="0"/>
        <w:rPr>
          <w:rFonts w:cs="Arial"/>
          <w:szCs w:val="24"/>
        </w:rPr>
      </w:pPr>
      <w:r w:rsidRPr="00B63355">
        <w:rPr>
          <w:rFonts w:cs="Arial"/>
          <w:szCs w:val="24"/>
        </w:rPr>
        <w:t xml:space="preserve">The Council’s cumulative outstanding amount of debt finance </w:t>
      </w:r>
      <w:r>
        <w:rPr>
          <w:rFonts w:cs="Arial"/>
          <w:szCs w:val="24"/>
        </w:rPr>
        <w:t>was</w:t>
      </w:r>
      <w:r w:rsidRPr="00B63355">
        <w:rPr>
          <w:rFonts w:cs="Arial"/>
          <w:szCs w:val="24"/>
        </w:rPr>
        <w:t xml:space="preserve"> measured by the Capital Financing Requirement (CFR).  This increases with new debt-financed capital expenditure and reduces with MRP (minimum revenue provision).  See section 1.4 for further information on MRP. </w:t>
      </w:r>
    </w:p>
    <w:p w14:paraId="6749C3C8" w14:textId="77777777" w:rsidR="00B63355" w:rsidRPr="00B63355" w:rsidRDefault="00B63355" w:rsidP="00B63355">
      <w:pPr>
        <w:pStyle w:val="BodyText"/>
        <w:spacing w:after="0"/>
        <w:rPr>
          <w:rFonts w:cs="Arial"/>
          <w:szCs w:val="24"/>
        </w:rPr>
      </w:pPr>
    </w:p>
    <w:p w14:paraId="13E8BCE8" w14:textId="40BB0976" w:rsidR="00B63355" w:rsidRPr="00B63355" w:rsidRDefault="00B63355" w:rsidP="00B63355">
      <w:pPr>
        <w:pStyle w:val="BodyText"/>
        <w:spacing w:after="0"/>
        <w:rPr>
          <w:rFonts w:cs="Arial"/>
          <w:szCs w:val="24"/>
        </w:rPr>
      </w:pPr>
      <w:r w:rsidRPr="00B63355">
        <w:rPr>
          <w:rFonts w:cs="Arial"/>
          <w:szCs w:val="24"/>
        </w:rPr>
        <w:t xml:space="preserve">Statutory guidance </w:t>
      </w:r>
      <w:r>
        <w:rPr>
          <w:rFonts w:cs="Arial"/>
          <w:szCs w:val="24"/>
        </w:rPr>
        <w:t>was</w:t>
      </w:r>
      <w:r w:rsidRPr="00B63355">
        <w:rPr>
          <w:rFonts w:cs="Arial"/>
          <w:szCs w:val="24"/>
        </w:rPr>
        <w:t xml:space="preserve"> that debt should remain below the capital financing requirement, except in the short term.  The Council </w:t>
      </w:r>
      <w:r>
        <w:rPr>
          <w:rFonts w:cs="Arial"/>
          <w:szCs w:val="24"/>
        </w:rPr>
        <w:t>had</w:t>
      </w:r>
      <w:r w:rsidRPr="00B63355">
        <w:rPr>
          <w:rFonts w:cs="Arial"/>
          <w:szCs w:val="24"/>
        </w:rPr>
        <w:t xml:space="preserve"> complied and expect</w:t>
      </w:r>
      <w:r>
        <w:rPr>
          <w:rFonts w:cs="Arial"/>
          <w:szCs w:val="24"/>
        </w:rPr>
        <w:t>ed</w:t>
      </w:r>
      <w:r w:rsidRPr="00B63355">
        <w:rPr>
          <w:rFonts w:cs="Arial"/>
          <w:szCs w:val="24"/>
        </w:rPr>
        <w:t xml:space="preserve"> to continue to comply with this requirement in the medium term as shown below.</w:t>
      </w:r>
    </w:p>
    <w:tbl>
      <w:tblPr>
        <w:tblW w:w="89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1"/>
        <w:gridCol w:w="1275"/>
        <w:gridCol w:w="1133"/>
        <w:gridCol w:w="1133"/>
        <w:gridCol w:w="1133"/>
      </w:tblGrid>
      <w:tr w:rsidR="00B63355" w:rsidRPr="00B63355" w14:paraId="0992ACF4" w14:textId="77777777" w:rsidTr="00B63355">
        <w:trPr>
          <w:trHeight w:val="340"/>
        </w:trPr>
        <w:tc>
          <w:tcPr>
            <w:tcW w:w="4253" w:type="dxa"/>
            <w:tcBorders>
              <w:top w:val="nil"/>
              <w:left w:val="nil"/>
              <w:bottom w:val="nil"/>
              <w:right w:val="nil"/>
            </w:tcBorders>
            <w:vAlign w:val="center"/>
          </w:tcPr>
          <w:p w14:paraId="62A3BD50" w14:textId="77777777" w:rsidR="00B63355" w:rsidRPr="00B63355" w:rsidRDefault="00B63355">
            <w:pPr>
              <w:pStyle w:val="ListParagraph"/>
              <w:spacing w:line="256" w:lineRule="auto"/>
              <w:ind w:left="0"/>
              <w:rPr>
                <w:rFonts w:ascii="Arial" w:hAnsi="Arial" w:cs="Arial"/>
                <w:sz w:val="24"/>
                <w:szCs w:val="24"/>
              </w:rPr>
            </w:pPr>
          </w:p>
        </w:tc>
        <w:tc>
          <w:tcPr>
            <w:tcW w:w="1276" w:type="dxa"/>
            <w:tcBorders>
              <w:top w:val="single" w:sz="4" w:space="0" w:color="auto"/>
              <w:left w:val="single" w:sz="4" w:space="0" w:color="auto"/>
              <w:bottom w:val="single" w:sz="4" w:space="0" w:color="auto"/>
              <w:right w:val="single" w:sz="4" w:space="0" w:color="000000"/>
            </w:tcBorders>
            <w:shd w:val="clear" w:color="auto" w:fill="0070C0"/>
            <w:vAlign w:val="center"/>
            <w:hideMark/>
          </w:tcPr>
          <w:p w14:paraId="3EA28645"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Actual</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0070C0"/>
            <w:vAlign w:val="center"/>
            <w:hideMark/>
          </w:tcPr>
          <w:p w14:paraId="7C05E798"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Revised Forecast</w:t>
            </w:r>
          </w:p>
        </w:tc>
      </w:tr>
      <w:tr w:rsidR="00B63355" w:rsidRPr="00B63355" w14:paraId="74625938" w14:textId="77777777" w:rsidTr="00B63355">
        <w:trPr>
          <w:trHeight w:val="340"/>
        </w:trPr>
        <w:tc>
          <w:tcPr>
            <w:tcW w:w="4253" w:type="dxa"/>
            <w:tcBorders>
              <w:top w:val="nil"/>
              <w:left w:val="nil"/>
              <w:bottom w:val="nil"/>
              <w:right w:val="single" w:sz="4" w:space="0" w:color="auto"/>
            </w:tcBorders>
            <w:vAlign w:val="center"/>
          </w:tcPr>
          <w:p w14:paraId="5B01D47F" w14:textId="77777777" w:rsidR="00B63355" w:rsidRPr="00B63355" w:rsidRDefault="00B63355">
            <w:pPr>
              <w:pStyle w:val="ListParagraph"/>
              <w:spacing w:line="256" w:lineRule="auto"/>
              <w:ind w:left="0"/>
              <w:rPr>
                <w:rFonts w:ascii="Arial" w:hAnsi="Arial" w:cs="Arial"/>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041ED64"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2022/23</w:t>
            </w:r>
          </w:p>
        </w:tc>
        <w:tc>
          <w:tcPr>
            <w:tcW w:w="1134"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2C3D0CB1"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2023/24</w:t>
            </w:r>
          </w:p>
        </w:tc>
        <w:tc>
          <w:tcPr>
            <w:tcW w:w="113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3D1CA36A"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2024/25</w:t>
            </w:r>
          </w:p>
        </w:tc>
        <w:tc>
          <w:tcPr>
            <w:tcW w:w="113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EB5ED6E"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2025/26</w:t>
            </w:r>
          </w:p>
        </w:tc>
      </w:tr>
      <w:tr w:rsidR="00B63355" w:rsidRPr="00B63355" w14:paraId="7773A69C" w14:textId="77777777" w:rsidTr="00B63355">
        <w:trPr>
          <w:trHeight w:val="340"/>
        </w:trPr>
        <w:tc>
          <w:tcPr>
            <w:tcW w:w="4253" w:type="dxa"/>
            <w:tcBorders>
              <w:top w:val="nil"/>
              <w:left w:val="single" w:sz="4" w:space="0" w:color="auto"/>
              <w:bottom w:val="single" w:sz="4" w:space="0" w:color="auto"/>
              <w:right w:val="single" w:sz="4" w:space="0" w:color="auto"/>
            </w:tcBorders>
            <w:shd w:val="clear" w:color="auto" w:fill="0070C0"/>
            <w:vAlign w:val="center"/>
            <w:hideMark/>
          </w:tcPr>
          <w:p w14:paraId="7C05A563" w14:textId="77777777" w:rsidR="00B63355" w:rsidRPr="00B63355" w:rsidRDefault="00B63355">
            <w:pPr>
              <w:pStyle w:val="ListParagraph"/>
              <w:spacing w:line="256" w:lineRule="auto"/>
              <w:ind w:left="0"/>
              <w:rPr>
                <w:rFonts w:ascii="Arial" w:hAnsi="Arial" w:cs="Arial"/>
                <w:b/>
                <w:color w:val="FFFFFF" w:themeColor="background1"/>
                <w:sz w:val="24"/>
                <w:szCs w:val="24"/>
              </w:rPr>
            </w:pPr>
            <w:r w:rsidRPr="00B63355">
              <w:rPr>
                <w:rFonts w:ascii="Arial" w:hAnsi="Arial" w:cs="Arial"/>
                <w:b/>
                <w:color w:val="FFFFFF" w:themeColor="background1"/>
                <w:sz w:val="24"/>
                <w:szCs w:val="24"/>
              </w:rPr>
              <w:t>Table 1.2</w:t>
            </w:r>
          </w:p>
        </w:tc>
        <w:tc>
          <w:tcPr>
            <w:tcW w:w="1276" w:type="dxa"/>
            <w:tcBorders>
              <w:top w:val="single" w:sz="4" w:space="0" w:color="auto"/>
              <w:left w:val="single" w:sz="4" w:space="0" w:color="auto"/>
              <w:bottom w:val="single" w:sz="4" w:space="0" w:color="000000"/>
              <w:right w:val="single" w:sz="4" w:space="0" w:color="auto"/>
            </w:tcBorders>
            <w:shd w:val="clear" w:color="auto" w:fill="0070C0"/>
            <w:vAlign w:val="center"/>
            <w:hideMark/>
          </w:tcPr>
          <w:p w14:paraId="7FA6C477"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£m</w:t>
            </w:r>
          </w:p>
        </w:tc>
        <w:tc>
          <w:tcPr>
            <w:tcW w:w="1134" w:type="dxa"/>
            <w:tcBorders>
              <w:top w:val="single" w:sz="4" w:space="0" w:color="auto"/>
              <w:left w:val="single" w:sz="4" w:space="0" w:color="auto"/>
              <w:bottom w:val="single" w:sz="4" w:space="0" w:color="000000"/>
              <w:right w:val="single" w:sz="4" w:space="0" w:color="000000"/>
            </w:tcBorders>
            <w:shd w:val="clear" w:color="auto" w:fill="0070C0"/>
            <w:vAlign w:val="center"/>
            <w:hideMark/>
          </w:tcPr>
          <w:p w14:paraId="3BCC1306"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£m</w:t>
            </w:r>
          </w:p>
        </w:tc>
        <w:tc>
          <w:tcPr>
            <w:tcW w:w="113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1F02A885"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£m</w:t>
            </w:r>
          </w:p>
        </w:tc>
        <w:tc>
          <w:tcPr>
            <w:tcW w:w="113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4407B9E7"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£m</w:t>
            </w:r>
          </w:p>
        </w:tc>
      </w:tr>
      <w:tr w:rsidR="00B63355" w:rsidRPr="00B63355" w14:paraId="3EA3DA65" w14:textId="77777777" w:rsidTr="00B63355">
        <w:trPr>
          <w:trHeight w:val="397"/>
        </w:trPr>
        <w:tc>
          <w:tcPr>
            <w:tcW w:w="4253" w:type="dxa"/>
            <w:tcBorders>
              <w:top w:val="single" w:sz="4" w:space="0" w:color="auto"/>
              <w:left w:val="single" w:sz="4" w:space="0" w:color="000000"/>
              <w:bottom w:val="single" w:sz="4" w:space="0" w:color="auto"/>
              <w:right w:val="single" w:sz="4" w:space="0" w:color="000000"/>
            </w:tcBorders>
            <w:vAlign w:val="center"/>
            <w:hideMark/>
          </w:tcPr>
          <w:p w14:paraId="2ACBAAC1" w14:textId="77777777" w:rsidR="00B63355" w:rsidRPr="00B63355" w:rsidRDefault="00B63355">
            <w:pPr>
              <w:pStyle w:val="ListParagraph"/>
              <w:spacing w:line="256" w:lineRule="auto"/>
              <w:ind w:left="0"/>
              <w:rPr>
                <w:rFonts w:ascii="Arial" w:hAnsi="Arial" w:cs="Arial"/>
                <w:sz w:val="24"/>
                <w:szCs w:val="24"/>
              </w:rPr>
            </w:pPr>
            <w:r w:rsidRPr="00B63355">
              <w:rPr>
                <w:rFonts w:ascii="Arial" w:hAnsi="Arial" w:cs="Arial"/>
                <w:sz w:val="24"/>
                <w:szCs w:val="24"/>
              </w:rPr>
              <w:t>Capital Financing Requirement (CFR)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2628028"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76.328</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DB7AC2"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75.853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A016AD3"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79.784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6BEE5A" w14:textId="77777777" w:rsidR="00B63355" w:rsidRPr="00B63355" w:rsidRDefault="00B63355">
            <w:pPr>
              <w:pStyle w:val="ListParagraph"/>
              <w:spacing w:line="256" w:lineRule="auto"/>
              <w:ind w:left="0"/>
              <w:jc w:val="right"/>
              <w:rPr>
                <w:rFonts w:ascii="Arial" w:hAnsi="Arial" w:cs="Arial"/>
                <w:bCs/>
                <w:sz w:val="24"/>
                <w:szCs w:val="24"/>
              </w:rPr>
            </w:pPr>
            <w:r w:rsidRPr="00B63355">
              <w:rPr>
                <w:rFonts w:ascii="Arial" w:hAnsi="Arial" w:cs="Arial"/>
                <w:bCs/>
                <w:sz w:val="24"/>
                <w:szCs w:val="24"/>
              </w:rPr>
              <w:t>90.301</w:t>
            </w:r>
          </w:p>
        </w:tc>
      </w:tr>
      <w:tr w:rsidR="00B63355" w:rsidRPr="00B63355" w14:paraId="412D2E33" w14:textId="77777777" w:rsidTr="00B63355">
        <w:trPr>
          <w:trHeight w:val="397"/>
        </w:trPr>
        <w:tc>
          <w:tcPr>
            <w:tcW w:w="4253" w:type="dxa"/>
            <w:tcBorders>
              <w:top w:val="single" w:sz="4" w:space="0" w:color="auto"/>
              <w:left w:val="single" w:sz="4" w:space="0" w:color="000000"/>
              <w:bottom w:val="single" w:sz="4" w:space="0" w:color="auto"/>
              <w:right w:val="single" w:sz="4" w:space="0" w:color="000000"/>
            </w:tcBorders>
            <w:vAlign w:val="center"/>
            <w:hideMark/>
          </w:tcPr>
          <w:p w14:paraId="2EFE3D84" w14:textId="77777777" w:rsidR="00B63355" w:rsidRPr="00B63355" w:rsidRDefault="00B63355">
            <w:pPr>
              <w:pStyle w:val="ListParagraph"/>
              <w:spacing w:line="256" w:lineRule="auto"/>
              <w:ind w:left="0"/>
              <w:rPr>
                <w:rFonts w:ascii="Arial" w:hAnsi="Arial" w:cs="Arial"/>
                <w:sz w:val="24"/>
                <w:szCs w:val="24"/>
              </w:rPr>
            </w:pPr>
            <w:r w:rsidRPr="00B63355">
              <w:rPr>
                <w:rFonts w:ascii="Arial" w:hAnsi="Arial" w:cs="Arial"/>
                <w:sz w:val="24"/>
                <w:szCs w:val="24"/>
              </w:rPr>
              <w:t>External Gross Borrowing</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A8ACF36"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63.725</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3C37C9"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59.651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3350CD0"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61.226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394587" w14:textId="77777777" w:rsidR="00B63355" w:rsidRPr="00B63355" w:rsidRDefault="00B63355">
            <w:pPr>
              <w:pStyle w:val="ListParagraph"/>
              <w:spacing w:line="256" w:lineRule="auto"/>
              <w:ind w:left="0"/>
              <w:jc w:val="right"/>
              <w:rPr>
                <w:rFonts w:ascii="Arial" w:hAnsi="Arial" w:cs="Arial"/>
                <w:bCs/>
                <w:sz w:val="24"/>
                <w:szCs w:val="24"/>
              </w:rPr>
            </w:pPr>
            <w:r w:rsidRPr="00B63355">
              <w:rPr>
                <w:rFonts w:ascii="Arial" w:hAnsi="Arial" w:cs="Arial"/>
                <w:bCs/>
                <w:sz w:val="24"/>
                <w:szCs w:val="24"/>
              </w:rPr>
              <w:t>72.574</w:t>
            </w:r>
          </w:p>
        </w:tc>
      </w:tr>
      <w:tr w:rsidR="00B63355" w:rsidRPr="00B63355" w14:paraId="5C6CAC76" w14:textId="77777777" w:rsidTr="00B63355">
        <w:trPr>
          <w:trHeight w:val="397"/>
        </w:trPr>
        <w:tc>
          <w:tcPr>
            <w:tcW w:w="4253" w:type="dxa"/>
            <w:tcBorders>
              <w:top w:val="single" w:sz="4" w:space="0" w:color="auto"/>
              <w:left w:val="single" w:sz="4" w:space="0" w:color="000000"/>
              <w:bottom w:val="single" w:sz="4" w:space="0" w:color="auto"/>
              <w:right w:val="single" w:sz="4" w:space="0" w:color="000000"/>
            </w:tcBorders>
            <w:vAlign w:val="center"/>
            <w:hideMark/>
          </w:tcPr>
          <w:p w14:paraId="7D52326A" w14:textId="77777777" w:rsidR="00B63355" w:rsidRPr="00B63355" w:rsidRDefault="00B63355">
            <w:pPr>
              <w:pStyle w:val="ListParagraph"/>
              <w:spacing w:line="256" w:lineRule="auto"/>
              <w:ind w:left="0"/>
              <w:rPr>
                <w:rFonts w:ascii="Arial" w:hAnsi="Arial" w:cs="Arial"/>
                <w:sz w:val="24"/>
                <w:szCs w:val="24"/>
              </w:rPr>
            </w:pPr>
            <w:r w:rsidRPr="00B63355">
              <w:rPr>
                <w:rFonts w:ascii="Arial" w:hAnsi="Arial" w:cs="Arial"/>
                <w:sz w:val="24"/>
                <w:szCs w:val="24"/>
              </w:rPr>
              <w:t>Gross Borrowing within CFR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650F2F"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1044F86"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Yes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6B8C2A"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Yes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ED01D8" w14:textId="77777777" w:rsidR="00B63355" w:rsidRPr="00B63355" w:rsidRDefault="00B63355">
            <w:pPr>
              <w:pStyle w:val="ListParagraph"/>
              <w:spacing w:line="256" w:lineRule="auto"/>
              <w:ind w:left="0"/>
              <w:jc w:val="center"/>
              <w:rPr>
                <w:rFonts w:ascii="Arial" w:hAnsi="Arial" w:cs="Arial"/>
                <w:bCs/>
                <w:sz w:val="24"/>
                <w:szCs w:val="24"/>
              </w:rPr>
            </w:pPr>
            <w:r w:rsidRPr="00B63355">
              <w:rPr>
                <w:rFonts w:ascii="Arial" w:hAnsi="Arial" w:cs="Arial"/>
                <w:sz w:val="24"/>
                <w:szCs w:val="24"/>
              </w:rPr>
              <w:t>Yes</w:t>
            </w:r>
          </w:p>
        </w:tc>
      </w:tr>
    </w:tbl>
    <w:p w14:paraId="50210169" w14:textId="77777777" w:rsidR="00B63355" w:rsidRPr="00B63355" w:rsidRDefault="00B63355" w:rsidP="00B63355">
      <w:pPr>
        <w:pStyle w:val="BodyText"/>
        <w:spacing w:after="0"/>
        <w:rPr>
          <w:rFonts w:eastAsia="Times New Roman" w:cs="Arial"/>
          <w:szCs w:val="24"/>
        </w:rPr>
      </w:pPr>
    </w:p>
    <w:p w14:paraId="1D3FEB1E" w14:textId="53C0647F" w:rsidR="00B63355" w:rsidRPr="00B63355" w:rsidRDefault="00B63355" w:rsidP="00B63355">
      <w:pPr>
        <w:pStyle w:val="BodyText"/>
        <w:spacing w:after="0"/>
        <w:rPr>
          <w:rFonts w:cs="Arial"/>
          <w:szCs w:val="24"/>
        </w:rPr>
      </w:pPr>
      <w:r w:rsidRPr="00B63355">
        <w:rPr>
          <w:rFonts w:cs="Arial"/>
          <w:bCs/>
          <w:szCs w:val="24"/>
        </w:rPr>
        <w:t>The difference between the CFR and the Gross Borrowing figures represent</w:t>
      </w:r>
      <w:r>
        <w:rPr>
          <w:rFonts w:cs="Arial"/>
          <w:bCs/>
          <w:szCs w:val="24"/>
        </w:rPr>
        <w:t>ed</w:t>
      </w:r>
      <w:r w:rsidRPr="00B63355">
        <w:rPr>
          <w:rFonts w:cs="Arial"/>
          <w:bCs/>
          <w:szCs w:val="24"/>
        </w:rPr>
        <w:t xml:space="preserve"> the Council’s underlying need to borrow (£14.6m 23/24 forecast) and indicate</w:t>
      </w:r>
      <w:r>
        <w:rPr>
          <w:rFonts w:cs="Arial"/>
          <w:bCs/>
          <w:szCs w:val="24"/>
        </w:rPr>
        <w:t>d</w:t>
      </w:r>
      <w:r w:rsidRPr="00B63355">
        <w:rPr>
          <w:rFonts w:cs="Arial"/>
          <w:bCs/>
          <w:szCs w:val="24"/>
        </w:rPr>
        <w:t xml:space="preserve"> that historic capital expenditure </w:t>
      </w:r>
      <w:r>
        <w:rPr>
          <w:rFonts w:cs="Arial"/>
          <w:bCs/>
          <w:szCs w:val="24"/>
        </w:rPr>
        <w:t>had</w:t>
      </w:r>
      <w:r w:rsidRPr="00B63355">
        <w:rPr>
          <w:rFonts w:cs="Arial"/>
          <w:bCs/>
          <w:szCs w:val="24"/>
        </w:rPr>
        <w:t xml:space="preserve"> been temporarily financed from internal revenue resources.  This </w:t>
      </w:r>
      <w:r>
        <w:rPr>
          <w:rFonts w:cs="Arial"/>
          <w:bCs/>
          <w:szCs w:val="24"/>
        </w:rPr>
        <w:t>had</w:t>
      </w:r>
      <w:r w:rsidRPr="00B63355">
        <w:rPr>
          <w:rFonts w:cs="Arial"/>
          <w:bCs/>
          <w:szCs w:val="24"/>
        </w:rPr>
        <w:t xml:space="preserve"> been made possible due to an increase in the Council’s cash reserves in the current and previous years.  The position </w:t>
      </w:r>
      <w:r>
        <w:rPr>
          <w:rFonts w:cs="Arial"/>
          <w:bCs/>
          <w:szCs w:val="24"/>
        </w:rPr>
        <w:t>had</w:t>
      </w:r>
      <w:r w:rsidRPr="00B63355">
        <w:rPr>
          <w:rFonts w:cs="Arial"/>
          <w:bCs/>
          <w:szCs w:val="24"/>
        </w:rPr>
        <w:t xml:space="preserve"> been similar for several years with the Council last taking out long-term borrowings in November 2018.</w:t>
      </w:r>
    </w:p>
    <w:p w14:paraId="382BACCC" w14:textId="77777777" w:rsidR="00B63355" w:rsidRPr="00B63355" w:rsidRDefault="00B63355" w:rsidP="00B63355">
      <w:pPr>
        <w:pStyle w:val="BodyText"/>
        <w:spacing w:after="0"/>
        <w:rPr>
          <w:rFonts w:cs="Arial"/>
          <w:szCs w:val="24"/>
        </w:rPr>
      </w:pPr>
    </w:p>
    <w:p w14:paraId="7E90F236" w14:textId="77777777" w:rsidR="00B63355" w:rsidRPr="00B63355" w:rsidRDefault="00B63355" w:rsidP="00B63355">
      <w:pPr>
        <w:pStyle w:val="BodyText"/>
        <w:spacing w:after="0"/>
        <w:rPr>
          <w:rFonts w:cs="Arial"/>
          <w:bCs/>
          <w:szCs w:val="24"/>
        </w:rPr>
      </w:pPr>
    </w:p>
    <w:p w14:paraId="19A8F53C" w14:textId="77777777" w:rsidR="00B63355" w:rsidRPr="00B63355" w:rsidRDefault="00B63355" w:rsidP="00B63355">
      <w:pPr>
        <w:pStyle w:val="Header"/>
        <w:rPr>
          <w:rFonts w:cs="Arial"/>
          <w:b/>
          <w:bCs/>
          <w:sz w:val="24"/>
          <w:szCs w:val="24"/>
        </w:rPr>
      </w:pPr>
      <w:r w:rsidRPr="00B63355">
        <w:rPr>
          <w:rFonts w:cs="Arial"/>
          <w:b/>
          <w:bCs/>
          <w:sz w:val="24"/>
          <w:szCs w:val="24"/>
        </w:rPr>
        <w:lastRenderedPageBreak/>
        <w:t>1.3  Capital - Debt and the Authorised Limit and Operational Boundary</w:t>
      </w:r>
    </w:p>
    <w:p w14:paraId="01D4BCC4" w14:textId="77777777" w:rsidR="00B63355" w:rsidRPr="00B63355" w:rsidRDefault="00B63355" w:rsidP="00B63355">
      <w:pPr>
        <w:pStyle w:val="BodyText"/>
        <w:spacing w:after="0"/>
        <w:rPr>
          <w:rFonts w:cs="Arial"/>
          <w:bCs/>
          <w:szCs w:val="24"/>
        </w:rPr>
      </w:pPr>
    </w:p>
    <w:p w14:paraId="595A66FF" w14:textId="09557AC5" w:rsidR="00B63355" w:rsidRPr="00B63355" w:rsidRDefault="00B63355" w:rsidP="00B63355">
      <w:pPr>
        <w:pStyle w:val="Header"/>
        <w:jc w:val="both"/>
        <w:rPr>
          <w:rFonts w:cs="Arial"/>
          <w:bCs/>
          <w:sz w:val="24"/>
          <w:szCs w:val="24"/>
        </w:rPr>
      </w:pPr>
      <w:r w:rsidRPr="00B63355">
        <w:rPr>
          <w:rFonts w:cs="Arial"/>
          <w:bCs/>
          <w:sz w:val="24"/>
          <w:szCs w:val="24"/>
        </w:rPr>
        <w:t xml:space="preserve">The Council </w:t>
      </w:r>
      <w:r>
        <w:rPr>
          <w:rFonts w:cs="Arial"/>
          <w:bCs/>
          <w:sz w:val="24"/>
          <w:szCs w:val="24"/>
        </w:rPr>
        <w:t>was</w:t>
      </w:r>
      <w:r w:rsidRPr="00B63355">
        <w:rPr>
          <w:rFonts w:cs="Arial"/>
          <w:bCs/>
          <w:sz w:val="24"/>
          <w:szCs w:val="24"/>
        </w:rPr>
        <w:t xml:space="preserve"> legally obliged to set an affordable borrowing limit each year, known as the ‘Authorised Limit.’  In line with statutory guidance, a lower ‘operational boundary’ </w:t>
      </w:r>
      <w:r>
        <w:rPr>
          <w:rFonts w:cs="Arial"/>
          <w:bCs/>
          <w:sz w:val="24"/>
          <w:szCs w:val="24"/>
        </w:rPr>
        <w:t>was</w:t>
      </w:r>
      <w:r w:rsidRPr="00B63355">
        <w:rPr>
          <w:rFonts w:cs="Arial"/>
          <w:bCs/>
          <w:sz w:val="24"/>
          <w:szCs w:val="24"/>
        </w:rPr>
        <w:t xml:space="preserve"> also set as a warning level should debt approach the limit.</w:t>
      </w:r>
    </w:p>
    <w:p w14:paraId="7C2E1C87" w14:textId="77777777" w:rsidR="00B63355" w:rsidRPr="00B63355" w:rsidRDefault="00B63355" w:rsidP="00B63355">
      <w:pPr>
        <w:pStyle w:val="Header"/>
        <w:jc w:val="both"/>
        <w:rPr>
          <w:rFonts w:cs="Arial"/>
          <w:bCs/>
          <w:sz w:val="24"/>
          <w:szCs w:val="24"/>
        </w:rPr>
      </w:pPr>
    </w:p>
    <w:p w14:paraId="10095A5C" w14:textId="60D9B912" w:rsidR="00B63355" w:rsidRPr="00B63355" w:rsidRDefault="00B63355" w:rsidP="00B63355">
      <w:pPr>
        <w:pStyle w:val="Header"/>
        <w:jc w:val="both"/>
        <w:rPr>
          <w:rFonts w:cs="Arial"/>
          <w:bCs/>
          <w:sz w:val="24"/>
          <w:szCs w:val="24"/>
        </w:rPr>
      </w:pPr>
      <w:r w:rsidRPr="00B63355">
        <w:rPr>
          <w:rFonts w:cs="Arial"/>
          <w:bCs/>
          <w:sz w:val="24"/>
          <w:szCs w:val="24"/>
        </w:rPr>
        <w:t xml:space="preserve">The revised forecast for external gross borrowing at 31/03/24 </w:t>
      </w:r>
      <w:r>
        <w:rPr>
          <w:rFonts w:cs="Arial"/>
          <w:bCs/>
          <w:sz w:val="24"/>
          <w:szCs w:val="24"/>
        </w:rPr>
        <w:t>was</w:t>
      </w:r>
      <w:r w:rsidRPr="00B63355">
        <w:rPr>
          <w:rFonts w:cs="Arial"/>
          <w:bCs/>
          <w:sz w:val="24"/>
          <w:szCs w:val="24"/>
        </w:rPr>
        <w:t xml:space="preserve"> £59.7m (table 1.2).  The Council </w:t>
      </w:r>
      <w:r>
        <w:rPr>
          <w:rFonts w:cs="Arial"/>
          <w:bCs/>
          <w:sz w:val="24"/>
          <w:szCs w:val="24"/>
        </w:rPr>
        <w:t>was</w:t>
      </w:r>
      <w:r w:rsidRPr="00B63355">
        <w:rPr>
          <w:rFonts w:cs="Arial"/>
          <w:bCs/>
          <w:sz w:val="24"/>
          <w:szCs w:val="24"/>
        </w:rPr>
        <w:t xml:space="preserve"> therefore forecast to remain well within both the Authorised Limit and the Operational Boundary set for the year as follows:</w:t>
      </w:r>
    </w:p>
    <w:p w14:paraId="51DC43E0" w14:textId="77777777" w:rsidR="00B63355" w:rsidRPr="00B63355" w:rsidRDefault="00B63355" w:rsidP="00B63355">
      <w:pPr>
        <w:pStyle w:val="Header"/>
        <w:jc w:val="both"/>
        <w:rPr>
          <w:rFonts w:cs="Arial"/>
          <w:bCs/>
          <w:sz w:val="24"/>
          <w:szCs w:val="24"/>
        </w:rPr>
      </w:pPr>
    </w:p>
    <w:tbl>
      <w:tblPr>
        <w:tblStyle w:val="TableGrid"/>
        <w:tblW w:w="6776" w:type="dxa"/>
        <w:tblLook w:val="04A0" w:firstRow="1" w:lastRow="0" w:firstColumn="1" w:lastColumn="0" w:noHBand="0" w:noVBand="1"/>
      </w:tblPr>
      <w:tblGrid>
        <w:gridCol w:w="5217"/>
        <w:gridCol w:w="1559"/>
      </w:tblGrid>
      <w:tr w:rsidR="00B63355" w:rsidRPr="00B63355" w14:paraId="7F278EDD" w14:textId="77777777" w:rsidTr="008A5CCD">
        <w:trPr>
          <w:trHeight w:val="416"/>
        </w:trPr>
        <w:tc>
          <w:tcPr>
            <w:tcW w:w="5217" w:type="dxa"/>
            <w:tcBorders>
              <w:top w:val="single" w:sz="4" w:space="0" w:color="auto"/>
              <w:left w:val="single" w:sz="4" w:space="0" w:color="auto"/>
              <w:bottom w:val="single" w:sz="4" w:space="0" w:color="auto"/>
              <w:right w:val="single" w:sz="4" w:space="0" w:color="auto"/>
            </w:tcBorders>
            <w:shd w:val="clear" w:color="auto" w:fill="0070C0"/>
            <w:hideMark/>
          </w:tcPr>
          <w:p w14:paraId="0A24DB05" w14:textId="77777777" w:rsidR="00B63355" w:rsidRPr="00B63355" w:rsidRDefault="00B63355" w:rsidP="008A5CCD">
            <w:pPr>
              <w:spacing w:before="60" w:after="60"/>
              <w:rPr>
                <w:rFonts w:cs="Arial"/>
                <w:b/>
                <w:bCs/>
                <w:color w:val="FFFFFF" w:themeColor="background1"/>
              </w:rPr>
            </w:pPr>
            <w:r w:rsidRPr="00B63355">
              <w:rPr>
                <w:rFonts w:cs="Arial"/>
                <w:b/>
                <w:bCs/>
                <w:color w:val="FFFFFF" w:themeColor="background1"/>
              </w:rPr>
              <w:t>Table 1.3</w:t>
            </w:r>
          </w:p>
        </w:tc>
        <w:tc>
          <w:tcPr>
            <w:tcW w:w="1559" w:type="dxa"/>
            <w:tcBorders>
              <w:top w:val="single" w:sz="4" w:space="0" w:color="auto"/>
              <w:left w:val="single" w:sz="4" w:space="0" w:color="auto"/>
              <w:bottom w:val="single" w:sz="4" w:space="0" w:color="auto"/>
              <w:right w:val="single" w:sz="4" w:space="0" w:color="auto"/>
            </w:tcBorders>
            <w:shd w:val="clear" w:color="auto" w:fill="0070C0"/>
            <w:hideMark/>
          </w:tcPr>
          <w:p w14:paraId="42F2FED8" w14:textId="77777777" w:rsidR="00B63355" w:rsidRPr="00B63355" w:rsidRDefault="00B63355" w:rsidP="008A5CCD">
            <w:pPr>
              <w:spacing w:before="60" w:after="60"/>
              <w:jc w:val="center"/>
              <w:rPr>
                <w:rFonts w:cs="Arial"/>
                <w:b/>
                <w:color w:val="FFFFFF" w:themeColor="background1"/>
              </w:rPr>
            </w:pPr>
            <w:r w:rsidRPr="00B63355">
              <w:rPr>
                <w:rFonts w:cs="Arial"/>
                <w:b/>
                <w:color w:val="FFFFFF" w:themeColor="background1"/>
              </w:rPr>
              <w:t xml:space="preserve">2023/24 </w:t>
            </w:r>
          </w:p>
        </w:tc>
      </w:tr>
      <w:tr w:rsidR="00B63355" w:rsidRPr="00B63355" w14:paraId="54A187D3" w14:textId="77777777" w:rsidTr="008A5CCD">
        <w:tc>
          <w:tcPr>
            <w:tcW w:w="5217" w:type="dxa"/>
            <w:tcBorders>
              <w:top w:val="single" w:sz="4" w:space="0" w:color="auto"/>
              <w:left w:val="single" w:sz="4" w:space="0" w:color="auto"/>
              <w:bottom w:val="single" w:sz="4" w:space="0" w:color="auto"/>
              <w:right w:val="single" w:sz="4" w:space="0" w:color="auto"/>
            </w:tcBorders>
            <w:vAlign w:val="center"/>
            <w:hideMark/>
          </w:tcPr>
          <w:p w14:paraId="2BA0B1CB" w14:textId="77777777" w:rsidR="00B63355" w:rsidRPr="00B63355" w:rsidRDefault="00B63355" w:rsidP="008A5CCD">
            <w:pPr>
              <w:spacing w:before="60" w:after="60"/>
              <w:rPr>
                <w:rFonts w:cs="Arial"/>
              </w:rPr>
            </w:pPr>
            <w:r w:rsidRPr="00B63355">
              <w:rPr>
                <w:rFonts w:cs="Arial"/>
              </w:rPr>
              <w:t>Authorised limit – borrowing</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ED175D0" w14:textId="77777777" w:rsidR="00B63355" w:rsidRPr="00B63355" w:rsidRDefault="00B63355" w:rsidP="008A5CCD">
            <w:pPr>
              <w:spacing w:before="60" w:after="60"/>
              <w:jc w:val="right"/>
              <w:rPr>
                <w:rFonts w:cs="Arial"/>
              </w:rPr>
            </w:pPr>
            <w:r w:rsidRPr="00B63355">
              <w:rPr>
                <w:rFonts w:cs="Arial"/>
              </w:rPr>
              <w:t>£ 86.235m</w:t>
            </w:r>
          </w:p>
        </w:tc>
      </w:tr>
      <w:tr w:rsidR="00B63355" w:rsidRPr="00B63355" w14:paraId="07E44778" w14:textId="77777777" w:rsidTr="008A5CCD">
        <w:tc>
          <w:tcPr>
            <w:tcW w:w="5217" w:type="dxa"/>
            <w:tcBorders>
              <w:top w:val="single" w:sz="4" w:space="0" w:color="auto"/>
              <w:left w:val="single" w:sz="4" w:space="0" w:color="auto"/>
              <w:bottom w:val="single" w:sz="4" w:space="0" w:color="auto"/>
              <w:right w:val="single" w:sz="4" w:space="0" w:color="auto"/>
            </w:tcBorders>
            <w:hideMark/>
          </w:tcPr>
          <w:p w14:paraId="53E48CA2" w14:textId="77777777" w:rsidR="00B63355" w:rsidRPr="00B63355" w:rsidRDefault="00B63355" w:rsidP="008A5CCD">
            <w:pPr>
              <w:spacing w:before="60" w:after="60"/>
              <w:rPr>
                <w:rFonts w:cs="Arial"/>
              </w:rPr>
            </w:pPr>
            <w:r w:rsidRPr="00B63355">
              <w:rPr>
                <w:rFonts w:cs="Arial"/>
              </w:rPr>
              <w:t>Operational boundary – borrowing</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1F3FAAC" w14:textId="77777777" w:rsidR="00B63355" w:rsidRPr="00B63355" w:rsidRDefault="00B63355" w:rsidP="008A5CCD">
            <w:pPr>
              <w:spacing w:before="60" w:after="60"/>
              <w:jc w:val="right"/>
              <w:rPr>
                <w:rFonts w:cs="Arial"/>
              </w:rPr>
            </w:pPr>
            <w:r w:rsidRPr="00B63355">
              <w:rPr>
                <w:rFonts w:cs="Arial"/>
              </w:rPr>
              <w:t>£ 81.235m</w:t>
            </w:r>
          </w:p>
        </w:tc>
      </w:tr>
    </w:tbl>
    <w:p w14:paraId="5B9675CD" w14:textId="77777777" w:rsidR="00B63355" w:rsidRPr="00B63355" w:rsidRDefault="00B63355" w:rsidP="00B63355">
      <w:pPr>
        <w:pStyle w:val="Header"/>
        <w:jc w:val="both"/>
        <w:rPr>
          <w:rFonts w:cs="Arial"/>
          <w:bCs/>
          <w:sz w:val="24"/>
          <w:szCs w:val="24"/>
          <w:lang w:eastAsia="en-US"/>
        </w:rPr>
      </w:pPr>
    </w:p>
    <w:p w14:paraId="36321494" w14:textId="77777777" w:rsidR="00B63355" w:rsidRPr="00B63355" w:rsidRDefault="00B63355" w:rsidP="00B63355">
      <w:pPr>
        <w:pStyle w:val="Header"/>
        <w:jc w:val="both"/>
        <w:rPr>
          <w:rFonts w:cs="Arial"/>
          <w:bCs/>
          <w:sz w:val="24"/>
          <w:szCs w:val="24"/>
        </w:rPr>
      </w:pPr>
    </w:p>
    <w:p w14:paraId="3A4C3786" w14:textId="77777777" w:rsidR="00B63355" w:rsidRPr="00B63355" w:rsidRDefault="00B63355" w:rsidP="00B63355">
      <w:pPr>
        <w:pStyle w:val="Header"/>
        <w:jc w:val="both"/>
        <w:rPr>
          <w:rFonts w:cs="Arial"/>
          <w:bCs/>
          <w:sz w:val="24"/>
          <w:szCs w:val="24"/>
        </w:rPr>
      </w:pPr>
    </w:p>
    <w:p w14:paraId="18FAEDA4" w14:textId="77777777" w:rsidR="00B63355" w:rsidRPr="00B63355" w:rsidRDefault="00B63355" w:rsidP="00B63355">
      <w:pPr>
        <w:rPr>
          <w:rFonts w:cs="Arial"/>
          <w:szCs w:val="24"/>
        </w:rPr>
      </w:pPr>
    </w:p>
    <w:p w14:paraId="6D7B7DDF" w14:textId="77777777" w:rsidR="00B63355" w:rsidRPr="00B63355" w:rsidRDefault="00B63355" w:rsidP="00B63355">
      <w:pPr>
        <w:pStyle w:val="Header"/>
        <w:rPr>
          <w:rFonts w:cs="Arial"/>
          <w:b/>
          <w:bCs/>
          <w:sz w:val="24"/>
          <w:szCs w:val="24"/>
        </w:rPr>
      </w:pPr>
    </w:p>
    <w:p w14:paraId="3598D749" w14:textId="77777777" w:rsidR="00B63355" w:rsidRPr="00B63355" w:rsidRDefault="00B63355" w:rsidP="00B63355">
      <w:pPr>
        <w:pStyle w:val="Header"/>
        <w:rPr>
          <w:rFonts w:cs="Arial"/>
          <w:b/>
          <w:bCs/>
          <w:sz w:val="24"/>
          <w:szCs w:val="24"/>
        </w:rPr>
      </w:pPr>
    </w:p>
    <w:p w14:paraId="4387EE5A" w14:textId="77777777" w:rsidR="00B63355" w:rsidRPr="00B63355" w:rsidRDefault="00B63355" w:rsidP="00B63355">
      <w:pPr>
        <w:pStyle w:val="Header"/>
        <w:rPr>
          <w:rFonts w:cs="Arial"/>
          <w:b/>
          <w:bCs/>
          <w:sz w:val="24"/>
          <w:szCs w:val="24"/>
        </w:rPr>
      </w:pPr>
    </w:p>
    <w:p w14:paraId="50CFBC93" w14:textId="77777777" w:rsidR="00B63355" w:rsidRPr="00B63355" w:rsidRDefault="00B63355" w:rsidP="00B63355">
      <w:pPr>
        <w:pStyle w:val="Header"/>
        <w:rPr>
          <w:rFonts w:cs="Arial"/>
          <w:b/>
          <w:bCs/>
          <w:sz w:val="24"/>
          <w:szCs w:val="24"/>
        </w:rPr>
      </w:pPr>
      <w:r w:rsidRPr="00B63355">
        <w:rPr>
          <w:rFonts w:cs="Arial"/>
          <w:b/>
          <w:bCs/>
          <w:sz w:val="24"/>
          <w:szCs w:val="24"/>
        </w:rPr>
        <w:t>1.4  Capital - Revenue Budget Implications</w:t>
      </w:r>
    </w:p>
    <w:p w14:paraId="4C8230FD" w14:textId="77777777" w:rsidR="00B63355" w:rsidRPr="00B63355" w:rsidRDefault="00B63355" w:rsidP="00B63355">
      <w:pPr>
        <w:pStyle w:val="Header"/>
        <w:rPr>
          <w:rFonts w:cs="Arial"/>
          <w:b/>
          <w:bCs/>
          <w:sz w:val="24"/>
          <w:szCs w:val="24"/>
        </w:rPr>
      </w:pPr>
    </w:p>
    <w:p w14:paraId="399E2EBB" w14:textId="341579C8" w:rsidR="00B63355" w:rsidRPr="00B63355" w:rsidRDefault="00B63355" w:rsidP="00284B8E">
      <w:pPr>
        <w:spacing w:after="200"/>
        <w:rPr>
          <w:rFonts w:cs="Arial"/>
          <w:szCs w:val="24"/>
        </w:rPr>
      </w:pPr>
      <w:r w:rsidRPr="00B63355">
        <w:rPr>
          <w:rFonts w:cs="Arial"/>
          <w:szCs w:val="24"/>
        </w:rPr>
        <w:t xml:space="preserve">Capital expenditure </w:t>
      </w:r>
      <w:r>
        <w:rPr>
          <w:rFonts w:cs="Arial"/>
          <w:szCs w:val="24"/>
        </w:rPr>
        <w:t>was</w:t>
      </w:r>
      <w:r w:rsidRPr="00B63355">
        <w:rPr>
          <w:rFonts w:cs="Arial"/>
          <w:szCs w:val="24"/>
        </w:rPr>
        <w:t xml:space="preserve"> not charged directly to the revenue budget. Instead, interest payable on borrowings and MRP (minimum revenue provision), together known as capital financing costs, </w:t>
      </w:r>
      <w:r>
        <w:rPr>
          <w:rFonts w:cs="Arial"/>
          <w:szCs w:val="24"/>
        </w:rPr>
        <w:t>were</w:t>
      </w:r>
      <w:r w:rsidRPr="00B63355">
        <w:rPr>
          <w:rFonts w:cs="Arial"/>
          <w:szCs w:val="24"/>
        </w:rPr>
        <w:t xml:space="preserve"> charged to revenue. These financing costs </w:t>
      </w:r>
      <w:r>
        <w:rPr>
          <w:rFonts w:cs="Arial"/>
          <w:szCs w:val="24"/>
        </w:rPr>
        <w:t>were</w:t>
      </w:r>
      <w:r w:rsidRPr="00B63355">
        <w:rPr>
          <w:rFonts w:cs="Arial"/>
          <w:szCs w:val="24"/>
        </w:rPr>
        <w:t xml:space="preserve"> compared to the net revenue stream i.e.. the amount funded from District Rates and general government grants, to show the proportion of the net revenue stream which </w:t>
      </w:r>
      <w:r>
        <w:rPr>
          <w:rFonts w:cs="Arial"/>
          <w:szCs w:val="24"/>
        </w:rPr>
        <w:t>was</w:t>
      </w:r>
      <w:r w:rsidRPr="00B63355">
        <w:rPr>
          <w:rFonts w:cs="Arial"/>
          <w:szCs w:val="24"/>
        </w:rPr>
        <w:t xml:space="preserve"> made up of capital financing costs.</w:t>
      </w:r>
    </w:p>
    <w:tbl>
      <w:tblPr>
        <w:tblStyle w:val="TableGrid"/>
        <w:tblW w:w="9214" w:type="dxa"/>
        <w:tblInd w:w="-5" w:type="dxa"/>
        <w:tblLook w:val="04A0" w:firstRow="1" w:lastRow="0" w:firstColumn="1" w:lastColumn="0" w:noHBand="0" w:noVBand="1"/>
      </w:tblPr>
      <w:tblGrid>
        <w:gridCol w:w="4395"/>
        <w:gridCol w:w="1098"/>
        <w:gridCol w:w="1217"/>
        <w:gridCol w:w="1217"/>
        <w:gridCol w:w="1287"/>
      </w:tblGrid>
      <w:tr w:rsidR="00B63355" w:rsidRPr="00B63355" w14:paraId="02A3CBBA" w14:textId="77777777" w:rsidTr="00B63355">
        <w:tc>
          <w:tcPr>
            <w:tcW w:w="439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4738717" w14:textId="77777777" w:rsidR="00B63355" w:rsidRPr="00B63355" w:rsidRDefault="00B63355">
            <w:pPr>
              <w:spacing w:before="60" w:after="60"/>
              <w:rPr>
                <w:rFonts w:cs="Arial"/>
                <w:b/>
                <w:bCs/>
                <w:color w:val="FFFFFF" w:themeColor="background1"/>
              </w:rPr>
            </w:pPr>
            <w:r w:rsidRPr="00B63355">
              <w:rPr>
                <w:rFonts w:cs="Arial"/>
                <w:b/>
                <w:bCs/>
                <w:color w:val="FFFFFF" w:themeColor="background1"/>
              </w:rPr>
              <w:t>Table 1.4</w:t>
            </w:r>
          </w:p>
        </w:tc>
        <w:tc>
          <w:tcPr>
            <w:tcW w:w="109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F1237F3" w14:textId="77777777" w:rsidR="00B63355" w:rsidRPr="00B63355" w:rsidRDefault="00B63355">
            <w:pPr>
              <w:tabs>
                <w:tab w:val="left" w:pos="374"/>
                <w:tab w:val="left" w:pos="720"/>
                <w:tab w:val="left" w:pos="748"/>
                <w:tab w:val="left" w:pos="1260"/>
                <w:tab w:val="left" w:pos="1980"/>
                <w:tab w:val="left" w:pos="2520"/>
              </w:tabs>
              <w:jc w:val="center"/>
              <w:rPr>
                <w:rFonts w:cs="Arial"/>
                <w:b/>
                <w:color w:val="FFFFFF" w:themeColor="background1"/>
              </w:rPr>
            </w:pPr>
            <w:r w:rsidRPr="00B63355">
              <w:rPr>
                <w:rFonts w:cs="Arial"/>
                <w:b/>
                <w:bCs/>
                <w:color w:val="FFFFFF" w:themeColor="background1"/>
              </w:rPr>
              <w:t xml:space="preserve">2022/23 </w:t>
            </w:r>
            <w:r w:rsidRPr="00B63355">
              <w:rPr>
                <w:rFonts w:cs="Arial"/>
                <w:b/>
                <w:color w:val="FFFFFF" w:themeColor="background1"/>
              </w:rPr>
              <w:t>Actual</w:t>
            </w:r>
          </w:p>
        </w:tc>
        <w:tc>
          <w:tcPr>
            <w:tcW w:w="12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8F940C3" w14:textId="77777777" w:rsidR="00B63355" w:rsidRPr="00B63355" w:rsidRDefault="00B63355">
            <w:pPr>
              <w:tabs>
                <w:tab w:val="left" w:pos="374"/>
                <w:tab w:val="left" w:pos="720"/>
                <w:tab w:val="left" w:pos="748"/>
                <w:tab w:val="left" w:pos="1260"/>
                <w:tab w:val="left" w:pos="1980"/>
                <w:tab w:val="left" w:pos="2520"/>
              </w:tabs>
              <w:jc w:val="center"/>
              <w:rPr>
                <w:rFonts w:cs="Arial"/>
                <w:b/>
                <w:color w:val="FFFFFF" w:themeColor="background1"/>
              </w:rPr>
            </w:pPr>
            <w:r w:rsidRPr="00B63355">
              <w:rPr>
                <w:rFonts w:cs="Arial"/>
                <w:b/>
                <w:bCs/>
                <w:color w:val="FFFFFF" w:themeColor="background1"/>
              </w:rPr>
              <w:t>2023/24</w:t>
            </w:r>
            <w:r w:rsidRPr="00B63355">
              <w:rPr>
                <w:rFonts w:cs="Arial"/>
                <w:b/>
                <w:color w:val="FFFFFF" w:themeColor="background1"/>
              </w:rPr>
              <w:t xml:space="preserve"> Forecast</w:t>
            </w:r>
          </w:p>
        </w:tc>
        <w:tc>
          <w:tcPr>
            <w:tcW w:w="12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D3670B9" w14:textId="77777777" w:rsidR="00B63355" w:rsidRPr="00B63355" w:rsidRDefault="00B63355">
            <w:pPr>
              <w:tabs>
                <w:tab w:val="left" w:pos="374"/>
                <w:tab w:val="left" w:pos="720"/>
                <w:tab w:val="left" w:pos="748"/>
                <w:tab w:val="left" w:pos="1260"/>
                <w:tab w:val="left" w:pos="1980"/>
                <w:tab w:val="left" w:pos="2520"/>
              </w:tabs>
              <w:jc w:val="center"/>
              <w:rPr>
                <w:rFonts w:cs="Arial"/>
                <w:b/>
                <w:color w:val="FFFFFF" w:themeColor="background1"/>
              </w:rPr>
            </w:pPr>
            <w:r w:rsidRPr="00B63355">
              <w:rPr>
                <w:rFonts w:cs="Arial"/>
                <w:b/>
                <w:bCs/>
                <w:color w:val="FFFFFF" w:themeColor="background1"/>
              </w:rPr>
              <w:t>2024/25</w:t>
            </w:r>
            <w:r w:rsidRPr="00B63355">
              <w:rPr>
                <w:rFonts w:cs="Arial"/>
                <w:b/>
                <w:color w:val="FFFFFF" w:themeColor="background1"/>
              </w:rPr>
              <w:t xml:space="preserve"> Forecast</w:t>
            </w:r>
          </w:p>
        </w:tc>
        <w:tc>
          <w:tcPr>
            <w:tcW w:w="128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C8F5B06" w14:textId="77777777" w:rsidR="00B63355" w:rsidRPr="00B63355" w:rsidRDefault="00B63355">
            <w:pPr>
              <w:tabs>
                <w:tab w:val="left" w:pos="374"/>
                <w:tab w:val="left" w:pos="720"/>
                <w:tab w:val="left" w:pos="748"/>
                <w:tab w:val="left" w:pos="1260"/>
                <w:tab w:val="left" w:pos="1980"/>
                <w:tab w:val="left" w:pos="2520"/>
              </w:tabs>
              <w:jc w:val="center"/>
              <w:rPr>
                <w:rFonts w:cs="Arial"/>
                <w:b/>
                <w:color w:val="FFFFFF" w:themeColor="background1"/>
              </w:rPr>
            </w:pPr>
            <w:r w:rsidRPr="00B63355">
              <w:rPr>
                <w:rFonts w:cs="Arial"/>
                <w:b/>
                <w:bCs/>
                <w:color w:val="FFFFFF" w:themeColor="background1"/>
              </w:rPr>
              <w:t>2025/26</w:t>
            </w:r>
            <w:r w:rsidRPr="00B63355">
              <w:rPr>
                <w:rFonts w:cs="Arial"/>
                <w:b/>
                <w:color w:val="FFFFFF" w:themeColor="background1"/>
              </w:rPr>
              <w:t xml:space="preserve"> Forecast</w:t>
            </w:r>
          </w:p>
        </w:tc>
      </w:tr>
      <w:tr w:rsidR="00B63355" w:rsidRPr="00B63355" w14:paraId="4AD8E13A" w14:textId="77777777" w:rsidTr="00B63355">
        <w:trPr>
          <w:trHeight w:val="425"/>
        </w:trPr>
        <w:tc>
          <w:tcPr>
            <w:tcW w:w="4395" w:type="dxa"/>
            <w:tcBorders>
              <w:top w:val="single" w:sz="4" w:space="0" w:color="auto"/>
              <w:left w:val="single" w:sz="4" w:space="0" w:color="auto"/>
              <w:bottom w:val="single" w:sz="4" w:space="0" w:color="auto"/>
              <w:right w:val="single" w:sz="4" w:space="0" w:color="auto"/>
            </w:tcBorders>
            <w:vAlign w:val="center"/>
            <w:hideMark/>
          </w:tcPr>
          <w:p w14:paraId="60CB4A2D" w14:textId="77777777" w:rsidR="00B63355" w:rsidRPr="00B63355" w:rsidRDefault="00B63355">
            <w:pPr>
              <w:spacing w:before="60" w:after="60"/>
              <w:rPr>
                <w:rFonts w:cs="Arial"/>
              </w:rPr>
            </w:pPr>
            <w:r w:rsidRPr="00B63355">
              <w:rPr>
                <w:rFonts w:cs="Arial"/>
              </w:rPr>
              <w:t>Financing costs (£m)</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1E9959C" w14:textId="77777777" w:rsidR="00B63355" w:rsidRPr="00B63355" w:rsidRDefault="00B63355">
            <w:pPr>
              <w:spacing w:before="60" w:after="60"/>
              <w:jc w:val="center"/>
              <w:rPr>
                <w:rFonts w:cs="Arial"/>
              </w:rPr>
            </w:pPr>
            <w:r w:rsidRPr="00B63355">
              <w:rPr>
                <w:rFonts w:cs="Arial"/>
              </w:rPr>
              <w:t>8.158</w:t>
            </w:r>
          </w:p>
        </w:tc>
        <w:tc>
          <w:tcPr>
            <w:tcW w:w="12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91D7CC8" w14:textId="77777777" w:rsidR="00B63355" w:rsidRPr="00B63355" w:rsidRDefault="00B63355">
            <w:pPr>
              <w:spacing w:before="60" w:after="60"/>
              <w:jc w:val="center"/>
              <w:rPr>
                <w:rFonts w:cs="Arial"/>
              </w:rPr>
            </w:pPr>
            <w:r w:rsidRPr="00B63355">
              <w:rPr>
                <w:rFonts w:cs="Arial"/>
              </w:rPr>
              <w:t>7.782</w:t>
            </w:r>
          </w:p>
        </w:tc>
        <w:tc>
          <w:tcPr>
            <w:tcW w:w="1217" w:type="dxa"/>
            <w:tcBorders>
              <w:top w:val="single" w:sz="4" w:space="0" w:color="auto"/>
              <w:left w:val="single" w:sz="4" w:space="0" w:color="auto"/>
              <w:bottom w:val="single" w:sz="4" w:space="0" w:color="auto"/>
              <w:right w:val="single" w:sz="4" w:space="0" w:color="auto"/>
            </w:tcBorders>
            <w:vAlign w:val="center"/>
            <w:hideMark/>
          </w:tcPr>
          <w:p w14:paraId="6B48C8EA" w14:textId="77777777" w:rsidR="00B63355" w:rsidRPr="00B63355" w:rsidRDefault="00B63355">
            <w:pPr>
              <w:spacing w:before="60" w:after="60"/>
              <w:jc w:val="center"/>
              <w:rPr>
                <w:rFonts w:cs="Arial"/>
              </w:rPr>
            </w:pPr>
            <w:r w:rsidRPr="00B63355">
              <w:rPr>
                <w:rFonts w:cs="Arial"/>
              </w:rPr>
              <w:t>8.781</w:t>
            </w:r>
          </w:p>
        </w:tc>
        <w:tc>
          <w:tcPr>
            <w:tcW w:w="1287" w:type="dxa"/>
            <w:tcBorders>
              <w:top w:val="single" w:sz="4" w:space="0" w:color="auto"/>
              <w:left w:val="single" w:sz="4" w:space="0" w:color="auto"/>
              <w:bottom w:val="single" w:sz="4" w:space="0" w:color="auto"/>
              <w:right w:val="single" w:sz="4" w:space="0" w:color="auto"/>
            </w:tcBorders>
            <w:vAlign w:val="center"/>
            <w:hideMark/>
          </w:tcPr>
          <w:p w14:paraId="6250A50D" w14:textId="77777777" w:rsidR="00B63355" w:rsidRPr="00B63355" w:rsidRDefault="00B63355">
            <w:pPr>
              <w:spacing w:before="60" w:after="60"/>
              <w:jc w:val="center"/>
              <w:rPr>
                <w:rFonts w:cs="Arial"/>
              </w:rPr>
            </w:pPr>
            <w:r w:rsidRPr="00B63355">
              <w:rPr>
                <w:rFonts w:cs="Arial"/>
              </w:rPr>
              <w:t>9.712</w:t>
            </w:r>
          </w:p>
        </w:tc>
      </w:tr>
      <w:tr w:rsidR="00B63355" w:rsidRPr="00B63355" w14:paraId="2EB42509" w14:textId="77777777" w:rsidTr="00B63355">
        <w:trPr>
          <w:trHeight w:val="425"/>
        </w:trPr>
        <w:tc>
          <w:tcPr>
            <w:tcW w:w="4395" w:type="dxa"/>
            <w:tcBorders>
              <w:top w:val="single" w:sz="4" w:space="0" w:color="auto"/>
              <w:left w:val="single" w:sz="4" w:space="0" w:color="auto"/>
              <w:bottom w:val="single" w:sz="4" w:space="0" w:color="auto"/>
              <w:right w:val="single" w:sz="4" w:space="0" w:color="auto"/>
            </w:tcBorders>
            <w:vAlign w:val="center"/>
            <w:hideMark/>
          </w:tcPr>
          <w:p w14:paraId="7D45516C" w14:textId="77777777" w:rsidR="00B63355" w:rsidRPr="00B63355" w:rsidRDefault="00B63355">
            <w:pPr>
              <w:spacing w:before="60" w:after="60"/>
              <w:rPr>
                <w:rFonts w:cs="Arial"/>
              </w:rPr>
            </w:pPr>
            <w:r w:rsidRPr="00B63355">
              <w:rPr>
                <w:rFonts w:cs="Arial"/>
              </w:rPr>
              <w:t>Proportion of net revenue stream (%)</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5196E4" w14:textId="77777777" w:rsidR="00B63355" w:rsidRPr="00B63355" w:rsidRDefault="00B63355">
            <w:pPr>
              <w:spacing w:before="60" w:after="60"/>
              <w:jc w:val="center"/>
              <w:rPr>
                <w:rFonts w:cs="Arial"/>
              </w:rPr>
            </w:pPr>
            <w:r w:rsidRPr="00B63355">
              <w:rPr>
                <w:rFonts w:cs="Arial"/>
              </w:rPr>
              <w:t>14.0%</w:t>
            </w:r>
          </w:p>
        </w:tc>
        <w:tc>
          <w:tcPr>
            <w:tcW w:w="12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0169001" w14:textId="77777777" w:rsidR="00B63355" w:rsidRPr="00B63355" w:rsidRDefault="00B63355">
            <w:pPr>
              <w:spacing w:before="60" w:after="60"/>
              <w:jc w:val="center"/>
              <w:rPr>
                <w:rFonts w:cs="Arial"/>
              </w:rPr>
            </w:pPr>
            <w:r w:rsidRPr="00B63355">
              <w:rPr>
                <w:rFonts w:cs="Arial"/>
              </w:rPr>
              <w:t>12.4%</w:t>
            </w:r>
          </w:p>
        </w:tc>
        <w:tc>
          <w:tcPr>
            <w:tcW w:w="1217" w:type="dxa"/>
            <w:tcBorders>
              <w:top w:val="single" w:sz="4" w:space="0" w:color="auto"/>
              <w:left w:val="single" w:sz="4" w:space="0" w:color="auto"/>
              <w:bottom w:val="single" w:sz="4" w:space="0" w:color="auto"/>
              <w:right w:val="single" w:sz="4" w:space="0" w:color="auto"/>
            </w:tcBorders>
            <w:vAlign w:val="center"/>
            <w:hideMark/>
          </w:tcPr>
          <w:p w14:paraId="3C9F54C6" w14:textId="77777777" w:rsidR="00B63355" w:rsidRPr="00B63355" w:rsidRDefault="00B63355">
            <w:pPr>
              <w:spacing w:before="60" w:after="60"/>
              <w:jc w:val="center"/>
              <w:rPr>
                <w:rFonts w:cs="Arial"/>
              </w:rPr>
            </w:pPr>
            <w:r w:rsidRPr="00B63355">
              <w:rPr>
                <w:rFonts w:cs="Arial"/>
              </w:rPr>
              <w:t>13.9%</w:t>
            </w:r>
          </w:p>
        </w:tc>
        <w:tc>
          <w:tcPr>
            <w:tcW w:w="1287" w:type="dxa"/>
            <w:tcBorders>
              <w:top w:val="single" w:sz="4" w:space="0" w:color="auto"/>
              <w:left w:val="single" w:sz="4" w:space="0" w:color="auto"/>
              <w:bottom w:val="single" w:sz="4" w:space="0" w:color="auto"/>
              <w:right w:val="single" w:sz="4" w:space="0" w:color="auto"/>
            </w:tcBorders>
            <w:vAlign w:val="center"/>
            <w:hideMark/>
          </w:tcPr>
          <w:p w14:paraId="478404AC" w14:textId="77777777" w:rsidR="00B63355" w:rsidRPr="00B63355" w:rsidRDefault="00B63355">
            <w:pPr>
              <w:spacing w:before="60" w:after="60"/>
              <w:jc w:val="center"/>
              <w:rPr>
                <w:rFonts w:cs="Arial"/>
              </w:rPr>
            </w:pPr>
            <w:r w:rsidRPr="00B63355">
              <w:rPr>
                <w:rFonts w:cs="Arial"/>
              </w:rPr>
              <w:t>14.1%</w:t>
            </w:r>
          </w:p>
        </w:tc>
      </w:tr>
    </w:tbl>
    <w:p w14:paraId="4FFD88FC" w14:textId="77777777" w:rsidR="00B63355" w:rsidRPr="00B63355" w:rsidRDefault="00B63355" w:rsidP="00B63355">
      <w:pPr>
        <w:pStyle w:val="Header"/>
        <w:rPr>
          <w:rFonts w:cs="Arial"/>
          <w:b/>
          <w:bCs/>
          <w:sz w:val="24"/>
          <w:szCs w:val="24"/>
          <w:lang w:eastAsia="en-US"/>
        </w:rPr>
      </w:pPr>
    </w:p>
    <w:p w14:paraId="4C7D06A9" w14:textId="27F3620F" w:rsidR="00B63355" w:rsidRDefault="00B63355" w:rsidP="00B63355">
      <w:pPr>
        <w:pStyle w:val="Header"/>
        <w:rPr>
          <w:rFonts w:cs="Arial"/>
          <w:sz w:val="24"/>
          <w:szCs w:val="24"/>
        </w:rPr>
      </w:pPr>
      <w:r w:rsidRPr="00B63355">
        <w:rPr>
          <w:rFonts w:cs="Arial"/>
          <w:sz w:val="24"/>
          <w:szCs w:val="24"/>
        </w:rPr>
        <w:t xml:space="preserve">The forecast financing costs for 2023/24 of £7.8m </w:t>
      </w:r>
      <w:r>
        <w:rPr>
          <w:rFonts w:cs="Arial"/>
          <w:sz w:val="24"/>
          <w:szCs w:val="24"/>
        </w:rPr>
        <w:t>were</w:t>
      </w:r>
      <w:r w:rsidRPr="00B63355">
        <w:rPr>
          <w:rFonts w:cs="Arial"/>
          <w:sz w:val="24"/>
          <w:szCs w:val="24"/>
        </w:rPr>
        <w:t xml:space="preserve"> in line with the budget set for the year.</w:t>
      </w:r>
    </w:p>
    <w:p w14:paraId="1E63F94A" w14:textId="77777777" w:rsidR="00284B8E" w:rsidRPr="00B63355" w:rsidRDefault="00284B8E" w:rsidP="00B63355">
      <w:pPr>
        <w:pStyle w:val="Header"/>
        <w:rPr>
          <w:rFonts w:cs="Arial"/>
          <w:sz w:val="24"/>
          <w:szCs w:val="24"/>
        </w:rPr>
      </w:pPr>
    </w:p>
    <w:p w14:paraId="7375566F" w14:textId="77777777" w:rsidR="00B63355" w:rsidRPr="00B63355" w:rsidRDefault="00B63355" w:rsidP="00B63355">
      <w:pPr>
        <w:pStyle w:val="Header"/>
        <w:rPr>
          <w:rFonts w:cs="Arial"/>
          <w:b/>
          <w:bCs/>
          <w:sz w:val="24"/>
          <w:szCs w:val="24"/>
        </w:rPr>
      </w:pPr>
      <w:r w:rsidRPr="00B63355">
        <w:rPr>
          <w:rFonts w:cs="Arial"/>
          <w:b/>
          <w:bCs/>
          <w:sz w:val="24"/>
          <w:szCs w:val="24"/>
        </w:rPr>
        <w:t>2.1 Treasury Management – Debt Activity</w:t>
      </w:r>
    </w:p>
    <w:p w14:paraId="7781E6BE" w14:textId="77777777" w:rsidR="00B63355" w:rsidRPr="00B63355" w:rsidRDefault="00B63355" w:rsidP="00B63355">
      <w:pPr>
        <w:pStyle w:val="Header"/>
        <w:rPr>
          <w:rFonts w:cs="Arial"/>
          <w:b/>
          <w:bCs/>
          <w:sz w:val="24"/>
          <w:szCs w:val="24"/>
        </w:rPr>
      </w:pPr>
    </w:p>
    <w:p w14:paraId="4D7E0221" w14:textId="77777777" w:rsidR="00B63355" w:rsidRPr="00B63355" w:rsidRDefault="00B63355" w:rsidP="00B63355">
      <w:pPr>
        <w:pStyle w:val="Header"/>
        <w:jc w:val="both"/>
        <w:rPr>
          <w:rFonts w:cs="Arial"/>
          <w:sz w:val="24"/>
          <w:szCs w:val="24"/>
        </w:rPr>
      </w:pPr>
      <w:r w:rsidRPr="00B63355">
        <w:rPr>
          <w:rFonts w:cs="Arial"/>
          <w:sz w:val="24"/>
          <w:szCs w:val="24"/>
        </w:rPr>
        <w:t>The following table summarises the position on long-term borrowings at 31/12/2023.</w:t>
      </w:r>
    </w:p>
    <w:p w14:paraId="7624969C" w14:textId="77777777" w:rsidR="00B63355" w:rsidRPr="00B63355" w:rsidRDefault="00B63355" w:rsidP="00B63355">
      <w:pPr>
        <w:pStyle w:val="Header"/>
        <w:jc w:val="both"/>
        <w:rPr>
          <w:rFonts w:cs="Arial"/>
          <w:bCs/>
          <w:sz w:val="24"/>
          <w:szCs w:val="24"/>
        </w:rPr>
      </w:pPr>
    </w:p>
    <w:tbl>
      <w:tblPr>
        <w:tblW w:w="904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7"/>
        <w:gridCol w:w="1701"/>
        <w:gridCol w:w="1417"/>
        <w:gridCol w:w="1701"/>
        <w:gridCol w:w="1559"/>
      </w:tblGrid>
      <w:tr w:rsidR="00B63355" w:rsidRPr="00B63355" w14:paraId="1BFA7B91" w14:textId="77777777" w:rsidTr="00B63355">
        <w:trPr>
          <w:trHeight w:val="454"/>
        </w:trPr>
        <w:tc>
          <w:tcPr>
            <w:tcW w:w="266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4B2CAB7" w14:textId="77777777" w:rsidR="00B63355" w:rsidRPr="00B63355" w:rsidRDefault="00B63355">
            <w:pPr>
              <w:pStyle w:val="ListParagraph"/>
              <w:spacing w:line="256" w:lineRule="auto"/>
              <w:ind w:left="0"/>
              <w:rPr>
                <w:rFonts w:ascii="Arial" w:hAnsi="Arial" w:cs="Arial"/>
                <w:b/>
                <w:color w:val="FFFFFF" w:themeColor="background1"/>
                <w:sz w:val="24"/>
                <w:szCs w:val="24"/>
              </w:rPr>
            </w:pPr>
            <w:r w:rsidRPr="00B63355">
              <w:rPr>
                <w:rFonts w:ascii="Arial" w:hAnsi="Arial" w:cs="Arial"/>
                <w:b/>
                <w:color w:val="FFFFFF" w:themeColor="background1"/>
                <w:sz w:val="24"/>
                <w:szCs w:val="24"/>
              </w:rPr>
              <w:t>Table 2.1</w:t>
            </w:r>
          </w:p>
        </w:tc>
        <w:tc>
          <w:tcPr>
            <w:tcW w:w="1701" w:type="dxa"/>
            <w:tcBorders>
              <w:top w:val="nil"/>
              <w:left w:val="single" w:sz="4" w:space="0" w:color="auto"/>
              <w:bottom w:val="single" w:sz="4" w:space="0" w:color="auto"/>
              <w:right w:val="nil"/>
            </w:tcBorders>
            <w:vAlign w:val="center"/>
          </w:tcPr>
          <w:p w14:paraId="0A17CBFD" w14:textId="77777777" w:rsidR="00B63355" w:rsidRPr="00B63355" w:rsidRDefault="00B63355">
            <w:pPr>
              <w:pStyle w:val="ListParagraph"/>
              <w:spacing w:line="256" w:lineRule="auto"/>
              <w:ind w:left="0"/>
              <w:rPr>
                <w:rFonts w:ascii="Arial" w:hAnsi="Arial" w:cs="Arial"/>
                <w:b/>
                <w:color w:val="FFFFFF" w:themeColor="background1"/>
                <w:sz w:val="24"/>
                <w:szCs w:val="24"/>
              </w:rPr>
            </w:pPr>
          </w:p>
        </w:tc>
        <w:tc>
          <w:tcPr>
            <w:tcW w:w="1417" w:type="dxa"/>
            <w:tcBorders>
              <w:top w:val="nil"/>
              <w:left w:val="nil"/>
              <w:bottom w:val="single" w:sz="4" w:space="0" w:color="auto"/>
              <w:right w:val="nil"/>
            </w:tcBorders>
            <w:vAlign w:val="center"/>
          </w:tcPr>
          <w:p w14:paraId="4DF965FA" w14:textId="77777777" w:rsidR="00B63355" w:rsidRPr="00B63355" w:rsidRDefault="00B63355">
            <w:pPr>
              <w:pStyle w:val="ListParagraph"/>
              <w:spacing w:line="256" w:lineRule="auto"/>
              <w:ind w:left="0"/>
              <w:rPr>
                <w:rFonts w:ascii="Arial" w:hAnsi="Arial" w:cs="Arial"/>
                <w:b/>
                <w:color w:val="FFFFFF" w:themeColor="background1"/>
                <w:sz w:val="24"/>
                <w:szCs w:val="24"/>
              </w:rPr>
            </w:pPr>
          </w:p>
        </w:tc>
        <w:tc>
          <w:tcPr>
            <w:tcW w:w="1701" w:type="dxa"/>
            <w:tcBorders>
              <w:top w:val="nil"/>
              <w:left w:val="nil"/>
              <w:bottom w:val="single" w:sz="4" w:space="0" w:color="auto"/>
              <w:right w:val="nil"/>
            </w:tcBorders>
            <w:vAlign w:val="center"/>
          </w:tcPr>
          <w:p w14:paraId="73CA0315" w14:textId="77777777" w:rsidR="00B63355" w:rsidRPr="00B63355" w:rsidRDefault="00B63355">
            <w:pPr>
              <w:pStyle w:val="ListParagraph"/>
              <w:spacing w:line="256" w:lineRule="auto"/>
              <w:ind w:left="0"/>
              <w:rPr>
                <w:rFonts w:ascii="Arial" w:hAnsi="Arial" w:cs="Arial"/>
                <w:b/>
                <w:color w:val="FFFFFF" w:themeColor="background1"/>
                <w:sz w:val="24"/>
                <w:szCs w:val="24"/>
              </w:rPr>
            </w:pPr>
          </w:p>
        </w:tc>
        <w:tc>
          <w:tcPr>
            <w:tcW w:w="1559" w:type="dxa"/>
            <w:tcBorders>
              <w:top w:val="nil"/>
              <w:left w:val="nil"/>
              <w:bottom w:val="single" w:sz="4" w:space="0" w:color="auto"/>
              <w:right w:val="nil"/>
            </w:tcBorders>
            <w:vAlign w:val="center"/>
          </w:tcPr>
          <w:p w14:paraId="27E51F9C" w14:textId="77777777" w:rsidR="00B63355" w:rsidRPr="00B63355" w:rsidRDefault="00B63355">
            <w:pPr>
              <w:pStyle w:val="ListParagraph"/>
              <w:spacing w:line="256" w:lineRule="auto"/>
              <w:ind w:left="0"/>
              <w:rPr>
                <w:rFonts w:ascii="Arial" w:hAnsi="Arial" w:cs="Arial"/>
                <w:b/>
                <w:color w:val="FFFFFF" w:themeColor="background1"/>
                <w:sz w:val="24"/>
                <w:szCs w:val="24"/>
              </w:rPr>
            </w:pPr>
          </w:p>
        </w:tc>
      </w:tr>
      <w:tr w:rsidR="00B63355" w:rsidRPr="00B63355" w14:paraId="0983863B" w14:textId="77777777" w:rsidTr="00B63355">
        <w:tc>
          <w:tcPr>
            <w:tcW w:w="2665" w:type="dxa"/>
            <w:tcBorders>
              <w:top w:val="single" w:sz="4" w:space="0" w:color="auto"/>
              <w:left w:val="single" w:sz="4" w:space="0" w:color="000000"/>
              <w:bottom w:val="single" w:sz="4" w:space="0" w:color="000000"/>
              <w:right w:val="single" w:sz="4" w:space="0" w:color="auto"/>
            </w:tcBorders>
            <w:shd w:val="clear" w:color="auto" w:fill="0070C0"/>
            <w:vAlign w:val="center"/>
            <w:hideMark/>
          </w:tcPr>
          <w:p w14:paraId="73631F9F" w14:textId="77777777" w:rsidR="00B63355" w:rsidRPr="00B63355" w:rsidRDefault="00B63355">
            <w:pPr>
              <w:pStyle w:val="ListParagraph"/>
              <w:spacing w:line="256" w:lineRule="auto"/>
              <w:ind w:left="0"/>
              <w:rPr>
                <w:rFonts w:ascii="Arial" w:hAnsi="Arial" w:cs="Arial"/>
                <w:b/>
                <w:color w:val="FFFFFF" w:themeColor="background1"/>
                <w:sz w:val="24"/>
                <w:szCs w:val="24"/>
              </w:rPr>
            </w:pPr>
            <w:r w:rsidRPr="00B63355">
              <w:rPr>
                <w:rFonts w:ascii="Arial" w:hAnsi="Arial" w:cs="Arial"/>
                <w:b/>
                <w:color w:val="FFFFFF" w:themeColor="background1"/>
                <w:sz w:val="24"/>
                <w:szCs w:val="24"/>
              </w:rPr>
              <w:t>Lender</w:t>
            </w:r>
          </w:p>
        </w:tc>
        <w:tc>
          <w:tcPr>
            <w:tcW w:w="1701" w:type="dxa"/>
            <w:tcBorders>
              <w:top w:val="single" w:sz="4" w:space="0" w:color="auto"/>
              <w:left w:val="single" w:sz="4" w:space="0" w:color="auto"/>
              <w:bottom w:val="single" w:sz="4" w:space="0" w:color="auto"/>
              <w:right w:val="single" w:sz="4" w:space="0" w:color="000000"/>
            </w:tcBorders>
            <w:shd w:val="clear" w:color="auto" w:fill="0070C0"/>
            <w:vAlign w:val="center"/>
            <w:hideMark/>
          </w:tcPr>
          <w:p w14:paraId="3CC10E93"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Balance 01/04/23</w:t>
            </w:r>
          </w:p>
        </w:tc>
        <w:tc>
          <w:tcPr>
            <w:tcW w:w="1417" w:type="dxa"/>
            <w:tcBorders>
              <w:top w:val="single" w:sz="4" w:space="0" w:color="auto"/>
              <w:left w:val="single" w:sz="4" w:space="0" w:color="000000"/>
              <w:bottom w:val="single" w:sz="4" w:space="0" w:color="auto"/>
              <w:right w:val="single" w:sz="4" w:space="0" w:color="000000"/>
            </w:tcBorders>
            <w:shd w:val="clear" w:color="auto" w:fill="0070C0"/>
            <w:vAlign w:val="center"/>
            <w:hideMark/>
          </w:tcPr>
          <w:p w14:paraId="5558E1F6"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New Loans</w:t>
            </w:r>
          </w:p>
        </w:tc>
        <w:tc>
          <w:tcPr>
            <w:tcW w:w="1701" w:type="dxa"/>
            <w:tcBorders>
              <w:top w:val="single" w:sz="4" w:space="0" w:color="auto"/>
              <w:left w:val="single" w:sz="4" w:space="0" w:color="000000"/>
              <w:bottom w:val="single" w:sz="4" w:space="0" w:color="auto"/>
              <w:right w:val="single" w:sz="4" w:space="0" w:color="000000"/>
            </w:tcBorders>
            <w:shd w:val="clear" w:color="auto" w:fill="0070C0"/>
            <w:vAlign w:val="center"/>
            <w:hideMark/>
          </w:tcPr>
          <w:p w14:paraId="4DE17BEC"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 xml:space="preserve">Repayments </w:t>
            </w:r>
          </w:p>
        </w:tc>
        <w:tc>
          <w:tcPr>
            <w:tcW w:w="1559" w:type="dxa"/>
            <w:tcBorders>
              <w:top w:val="single" w:sz="4" w:space="0" w:color="auto"/>
              <w:left w:val="single" w:sz="4" w:space="0" w:color="000000"/>
              <w:bottom w:val="single" w:sz="4" w:space="0" w:color="auto"/>
              <w:right w:val="single" w:sz="4" w:space="0" w:color="auto"/>
            </w:tcBorders>
            <w:shd w:val="clear" w:color="auto" w:fill="0070C0"/>
            <w:vAlign w:val="center"/>
            <w:hideMark/>
          </w:tcPr>
          <w:p w14:paraId="5E5BF99B"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Balance 31/12/23</w:t>
            </w:r>
          </w:p>
        </w:tc>
      </w:tr>
      <w:tr w:rsidR="00B63355" w:rsidRPr="00B63355" w14:paraId="41AF06EF" w14:textId="77777777" w:rsidTr="00B63355">
        <w:trPr>
          <w:trHeight w:val="510"/>
        </w:trPr>
        <w:tc>
          <w:tcPr>
            <w:tcW w:w="2665" w:type="dxa"/>
            <w:tcBorders>
              <w:top w:val="single" w:sz="4" w:space="0" w:color="000000"/>
              <w:left w:val="single" w:sz="4" w:space="0" w:color="000000"/>
              <w:bottom w:val="single" w:sz="4" w:space="0" w:color="000000"/>
              <w:right w:val="single" w:sz="4" w:space="0" w:color="000000"/>
            </w:tcBorders>
            <w:vAlign w:val="center"/>
            <w:hideMark/>
          </w:tcPr>
          <w:p w14:paraId="15C12D86"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t>Dept of Finance</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2EFC27FA"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£ 56.450m</w:t>
            </w:r>
          </w:p>
        </w:tc>
        <w:tc>
          <w:tcPr>
            <w:tcW w:w="1417" w:type="dxa"/>
            <w:tcBorders>
              <w:top w:val="single" w:sz="4" w:space="0" w:color="auto"/>
              <w:left w:val="single" w:sz="4" w:space="0" w:color="000000"/>
              <w:bottom w:val="single" w:sz="4" w:space="0" w:color="000000"/>
              <w:right w:val="single" w:sz="4" w:space="0" w:color="000000"/>
            </w:tcBorders>
            <w:vAlign w:val="center"/>
            <w:hideMark/>
          </w:tcPr>
          <w:p w14:paraId="1A966170"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       -</w:t>
            </w:r>
          </w:p>
        </w:tc>
        <w:tc>
          <w:tcPr>
            <w:tcW w:w="1701" w:type="dxa"/>
            <w:tcBorders>
              <w:top w:val="single" w:sz="4" w:space="0" w:color="auto"/>
              <w:left w:val="single" w:sz="4" w:space="0" w:color="000000"/>
              <w:bottom w:val="single" w:sz="4" w:space="0" w:color="000000"/>
              <w:right w:val="single" w:sz="4" w:space="0" w:color="000000"/>
            </w:tcBorders>
            <w:vAlign w:val="center"/>
            <w:hideMark/>
          </w:tcPr>
          <w:p w14:paraId="1624C155"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(£ 1.604m)</w:t>
            </w:r>
          </w:p>
        </w:tc>
        <w:tc>
          <w:tcPr>
            <w:tcW w:w="1559" w:type="dxa"/>
            <w:tcBorders>
              <w:top w:val="single" w:sz="4" w:space="0" w:color="auto"/>
              <w:left w:val="single" w:sz="4" w:space="0" w:color="000000"/>
              <w:bottom w:val="single" w:sz="4" w:space="0" w:color="000000"/>
              <w:right w:val="single" w:sz="4" w:space="0" w:color="000000"/>
            </w:tcBorders>
            <w:vAlign w:val="center"/>
            <w:hideMark/>
          </w:tcPr>
          <w:p w14:paraId="1B19A3D6"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£ 54.846m</w:t>
            </w:r>
          </w:p>
        </w:tc>
      </w:tr>
      <w:tr w:rsidR="00B63355" w:rsidRPr="00B63355" w14:paraId="1ACCE9B2" w14:textId="77777777" w:rsidTr="00B63355">
        <w:trPr>
          <w:trHeight w:val="510"/>
        </w:trPr>
        <w:tc>
          <w:tcPr>
            <w:tcW w:w="2665" w:type="dxa"/>
            <w:tcBorders>
              <w:top w:val="single" w:sz="4" w:space="0" w:color="000000"/>
              <w:left w:val="single" w:sz="4" w:space="0" w:color="000000"/>
              <w:bottom w:val="single" w:sz="4" w:space="0" w:color="000000"/>
              <w:right w:val="single" w:sz="4" w:space="0" w:color="000000"/>
            </w:tcBorders>
            <w:vAlign w:val="center"/>
            <w:hideMark/>
          </w:tcPr>
          <w:p w14:paraId="72A9CF85"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lastRenderedPageBreak/>
              <w:t>Banks (LOBOs)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78B1334"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   7.275m</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D6CB5B1"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E830E42"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(£ 1.000m)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C6D457"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   6.275m</w:t>
            </w:r>
          </w:p>
        </w:tc>
      </w:tr>
      <w:tr w:rsidR="00B63355" w:rsidRPr="00B63355" w14:paraId="251A7AAB" w14:textId="77777777" w:rsidTr="00B63355">
        <w:trPr>
          <w:trHeight w:val="510"/>
        </w:trPr>
        <w:tc>
          <w:tcPr>
            <w:tcW w:w="2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22E0E35" w14:textId="77777777" w:rsidR="00B63355" w:rsidRPr="00B63355" w:rsidRDefault="00B63355">
            <w:pPr>
              <w:pStyle w:val="ListParagraph"/>
              <w:spacing w:line="256" w:lineRule="auto"/>
              <w:ind w:left="0"/>
              <w:rPr>
                <w:rFonts w:ascii="Arial" w:hAnsi="Arial" w:cs="Arial"/>
                <w:b/>
                <w:sz w:val="24"/>
                <w:szCs w:val="24"/>
              </w:rPr>
            </w:pPr>
            <w:r w:rsidRPr="00B63355">
              <w:rPr>
                <w:rFonts w:ascii="Arial" w:hAnsi="Arial" w:cs="Arial"/>
                <w:b/>
                <w:sz w:val="24"/>
                <w:szCs w:val="24"/>
              </w:rPr>
              <w:t>Totals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E3D819" w14:textId="77777777" w:rsidR="00B63355" w:rsidRPr="00B63355" w:rsidRDefault="00B63355">
            <w:pPr>
              <w:pStyle w:val="ListParagraph"/>
              <w:spacing w:line="256" w:lineRule="auto"/>
              <w:ind w:left="0"/>
              <w:jc w:val="center"/>
              <w:rPr>
                <w:rFonts w:ascii="Arial" w:hAnsi="Arial" w:cs="Arial"/>
                <w:b/>
                <w:bCs/>
                <w:sz w:val="24"/>
                <w:szCs w:val="24"/>
              </w:rPr>
            </w:pPr>
            <w:r w:rsidRPr="00B63355">
              <w:rPr>
                <w:rFonts w:ascii="Arial" w:hAnsi="Arial" w:cs="Arial"/>
                <w:b/>
                <w:bCs/>
                <w:sz w:val="24"/>
                <w:szCs w:val="24"/>
              </w:rPr>
              <w:t>£ 63.725m</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EE636E8" w14:textId="77777777" w:rsidR="00B63355" w:rsidRPr="00B63355" w:rsidRDefault="00B63355">
            <w:pPr>
              <w:pStyle w:val="ListParagraph"/>
              <w:spacing w:line="256" w:lineRule="auto"/>
              <w:ind w:left="0"/>
              <w:jc w:val="center"/>
              <w:rPr>
                <w:rFonts w:ascii="Arial" w:hAnsi="Arial" w:cs="Arial"/>
                <w:b/>
                <w:bCs/>
                <w:sz w:val="24"/>
                <w:szCs w:val="24"/>
              </w:rPr>
            </w:pPr>
            <w:r w:rsidRPr="00B63355">
              <w:rPr>
                <w:rFonts w:ascii="Arial" w:hAnsi="Arial" w:cs="Arial"/>
                <w:b/>
                <w:bCs/>
                <w:sz w:val="24"/>
                <w:szCs w:val="24"/>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D55DFE" w14:textId="77777777" w:rsidR="00B63355" w:rsidRPr="00B63355" w:rsidRDefault="00B63355">
            <w:pPr>
              <w:pStyle w:val="ListParagraph"/>
              <w:spacing w:line="256" w:lineRule="auto"/>
              <w:ind w:left="0"/>
              <w:jc w:val="center"/>
              <w:rPr>
                <w:rFonts w:ascii="Arial" w:hAnsi="Arial" w:cs="Arial"/>
                <w:b/>
                <w:bCs/>
                <w:sz w:val="24"/>
                <w:szCs w:val="24"/>
              </w:rPr>
            </w:pPr>
            <w:r w:rsidRPr="00B63355">
              <w:rPr>
                <w:rFonts w:ascii="Arial" w:hAnsi="Arial" w:cs="Arial"/>
                <w:b/>
                <w:bCs/>
                <w:sz w:val="24"/>
                <w:szCs w:val="24"/>
              </w:rPr>
              <w:t>(£ 2.604m)</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483888D" w14:textId="77777777" w:rsidR="00B63355" w:rsidRPr="00B63355" w:rsidRDefault="00B63355">
            <w:pPr>
              <w:pStyle w:val="ListParagraph"/>
              <w:spacing w:line="256" w:lineRule="auto"/>
              <w:ind w:left="0"/>
              <w:jc w:val="right"/>
              <w:rPr>
                <w:rFonts w:ascii="Arial" w:hAnsi="Arial" w:cs="Arial"/>
                <w:b/>
                <w:bCs/>
                <w:sz w:val="24"/>
                <w:szCs w:val="24"/>
              </w:rPr>
            </w:pPr>
            <w:r w:rsidRPr="00B63355">
              <w:rPr>
                <w:rFonts w:ascii="Arial" w:hAnsi="Arial" w:cs="Arial"/>
                <w:b/>
                <w:bCs/>
                <w:sz w:val="24"/>
                <w:szCs w:val="24"/>
              </w:rPr>
              <w:t>£ 61.121m</w:t>
            </w:r>
          </w:p>
        </w:tc>
      </w:tr>
    </w:tbl>
    <w:p w14:paraId="03E0A5C0" w14:textId="77777777" w:rsidR="00B63355" w:rsidRPr="00B63355" w:rsidRDefault="00B63355" w:rsidP="00B63355">
      <w:pPr>
        <w:pStyle w:val="Header"/>
        <w:jc w:val="both"/>
        <w:rPr>
          <w:rFonts w:cs="Arial"/>
          <w:bCs/>
          <w:sz w:val="24"/>
          <w:szCs w:val="24"/>
          <w:lang w:eastAsia="en-US"/>
        </w:rPr>
      </w:pPr>
    </w:p>
    <w:p w14:paraId="5C436FFE" w14:textId="72E85AA4" w:rsidR="00B63355" w:rsidRPr="00B63355" w:rsidRDefault="00B63355" w:rsidP="00B63355">
      <w:pPr>
        <w:pStyle w:val="Header"/>
        <w:jc w:val="both"/>
        <w:rPr>
          <w:rFonts w:cs="Arial"/>
          <w:bCs/>
          <w:sz w:val="24"/>
          <w:szCs w:val="24"/>
        </w:rPr>
      </w:pPr>
      <w:r w:rsidRPr="00B63355">
        <w:rPr>
          <w:rFonts w:cs="Arial"/>
          <w:bCs/>
          <w:sz w:val="24"/>
          <w:szCs w:val="24"/>
        </w:rPr>
        <w:t>The Council</w:t>
      </w:r>
      <w:r>
        <w:rPr>
          <w:rFonts w:cs="Arial"/>
          <w:bCs/>
          <w:sz w:val="24"/>
          <w:szCs w:val="24"/>
        </w:rPr>
        <w:t>, at the time of writing did not</w:t>
      </w:r>
      <w:r w:rsidRPr="00B63355">
        <w:rPr>
          <w:rFonts w:cs="Arial"/>
          <w:bCs/>
          <w:sz w:val="24"/>
          <w:szCs w:val="24"/>
        </w:rPr>
        <w:t xml:space="preserve"> hold any short-term borrowings.</w:t>
      </w:r>
    </w:p>
    <w:p w14:paraId="222C5AC9" w14:textId="77777777" w:rsidR="00B63355" w:rsidRPr="00B63355" w:rsidRDefault="00B63355" w:rsidP="00B63355">
      <w:pPr>
        <w:pStyle w:val="Header"/>
        <w:jc w:val="both"/>
        <w:rPr>
          <w:rFonts w:cs="Arial"/>
          <w:bCs/>
          <w:sz w:val="24"/>
          <w:szCs w:val="24"/>
        </w:rPr>
      </w:pPr>
    </w:p>
    <w:p w14:paraId="1AA39FFF" w14:textId="0BCBC9F1" w:rsidR="00B63355" w:rsidRPr="00B63355" w:rsidRDefault="00B63355" w:rsidP="00CE35A9">
      <w:pPr>
        <w:pStyle w:val="Header"/>
        <w:rPr>
          <w:rFonts w:cs="Arial"/>
          <w:bCs/>
          <w:sz w:val="24"/>
          <w:szCs w:val="24"/>
        </w:rPr>
      </w:pPr>
      <w:r w:rsidRPr="00B63355">
        <w:rPr>
          <w:rFonts w:cs="Arial"/>
          <w:bCs/>
          <w:sz w:val="24"/>
          <w:szCs w:val="24"/>
        </w:rPr>
        <w:t>The revised capital financing requirement (table 1.2) show</w:t>
      </w:r>
      <w:r>
        <w:rPr>
          <w:rFonts w:cs="Arial"/>
          <w:bCs/>
          <w:sz w:val="24"/>
          <w:szCs w:val="24"/>
        </w:rPr>
        <w:t>ed</w:t>
      </w:r>
      <w:r w:rsidRPr="00B63355">
        <w:rPr>
          <w:rFonts w:cs="Arial"/>
          <w:bCs/>
          <w:sz w:val="24"/>
          <w:szCs w:val="24"/>
        </w:rPr>
        <w:t xml:space="preserve"> that the Council could increase its level of external borrowings to £75.8m by 31 March 2024.  However, an assessment of the Council’s cashflow position forecasts that there </w:t>
      </w:r>
      <w:r>
        <w:rPr>
          <w:rFonts w:cs="Arial"/>
          <w:bCs/>
          <w:sz w:val="24"/>
          <w:szCs w:val="24"/>
        </w:rPr>
        <w:t>would</w:t>
      </w:r>
      <w:r w:rsidRPr="00B63355">
        <w:rPr>
          <w:rFonts w:cs="Arial"/>
          <w:bCs/>
          <w:sz w:val="24"/>
          <w:szCs w:val="24"/>
        </w:rPr>
        <w:t xml:space="preserve"> be adequate cash reserves to temporarily finance capital expenditure for the remainder of the current year and therefore no further borrowing </w:t>
      </w:r>
      <w:r>
        <w:rPr>
          <w:rFonts w:cs="Arial"/>
          <w:bCs/>
          <w:sz w:val="24"/>
          <w:szCs w:val="24"/>
        </w:rPr>
        <w:t>were</w:t>
      </w:r>
      <w:r w:rsidRPr="00B63355">
        <w:rPr>
          <w:rFonts w:cs="Arial"/>
          <w:bCs/>
          <w:sz w:val="24"/>
          <w:szCs w:val="24"/>
        </w:rPr>
        <w:t xml:space="preserve"> anticipated before 31 March 2024.  </w:t>
      </w:r>
    </w:p>
    <w:p w14:paraId="123DBE59" w14:textId="77777777" w:rsidR="00B63355" w:rsidRPr="00B63355" w:rsidRDefault="00B63355" w:rsidP="00CE35A9">
      <w:pPr>
        <w:pStyle w:val="Header"/>
        <w:rPr>
          <w:rFonts w:cs="Arial"/>
          <w:bCs/>
          <w:sz w:val="24"/>
          <w:szCs w:val="24"/>
        </w:rPr>
      </w:pPr>
    </w:p>
    <w:p w14:paraId="7DF6047E" w14:textId="3A8E4159" w:rsidR="00B63355" w:rsidRPr="00B63355" w:rsidRDefault="00B63355" w:rsidP="00CE35A9">
      <w:pPr>
        <w:pStyle w:val="Header"/>
        <w:rPr>
          <w:rFonts w:cs="Arial"/>
          <w:bCs/>
          <w:sz w:val="24"/>
          <w:szCs w:val="24"/>
        </w:rPr>
      </w:pPr>
      <w:r w:rsidRPr="00B63355">
        <w:rPr>
          <w:rFonts w:cs="Arial"/>
          <w:bCs/>
          <w:sz w:val="24"/>
          <w:szCs w:val="24"/>
        </w:rPr>
        <w:t xml:space="preserve">Therefore, after further repayments on existing long-term loans are made in February 2024, the level of external borrowings at 31 March 2024 </w:t>
      </w:r>
      <w:r>
        <w:rPr>
          <w:rFonts w:cs="Arial"/>
          <w:bCs/>
          <w:sz w:val="24"/>
          <w:szCs w:val="24"/>
        </w:rPr>
        <w:t>was</w:t>
      </w:r>
      <w:r w:rsidRPr="00B63355">
        <w:rPr>
          <w:rFonts w:cs="Arial"/>
          <w:bCs/>
          <w:sz w:val="24"/>
          <w:szCs w:val="24"/>
        </w:rPr>
        <w:t xml:space="preserve"> forecast to be £59.65m.</w:t>
      </w:r>
    </w:p>
    <w:p w14:paraId="621753CD" w14:textId="77777777" w:rsidR="00B63355" w:rsidRPr="00B63355" w:rsidRDefault="00B63355" w:rsidP="00B63355">
      <w:pPr>
        <w:jc w:val="both"/>
        <w:rPr>
          <w:rFonts w:cs="Arial"/>
          <w:szCs w:val="24"/>
          <w:highlight w:val="yellow"/>
        </w:rPr>
      </w:pPr>
    </w:p>
    <w:p w14:paraId="33F6CD65" w14:textId="77777777" w:rsidR="00B63355" w:rsidRPr="00B63355" w:rsidRDefault="00B63355" w:rsidP="00B63355">
      <w:pPr>
        <w:pStyle w:val="Header"/>
        <w:rPr>
          <w:rFonts w:cs="Arial"/>
          <w:b/>
          <w:bCs/>
          <w:sz w:val="24"/>
          <w:szCs w:val="24"/>
        </w:rPr>
      </w:pPr>
      <w:r w:rsidRPr="00B63355">
        <w:rPr>
          <w:rFonts w:cs="Arial"/>
          <w:b/>
          <w:bCs/>
          <w:sz w:val="24"/>
          <w:szCs w:val="24"/>
        </w:rPr>
        <w:t>2.2 Treasury Management - Debt Related Treasury Activity Limits</w:t>
      </w:r>
    </w:p>
    <w:p w14:paraId="1E326114" w14:textId="77777777" w:rsidR="00B63355" w:rsidRPr="00B63355" w:rsidRDefault="00B63355" w:rsidP="00B63355">
      <w:pPr>
        <w:pStyle w:val="Header"/>
        <w:rPr>
          <w:rFonts w:cs="Arial"/>
          <w:bCs/>
          <w:sz w:val="24"/>
          <w:szCs w:val="24"/>
          <w:highlight w:val="yellow"/>
        </w:rPr>
      </w:pPr>
    </w:p>
    <w:p w14:paraId="0DC2F763" w14:textId="77777777" w:rsidR="00B63355" w:rsidRPr="00B63355" w:rsidRDefault="00B63355" w:rsidP="00B63355">
      <w:pPr>
        <w:pStyle w:val="BodyText"/>
        <w:rPr>
          <w:rFonts w:cs="Arial"/>
          <w:szCs w:val="24"/>
        </w:rPr>
      </w:pPr>
      <w:r w:rsidRPr="00B63355">
        <w:rPr>
          <w:rFonts w:cs="Arial"/>
          <w:szCs w:val="24"/>
        </w:rPr>
        <w:t xml:space="preserve">The table below shows the position of all debt related treasury activity limits.  </w:t>
      </w:r>
    </w:p>
    <w:tbl>
      <w:tblPr>
        <w:tblW w:w="8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416"/>
        <w:gridCol w:w="1417"/>
      </w:tblGrid>
      <w:tr w:rsidR="00B63355" w:rsidRPr="00B63355" w14:paraId="384A4EFE" w14:textId="77777777" w:rsidTr="00B63355">
        <w:trPr>
          <w:cantSplit/>
          <w:trHeight w:val="340"/>
        </w:trPr>
        <w:tc>
          <w:tcPr>
            <w:tcW w:w="581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B995082" w14:textId="77777777" w:rsidR="00B63355" w:rsidRPr="00B63355" w:rsidRDefault="00B63355">
            <w:pPr>
              <w:pStyle w:val="BodyText"/>
              <w:rPr>
                <w:rFonts w:cs="Arial"/>
                <w:b/>
                <w:bCs/>
                <w:color w:val="FFFFFF" w:themeColor="background1"/>
                <w:szCs w:val="24"/>
              </w:rPr>
            </w:pPr>
            <w:r w:rsidRPr="00B63355">
              <w:rPr>
                <w:rFonts w:cs="Arial"/>
                <w:b/>
                <w:bCs/>
                <w:color w:val="FFFFFF" w:themeColor="background1"/>
                <w:szCs w:val="24"/>
              </w:rPr>
              <w:t>Table 2.21</w:t>
            </w:r>
          </w:p>
        </w:tc>
        <w:tc>
          <w:tcPr>
            <w:tcW w:w="2835" w:type="dxa"/>
            <w:gridSpan w:val="2"/>
            <w:tcBorders>
              <w:top w:val="nil"/>
              <w:left w:val="single" w:sz="4" w:space="0" w:color="auto"/>
              <w:bottom w:val="single" w:sz="4" w:space="0" w:color="auto"/>
              <w:right w:val="nil"/>
            </w:tcBorders>
            <w:vAlign w:val="center"/>
          </w:tcPr>
          <w:p w14:paraId="13B23FE7" w14:textId="77777777" w:rsidR="00B63355" w:rsidRPr="00B63355" w:rsidRDefault="00B63355">
            <w:pPr>
              <w:pStyle w:val="BodyText"/>
              <w:rPr>
                <w:rFonts w:cs="Arial"/>
                <w:b/>
                <w:bCs/>
                <w:color w:val="FFFFFF" w:themeColor="background1"/>
                <w:szCs w:val="24"/>
              </w:rPr>
            </w:pPr>
          </w:p>
        </w:tc>
      </w:tr>
      <w:tr w:rsidR="00B63355" w:rsidRPr="00B63355" w14:paraId="58286026" w14:textId="77777777" w:rsidTr="00B63355">
        <w:trPr>
          <w:cantSplit/>
          <w:trHeight w:val="20"/>
        </w:trPr>
        <w:tc>
          <w:tcPr>
            <w:tcW w:w="5812"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5C54A75" w14:textId="77777777" w:rsidR="00B63355" w:rsidRPr="00B63355" w:rsidRDefault="00B63355">
            <w:pPr>
              <w:pStyle w:val="BodyText"/>
              <w:rPr>
                <w:rFonts w:cs="Arial"/>
                <w:b/>
                <w:bCs/>
                <w:color w:val="FFFFFF" w:themeColor="background1"/>
                <w:szCs w:val="24"/>
              </w:rPr>
            </w:pPr>
            <w:r w:rsidRPr="00B63355">
              <w:rPr>
                <w:rFonts w:cs="Arial"/>
                <w:b/>
                <w:bCs/>
                <w:color w:val="FFFFFF" w:themeColor="background1"/>
                <w:szCs w:val="24"/>
              </w:rPr>
              <w:t>Interest rate exposures</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CC6185C" w14:textId="77777777" w:rsidR="00B63355" w:rsidRPr="00B63355" w:rsidRDefault="00B63355">
            <w:pPr>
              <w:pStyle w:val="BodyText"/>
              <w:jc w:val="center"/>
              <w:rPr>
                <w:rFonts w:cs="Arial"/>
                <w:b/>
                <w:bCs/>
                <w:color w:val="FFFFFF" w:themeColor="background1"/>
                <w:szCs w:val="24"/>
              </w:rPr>
            </w:pPr>
            <w:r w:rsidRPr="00B63355">
              <w:rPr>
                <w:rFonts w:cs="Arial"/>
                <w:b/>
                <w:bCs/>
                <w:color w:val="FFFFFF" w:themeColor="background1"/>
                <w:szCs w:val="24"/>
              </w:rPr>
              <w:t>Limit 2023/24</w:t>
            </w:r>
          </w:p>
        </w:tc>
        <w:tc>
          <w:tcPr>
            <w:tcW w:w="1418"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6A1618E" w14:textId="77777777" w:rsidR="00B63355" w:rsidRPr="00B63355" w:rsidRDefault="00B63355">
            <w:pPr>
              <w:pStyle w:val="BodyText"/>
              <w:jc w:val="center"/>
              <w:rPr>
                <w:rFonts w:cs="Arial"/>
                <w:b/>
                <w:bCs/>
                <w:color w:val="FFFFFF" w:themeColor="background1"/>
                <w:szCs w:val="24"/>
              </w:rPr>
            </w:pPr>
            <w:r w:rsidRPr="00B63355">
              <w:rPr>
                <w:rFonts w:cs="Arial"/>
                <w:b/>
                <w:bCs/>
                <w:color w:val="FFFFFF" w:themeColor="background1"/>
                <w:szCs w:val="24"/>
              </w:rPr>
              <w:t>Actual at 31/12/23</w:t>
            </w:r>
          </w:p>
        </w:tc>
      </w:tr>
      <w:tr w:rsidR="00B63355" w:rsidRPr="00B63355" w14:paraId="2BDA9A2D" w14:textId="77777777" w:rsidTr="00B63355">
        <w:trPr>
          <w:trHeight w:val="510"/>
        </w:trPr>
        <w:tc>
          <w:tcPr>
            <w:tcW w:w="5812" w:type="dxa"/>
            <w:tcBorders>
              <w:top w:val="single" w:sz="4" w:space="0" w:color="auto"/>
              <w:left w:val="single" w:sz="4" w:space="0" w:color="auto"/>
              <w:bottom w:val="single" w:sz="4" w:space="0" w:color="auto"/>
              <w:right w:val="single" w:sz="4" w:space="0" w:color="auto"/>
            </w:tcBorders>
            <w:vAlign w:val="center"/>
            <w:hideMark/>
          </w:tcPr>
          <w:p w14:paraId="1FFD6A4C" w14:textId="77777777" w:rsidR="00B63355" w:rsidRPr="00B63355" w:rsidRDefault="00B63355">
            <w:pPr>
              <w:pStyle w:val="BodyText"/>
              <w:spacing w:after="0"/>
              <w:rPr>
                <w:rFonts w:cs="Arial"/>
                <w:b/>
                <w:bCs/>
                <w:szCs w:val="24"/>
              </w:rPr>
            </w:pPr>
            <w:r w:rsidRPr="00B63355">
              <w:rPr>
                <w:rFonts w:cs="Arial"/>
                <w:bCs/>
                <w:szCs w:val="24"/>
              </w:rPr>
              <w:t>Quantity of debt held at variable interest rates - upper limit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E3ACF1" w14:textId="77777777" w:rsidR="00B63355" w:rsidRPr="00B63355" w:rsidRDefault="00B63355">
            <w:pPr>
              <w:pStyle w:val="BodyText"/>
              <w:jc w:val="center"/>
              <w:rPr>
                <w:rFonts w:cs="Arial"/>
                <w:szCs w:val="24"/>
              </w:rPr>
            </w:pPr>
            <w:r w:rsidRPr="00B63355">
              <w:rPr>
                <w:rFonts w:cs="Arial"/>
                <w:szCs w:val="24"/>
              </w:rPr>
              <w:t>30%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6E7064" w14:textId="77777777" w:rsidR="00B63355" w:rsidRPr="00B63355" w:rsidRDefault="00B63355">
            <w:pPr>
              <w:pStyle w:val="BodyText"/>
              <w:jc w:val="center"/>
              <w:rPr>
                <w:rFonts w:cs="Arial"/>
                <w:szCs w:val="24"/>
              </w:rPr>
            </w:pPr>
            <w:r w:rsidRPr="00B63355">
              <w:rPr>
                <w:rFonts w:cs="Arial"/>
                <w:szCs w:val="24"/>
              </w:rPr>
              <w:t>2%</w:t>
            </w:r>
          </w:p>
        </w:tc>
      </w:tr>
      <w:tr w:rsidR="00B63355" w:rsidRPr="00B63355" w14:paraId="2657C454" w14:textId="77777777" w:rsidTr="00B63355">
        <w:trPr>
          <w:trHeight w:val="510"/>
        </w:trPr>
        <w:tc>
          <w:tcPr>
            <w:tcW w:w="5812" w:type="dxa"/>
            <w:tcBorders>
              <w:top w:val="single" w:sz="4" w:space="0" w:color="auto"/>
              <w:left w:val="single" w:sz="4" w:space="0" w:color="auto"/>
              <w:bottom w:val="single" w:sz="4" w:space="0" w:color="auto"/>
              <w:right w:val="single" w:sz="4" w:space="0" w:color="auto"/>
            </w:tcBorders>
            <w:vAlign w:val="center"/>
            <w:hideMark/>
          </w:tcPr>
          <w:p w14:paraId="7C596EC2" w14:textId="77777777" w:rsidR="00B63355" w:rsidRPr="00B63355" w:rsidRDefault="00B63355">
            <w:pPr>
              <w:pStyle w:val="BodyText"/>
              <w:spacing w:after="0"/>
              <w:rPr>
                <w:rFonts w:cs="Arial"/>
                <w:bCs/>
                <w:szCs w:val="24"/>
              </w:rPr>
            </w:pPr>
            <w:r w:rsidRPr="00B63355">
              <w:rPr>
                <w:rFonts w:cs="Arial"/>
                <w:bCs/>
                <w:szCs w:val="24"/>
              </w:rPr>
              <w:t>Quantity of debt held at fixed interest rates - upper limit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FB1472" w14:textId="77777777" w:rsidR="00B63355" w:rsidRPr="00B63355" w:rsidRDefault="00B63355">
            <w:pPr>
              <w:pStyle w:val="BodyText"/>
              <w:spacing w:after="0"/>
              <w:jc w:val="center"/>
              <w:rPr>
                <w:rFonts w:cs="Arial"/>
                <w:szCs w:val="24"/>
              </w:rPr>
            </w:pPr>
            <w:r w:rsidRPr="00B63355">
              <w:rPr>
                <w:rFonts w:cs="Arial"/>
                <w:szCs w:val="24"/>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4C1893" w14:textId="77777777" w:rsidR="00B63355" w:rsidRPr="00B63355" w:rsidRDefault="00B63355">
            <w:pPr>
              <w:pStyle w:val="BodyText"/>
              <w:spacing w:after="0"/>
              <w:jc w:val="center"/>
              <w:rPr>
                <w:rFonts w:cs="Arial"/>
                <w:szCs w:val="24"/>
              </w:rPr>
            </w:pPr>
            <w:r w:rsidRPr="00B63355">
              <w:rPr>
                <w:rFonts w:cs="Arial"/>
                <w:szCs w:val="24"/>
              </w:rPr>
              <w:t>98%</w:t>
            </w:r>
          </w:p>
        </w:tc>
      </w:tr>
    </w:tbl>
    <w:p w14:paraId="101386FC" w14:textId="77777777" w:rsidR="00B63355" w:rsidRPr="00B63355" w:rsidRDefault="00B63355" w:rsidP="00B63355">
      <w:pPr>
        <w:rPr>
          <w:rFonts w:eastAsia="Times New Roman" w:cs="Arial"/>
          <w:szCs w:val="24"/>
        </w:rPr>
      </w:pPr>
    </w:p>
    <w:tbl>
      <w:tblPr>
        <w:tblW w:w="8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559"/>
        <w:gridCol w:w="1558"/>
        <w:gridCol w:w="1133"/>
      </w:tblGrid>
      <w:tr w:rsidR="00B63355" w:rsidRPr="00B63355" w14:paraId="2D1CB9E5" w14:textId="77777777" w:rsidTr="00B63355">
        <w:trPr>
          <w:cantSplit/>
          <w:trHeight w:val="20"/>
        </w:trPr>
        <w:tc>
          <w:tcPr>
            <w:tcW w:w="439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82E3B6D" w14:textId="77777777" w:rsidR="00B63355" w:rsidRPr="00B63355" w:rsidRDefault="00B63355">
            <w:pPr>
              <w:pStyle w:val="BodyText"/>
              <w:rPr>
                <w:rFonts w:cs="Arial"/>
                <w:b/>
                <w:bCs/>
                <w:color w:val="FFFFFF" w:themeColor="background1"/>
                <w:szCs w:val="24"/>
              </w:rPr>
            </w:pPr>
            <w:r w:rsidRPr="00B63355">
              <w:rPr>
                <w:rFonts w:cs="Arial"/>
                <w:b/>
                <w:bCs/>
                <w:color w:val="FFFFFF" w:themeColor="background1"/>
                <w:szCs w:val="24"/>
              </w:rPr>
              <w:t>Table 2.22</w:t>
            </w:r>
          </w:p>
        </w:tc>
        <w:tc>
          <w:tcPr>
            <w:tcW w:w="4253" w:type="dxa"/>
            <w:gridSpan w:val="3"/>
            <w:tcBorders>
              <w:top w:val="nil"/>
              <w:left w:val="single" w:sz="4" w:space="0" w:color="auto"/>
              <w:bottom w:val="single" w:sz="4" w:space="0" w:color="auto"/>
              <w:right w:val="nil"/>
            </w:tcBorders>
            <w:vAlign w:val="center"/>
          </w:tcPr>
          <w:p w14:paraId="00AAA230" w14:textId="77777777" w:rsidR="00B63355" w:rsidRPr="00B63355" w:rsidRDefault="00B63355">
            <w:pPr>
              <w:pStyle w:val="BodyText"/>
              <w:rPr>
                <w:rFonts w:cs="Arial"/>
                <w:b/>
                <w:bCs/>
                <w:color w:val="FFFFFF" w:themeColor="background1"/>
                <w:szCs w:val="24"/>
              </w:rPr>
            </w:pPr>
          </w:p>
        </w:tc>
      </w:tr>
      <w:tr w:rsidR="00B63355" w:rsidRPr="00B63355" w14:paraId="7A93EB15" w14:textId="77777777" w:rsidTr="00B63355">
        <w:trPr>
          <w:cantSplit/>
          <w:trHeight w:val="20"/>
        </w:trPr>
        <w:tc>
          <w:tcPr>
            <w:tcW w:w="439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2145159" w14:textId="77777777" w:rsidR="00B63355" w:rsidRPr="00B63355" w:rsidRDefault="00B63355">
            <w:pPr>
              <w:pStyle w:val="BodyText"/>
              <w:rPr>
                <w:rFonts w:cs="Arial"/>
                <w:b/>
                <w:bCs/>
                <w:color w:val="FFFFFF" w:themeColor="background1"/>
                <w:szCs w:val="24"/>
              </w:rPr>
            </w:pPr>
            <w:r w:rsidRPr="00B63355">
              <w:rPr>
                <w:rFonts w:cs="Arial"/>
                <w:b/>
                <w:bCs/>
                <w:color w:val="FFFFFF" w:themeColor="background1"/>
                <w:szCs w:val="24"/>
              </w:rPr>
              <w:t xml:space="preserve">Maturity structure of fixed interest rate borrowing </w:t>
            </w:r>
          </w:p>
        </w:tc>
        <w:tc>
          <w:tcPr>
            <w:tcW w:w="156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081896E" w14:textId="77777777" w:rsidR="00B63355" w:rsidRPr="00B63355" w:rsidRDefault="00B63355">
            <w:pPr>
              <w:pStyle w:val="BodyText"/>
              <w:jc w:val="center"/>
              <w:rPr>
                <w:rFonts w:cs="Arial"/>
                <w:b/>
                <w:bCs/>
                <w:color w:val="FFFFFF" w:themeColor="background1"/>
                <w:szCs w:val="24"/>
              </w:rPr>
            </w:pPr>
            <w:r w:rsidRPr="00B63355">
              <w:rPr>
                <w:rFonts w:cs="Arial"/>
                <w:b/>
                <w:bCs/>
                <w:color w:val="FFFFFF" w:themeColor="background1"/>
                <w:szCs w:val="24"/>
              </w:rPr>
              <w:t>Lower Limit 2023/24</w:t>
            </w: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48204B3" w14:textId="77777777" w:rsidR="00B63355" w:rsidRPr="00B63355" w:rsidRDefault="00B63355">
            <w:pPr>
              <w:pStyle w:val="BodyText"/>
              <w:jc w:val="center"/>
              <w:rPr>
                <w:rFonts w:cs="Arial"/>
                <w:b/>
                <w:bCs/>
                <w:color w:val="FFFFFF" w:themeColor="background1"/>
                <w:szCs w:val="24"/>
              </w:rPr>
            </w:pPr>
            <w:r w:rsidRPr="00B63355">
              <w:rPr>
                <w:rFonts w:cs="Arial"/>
                <w:b/>
                <w:bCs/>
                <w:color w:val="FFFFFF" w:themeColor="background1"/>
                <w:szCs w:val="24"/>
              </w:rPr>
              <w:t>Upper Limit 2023/24</w:t>
            </w:r>
          </w:p>
        </w:tc>
        <w:tc>
          <w:tcPr>
            <w:tcW w:w="1134" w:type="dxa"/>
            <w:tcBorders>
              <w:top w:val="single" w:sz="4" w:space="0" w:color="auto"/>
              <w:left w:val="single" w:sz="4" w:space="0" w:color="auto"/>
              <w:bottom w:val="single" w:sz="4" w:space="0" w:color="auto"/>
              <w:right w:val="single" w:sz="4" w:space="0" w:color="auto"/>
            </w:tcBorders>
            <w:shd w:val="clear" w:color="auto" w:fill="0070C0"/>
            <w:hideMark/>
          </w:tcPr>
          <w:p w14:paraId="2AFB024C" w14:textId="77777777" w:rsidR="00B63355" w:rsidRPr="00B63355" w:rsidRDefault="00B63355">
            <w:pPr>
              <w:pStyle w:val="BodyText"/>
              <w:jc w:val="center"/>
              <w:rPr>
                <w:rFonts w:cs="Arial"/>
                <w:b/>
                <w:bCs/>
                <w:color w:val="FFFFFF" w:themeColor="background1"/>
                <w:szCs w:val="24"/>
              </w:rPr>
            </w:pPr>
            <w:r w:rsidRPr="00B63355">
              <w:rPr>
                <w:rFonts w:cs="Arial"/>
                <w:b/>
                <w:bCs/>
                <w:color w:val="FFFFFF" w:themeColor="background1"/>
                <w:szCs w:val="24"/>
              </w:rPr>
              <w:t>Forecast 2023/24</w:t>
            </w:r>
          </w:p>
        </w:tc>
      </w:tr>
      <w:tr w:rsidR="00B63355" w:rsidRPr="00B63355" w14:paraId="3E9DAF1C" w14:textId="77777777" w:rsidTr="00B63355">
        <w:trPr>
          <w:cantSplit/>
          <w:trHeight w:val="397"/>
        </w:trPr>
        <w:tc>
          <w:tcPr>
            <w:tcW w:w="4394" w:type="dxa"/>
            <w:tcBorders>
              <w:top w:val="single" w:sz="4" w:space="0" w:color="auto"/>
              <w:left w:val="single" w:sz="4" w:space="0" w:color="auto"/>
              <w:bottom w:val="single" w:sz="4" w:space="0" w:color="auto"/>
              <w:right w:val="single" w:sz="4" w:space="0" w:color="auto"/>
            </w:tcBorders>
            <w:vAlign w:val="center"/>
            <w:hideMark/>
          </w:tcPr>
          <w:p w14:paraId="17AE7DCA" w14:textId="77777777" w:rsidR="00B63355" w:rsidRPr="00B63355" w:rsidRDefault="00B63355">
            <w:pPr>
              <w:pStyle w:val="BodyText"/>
              <w:spacing w:after="0"/>
              <w:rPr>
                <w:rFonts w:cs="Arial"/>
                <w:szCs w:val="24"/>
              </w:rPr>
            </w:pPr>
            <w:r w:rsidRPr="00B63355">
              <w:rPr>
                <w:rFonts w:cs="Arial"/>
                <w:szCs w:val="24"/>
              </w:rPr>
              <w:t>Under 12 months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1C7D49" w14:textId="77777777" w:rsidR="00B63355" w:rsidRPr="00B63355" w:rsidRDefault="00B63355">
            <w:pPr>
              <w:pStyle w:val="BodyText"/>
              <w:spacing w:after="0"/>
              <w:jc w:val="center"/>
              <w:rPr>
                <w:rFonts w:cs="Arial"/>
                <w:szCs w:val="24"/>
              </w:rPr>
            </w:pPr>
            <w:r w:rsidRPr="00B63355">
              <w:rPr>
                <w:rFonts w:cs="Arial"/>
                <w:szCs w:val="24"/>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FF1744" w14:textId="77777777" w:rsidR="00B63355" w:rsidRPr="00B63355" w:rsidRDefault="00B63355">
            <w:pPr>
              <w:pStyle w:val="BodyText"/>
              <w:spacing w:after="0"/>
              <w:jc w:val="center"/>
              <w:rPr>
                <w:rFonts w:cs="Arial"/>
                <w:szCs w:val="24"/>
              </w:rPr>
            </w:pPr>
            <w:r w:rsidRPr="00B63355">
              <w:rPr>
                <w:rFonts w:cs="Arial"/>
                <w:szCs w:val="24"/>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2C3297" w14:textId="77777777" w:rsidR="00B63355" w:rsidRPr="00B63355" w:rsidRDefault="00B63355">
            <w:pPr>
              <w:pStyle w:val="BodyText"/>
              <w:spacing w:after="0"/>
              <w:jc w:val="center"/>
              <w:rPr>
                <w:rFonts w:cs="Arial"/>
                <w:szCs w:val="24"/>
              </w:rPr>
            </w:pPr>
            <w:r w:rsidRPr="00B63355">
              <w:rPr>
                <w:rFonts w:cs="Arial"/>
                <w:szCs w:val="24"/>
              </w:rPr>
              <w:t>4.7%</w:t>
            </w:r>
          </w:p>
        </w:tc>
      </w:tr>
      <w:tr w:rsidR="00B63355" w:rsidRPr="00B63355" w14:paraId="0CC279CB" w14:textId="77777777" w:rsidTr="00B63355">
        <w:trPr>
          <w:cantSplit/>
          <w:trHeight w:val="397"/>
        </w:trPr>
        <w:tc>
          <w:tcPr>
            <w:tcW w:w="4394" w:type="dxa"/>
            <w:tcBorders>
              <w:top w:val="single" w:sz="4" w:space="0" w:color="auto"/>
              <w:left w:val="single" w:sz="4" w:space="0" w:color="auto"/>
              <w:bottom w:val="single" w:sz="4" w:space="0" w:color="auto"/>
              <w:right w:val="single" w:sz="4" w:space="0" w:color="auto"/>
            </w:tcBorders>
            <w:vAlign w:val="center"/>
            <w:hideMark/>
          </w:tcPr>
          <w:p w14:paraId="4253A05C" w14:textId="77777777" w:rsidR="00B63355" w:rsidRPr="00B63355" w:rsidRDefault="00B63355">
            <w:pPr>
              <w:pStyle w:val="BodyText"/>
              <w:spacing w:after="0"/>
              <w:rPr>
                <w:rFonts w:cs="Arial"/>
                <w:szCs w:val="24"/>
              </w:rPr>
            </w:pPr>
            <w:r w:rsidRPr="00B63355">
              <w:rPr>
                <w:rFonts w:cs="Arial"/>
                <w:szCs w:val="24"/>
              </w:rPr>
              <w:t>12 months to 2 years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D3BC570" w14:textId="77777777" w:rsidR="00B63355" w:rsidRPr="00B63355" w:rsidRDefault="00B63355">
            <w:pPr>
              <w:pStyle w:val="BodyText"/>
              <w:spacing w:after="0"/>
              <w:jc w:val="center"/>
              <w:rPr>
                <w:rFonts w:cs="Arial"/>
                <w:szCs w:val="24"/>
              </w:rPr>
            </w:pPr>
            <w:r w:rsidRPr="00B63355">
              <w:rPr>
                <w:rFonts w:cs="Arial"/>
                <w:szCs w:val="24"/>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120F44" w14:textId="77777777" w:rsidR="00B63355" w:rsidRPr="00B63355" w:rsidRDefault="00B63355">
            <w:pPr>
              <w:pStyle w:val="BodyText"/>
              <w:spacing w:after="0"/>
              <w:jc w:val="center"/>
              <w:rPr>
                <w:rFonts w:cs="Arial"/>
                <w:szCs w:val="24"/>
              </w:rPr>
            </w:pPr>
            <w:r w:rsidRPr="00B63355">
              <w:rPr>
                <w:rFonts w:cs="Arial"/>
                <w:szCs w:val="24"/>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0524E" w14:textId="77777777" w:rsidR="00B63355" w:rsidRPr="00B63355" w:rsidRDefault="00B63355">
            <w:pPr>
              <w:pStyle w:val="BodyText"/>
              <w:spacing w:after="0"/>
              <w:jc w:val="center"/>
              <w:rPr>
                <w:rFonts w:cs="Arial"/>
                <w:szCs w:val="24"/>
              </w:rPr>
            </w:pPr>
            <w:r w:rsidRPr="00B63355">
              <w:rPr>
                <w:rFonts w:cs="Arial"/>
                <w:szCs w:val="24"/>
              </w:rPr>
              <w:t>6.0%</w:t>
            </w:r>
          </w:p>
        </w:tc>
      </w:tr>
      <w:tr w:rsidR="00B63355" w:rsidRPr="00B63355" w14:paraId="7F3221B2" w14:textId="77777777" w:rsidTr="00B63355">
        <w:trPr>
          <w:cantSplit/>
          <w:trHeight w:val="397"/>
        </w:trPr>
        <w:tc>
          <w:tcPr>
            <w:tcW w:w="4394" w:type="dxa"/>
            <w:tcBorders>
              <w:top w:val="single" w:sz="4" w:space="0" w:color="auto"/>
              <w:left w:val="single" w:sz="4" w:space="0" w:color="auto"/>
              <w:bottom w:val="single" w:sz="4" w:space="0" w:color="auto"/>
              <w:right w:val="single" w:sz="4" w:space="0" w:color="auto"/>
            </w:tcBorders>
            <w:vAlign w:val="center"/>
            <w:hideMark/>
          </w:tcPr>
          <w:p w14:paraId="1BC7131A" w14:textId="77777777" w:rsidR="00B63355" w:rsidRPr="00B63355" w:rsidRDefault="00B63355">
            <w:pPr>
              <w:pStyle w:val="BodyText"/>
              <w:spacing w:after="0"/>
              <w:rPr>
                <w:rFonts w:cs="Arial"/>
                <w:szCs w:val="24"/>
              </w:rPr>
            </w:pPr>
            <w:r w:rsidRPr="00B63355">
              <w:rPr>
                <w:rFonts w:cs="Arial"/>
                <w:szCs w:val="24"/>
              </w:rPr>
              <w:t>2 years to 5 years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F348252" w14:textId="77777777" w:rsidR="00B63355" w:rsidRPr="00B63355" w:rsidRDefault="00B63355">
            <w:pPr>
              <w:pStyle w:val="BodyText"/>
              <w:spacing w:after="0"/>
              <w:jc w:val="center"/>
              <w:rPr>
                <w:rFonts w:cs="Arial"/>
                <w:szCs w:val="24"/>
              </w:rPr>
            </w:pPr>
            <w:r w:rsidRPr="00B63355">
              <w:rPr>
                <w:rFonts w:cs="Arial"/>
                <w:szCs w:val="24"/>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784E44" w14:textId="77777777" w:rsidR="00B63355" w:rsidRPr="00B63355" w:rsidRDefault="00B63355">
            <w:pPr>
              <w:pStyle w:val="BodyText"/>
              <w:spacing w:after="0"/>
              <w:jc w:val="center"/>
              <w:rPr>
                <w:rFonts w:cs="Arial"/>
                <w:szCs w:val="24"/>
              </w:rPr>
            </w:pPr>
            <w:r w:rsidRPr="00B63355">
              <w:rPr>
                <w:rFonts w:cs="Arial"/>
                <w:szCs w:val="24"/>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5F75AD" w14:textId="77777777" w:rsidR="00B63355" w:rsidRPr="00B63355" w:rsidRDefault="00B63355">
            <w:pPr>
              <w:pStyle w:val="BodyText"/>
              <w:spacing w:after="0"/>
              <w:jc w:val="center"/>
              <w:rPr>
                <w:rFonts w:cs="Arial"/>
                <w:szCs w:val="24"/>
              </w:rPr>
            </w:pPr>
            <w:r w:rsidRPr="00B63355">
              <w:rPr>
                <w:rFonts w:cs="Arial"/>
                <w:szCs w:val="24"/>
              </w:rPr>
              <w:t>13.8%</w:t>
            </w:r>
          </w:p>
        </w:tc>
      </w:tr>
      <w:tr w:rsidR="00B63355" w:rsidRPr="00B63355" w14:paraId="15F36195" w14:textId="77777777" w:rsidTr="00B63355">
        <w:trPr>
          <w:cantSplit/>
          <w:trHeight w:val="397"/>
        </w:trPr>
        <w:tc>
          <w:tcPr>
            <w:tcW w:w="4394" w:type="dxa"/>
            <w:tcBorders>
              <w:top w:val="single" w:sz="4" w:space="0" w:color="auto"/>
              <w:left w:val="single" w:sz="4" w:space="0" w:color="auto"/>
              <w:bottom w:val="single" w:sz="4" w:space="0" w:color="auto"/>
              <w:right w:val="single" w:sz="4" w:space="0" w:color="auto"/>
            </w:tcBorders>
            <w:vAlign w:val="center"/>
            <w:hideMark/>
          </w:tcPr>
          <w:p w14:paraId="41439E2E" w14:textId="77777777" w:rsidR="00B63355" w:rsidRPr="00B63355" w:rsidRDefault="00B63355">
            <w:pPr>
              <w:pStyle w:val="BodyText"/>
              <w:spacing w:after="0"/>
              <w:rPr>
                <w:rFonts w:cs="Arial"/>
                <w:szCs w:val="24"/>
              </w:rPr>
            </w:pPr>
            <w:r w:rsidRPr="00B63355">
              <w:rPr>
                <w:rFonts w:cs="Arial"/>
                <w:szCs w:val="24"/>
              </w:rPr>
              <w:t>5 years to 10 years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180F92" w14:textId="77777777" w:rsidR="00B63355" w:rsidRPr="00B63355" w:rsidRDefault="00B63355">
            <w:pPr>
              <w:pStyle w:val="BodyText"/>
              <w:spacing w:after="0"/>
              <w:jc w:val="center"/>
              <w:rPr>
                <w:rFonts w:cs="Arial"/>
                <w:szCs w:val="24"/>
              </w:rPr>
            </w:pPr>
            <w:r w:rsidRPr="00B63355">
              <w:rPr>
                <w:rFonts w:cs="Arial"/>
                <w:szCs w:val="24"/>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1A2B1B" w14:textId="77777777" w:rsidR="00B63355" w:rsidRPr="00B63355" w:rsidRDefault="00B63355">
            <w:pPr>
              <w:pStyle w:val="BodyText"/>
              <w:spacing w:after="0"/>
              <w:jc w:val="center"/>
              <w:rPr>
                <w:rFonts w:cs="Arial"/>
                <w:szCs w:val="24"/>
              </w:rPr>
            </w:pPr>
            <w:r w:rsidRPr="00B63355">
              <w:rPr>
                <w:rFonts w:cs="Arial"/>
                <w:szCs w:val="24"/>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F48732" w14:textId="77777777" w:rsidR="00B63355" w:rsidRPr="00B63355" w:rsidRDefault="00B63355">
            <w:pPr>
              <w:pStyle w:val="BodyText"/>
              <w:spacing w:after="0"/>
              <w:jc w:val="center"/>
              <w:rPr>
                <w:rFonts w:cs="Arial"/>
                <w:szCs w:val="24"/>
              </w:rPr>
            </w:pPr>
            <w:r w:rsidRPr="00B63355">
              <w:rPr>
                <w:rFonts w:cs="Arial"/>
                <w:szCs w:val="24"/>
              </w:rPr>
              <w:t>27.2%</w:t>
            </w:r>
          </w:p>
        </w:tc>
      </w:tr>
      <w:tr w:rsidR="00B63355" w:rsidRPr="00B63355" w14:paraId="187D4195" w14:textId="77777777" w:rsidTr="00B63355">
        <w:trPr>
          <w:cantSplit/>
          <w:trHeight w:val="397"/>
        </w:trPr>
        <w:tc>
          <w:tcPr>
            <w:tcW w:w="4394" w:type="dxa"/>
            <w:tcBorders>
              <w:top w:val="single" w:sz="4" w:space="0" w:color="auto"/>
              <w:left w:val="single" w:sz="4" w:space="0" w:color="auto"/>
              <w:bottom w:val="single" w:sz="4" w:space="0" w:color="auto"/>
              <w:right w:val="single" w:sz="4" w:space="0" w:color="auto"/>
            </w:tcBorders>
            <w:vAlign w:val="center"/>
            <w:hideMark/>
          </w:tcPr>
          <w:p w14:paraId="34F3517E" w14:textId="77777777" w:rsidR="00B63355" w:rsidRPr="00B63355" w:rsidRDefault="00B63355">
            <w:pPr>
              <w:pStyle w:val="BodyText"/>
              <w:spacing w:after="0"/>
              <w:rPr>
                <w:rFonts w:cs="Arial"/>
                <w:szCs w:val="24"/>
              </w:rPr>
            </w:pPr>
            <w:r w:rsidRPr="00B63355">
              <w:rPr>
                <w:rFonts w:cs="Arial"/>
                <w:szCs w:val="24"/>
              </w:rPr>
              <w:t>10 years and above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8A29BC" w14:textId="77777777" w:rsidR="00B63355" w:rsidRPr="00B63355" w:rsidRDefault="00B63355">
            <w:pPr>
              <w:pStyle w:val="BodyText"/>
              <w:spacing w:after="0"/>
              <w:jc w:val="center"/>
              <w:rPr>
                <w:rFonts w:cs="Arial"/>
                <w:szCs w:val="24"/>
              </w:rPr>
            </w:pPr>
            <w:r w:rsidRPr="00B63355">
              <w:rPr>
                <w:rFonts w:cs="Arial"/>
                <w:szCs w:val="24"/>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6FFEC4" w14:textId="77777777" w:rsidR="00B63355" w:rsidRPr="00B63355" w:rsidRDefault="00B63355">
            <w:pPr>
              <w:pStyle w:val="BodyText"/>
              <w:spacing w:after="0"/>
              <w:jc w:val="center"/>
              <w:rPr>
                <w:rFonts w:cs="Arial"/>
                <w:szCs w:val="24"/>
              </w:rPr>
            </w:pPr>
            <w:r w:rsidRPr="00B63355">
              <w:rPr>
                <w:rFonts w:cs="Arial"/>
                <w:szCs w:val="24"/>
              </w:rPr>
              <w:t>90%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8D8D93" w14:textId="77777777" w:rsidR="00B63355" w:rsidRPr="00B63355" w:rsidRDefault="00B63355">
            <w:pPr>
              <w:pStyle w:val="BodyText"/>
              <w:spacing w:after="0"/>
              <w:jc w:val="center"/>
              <w:rPr>
                <w:rFonts w:cs="Arial"/>
                <w:szCs w:val="24"/>
              </w:rPr>
            </w:pPr>
            <w:r w:rsidRPr="00B63355">
              <w:rPr>
                <w:rFonts w:cs="Arial"/>
                <w:szCs w:val="24"/>
              </w:rPr>
              <w:t>48.3%</w:t>
            </w:r>
          </w:p>
        </w:tc>
      </w:tr>
    </w:tbl>
    <w:p w14:paraId="1849AA4D" w14:textId="77777777" w:rsidR="00B63355" w:rsidRPr="00B63355" w:rsidRDefault="00B63355" w:rsidP="00B63355">
      <w:pPr>
        <w:jc w:val="center"/>
        <w:rPr>
          <w:rFonts w:eastAsia="Times New Roman" w:cs="Arial"/>
          <w:b/>
          <w:szCs w:val="24"/>
        </w:rPr>
      </w:pPr>
    </w:p>
    <w:p w14:paraId="5D171626" w14:textId="77777777" w:rsidR="00B63355" w:rsidRPr="00B63355" w:rsidRDefault="00B63355" w:rsidP="00B63355">
      <w:pPr>
        <w:pStyle w:val="Header"/>
        <w:rPr>
          <w:rFonts w:cs="Arial"/>
          <w:b/>
          <w:bCs/>
          <w:sz w:val="24"/>
          <w:szCs w:val="24"/>
        </w:rPr>
      </w:pPr>
      <w:r w:rsidRPr="00B63355">
        <w:rPr>
          <w:rFonts w:cs="Arial"/>
          <w:b/>
          <w:bCs/>
          <w:sz w:val="24"/>
          <w:szCs w:val="24"/>
        </w:rPr>
        <w:t>2.3 Treasury Management - Investment Activity</w:t>
      </w:r>
    </w:p>
    <w:p w14:paraId="59B9A943" w14:textId="77777777" w:rsidR="00B63355" w:rsidRPr="00B63355" w:rsidRDefault="00B63355" w:rsidP="00B63355">
      <w:pPr>
        <w:pStyle w:val="Header"/>
        <w:rPr>
          <w:rFonts w:cs="Arial"/>
          <w:bCs/>
          <w:sz w:val="24"/>
          <w:szCs w:val="24"/>
        </w:rPr>
      </w:pPr>
    </w:p>
    <w:p w14:paraId="429F5A0A" w14:textId="6ED6D28F" w:rsidR="00B63355" w:rsidRPr="00B63355" w:rsidRDefault="00B63355" w:rsidP="00B63355">
      <w:pPr>
        <w:pStyle w:val="Header"/>
        <w:jc w:val="both"/>
        <w:rPr>
          <w:rFonts w:cs="Arial"/>
          <w:bCs/>
          <w:sz w:val="24"/>
          <w:szCs w:val="24"/>
        </w:rPr>
      </w:pPr>
      <w:r w:rsidRPr="00B63355">
        <w:rPr>
          <w:rFonts w:cs="Arial"/>
          <w:bCs/>
          <w:sz w:val="24"/>
          <w:szCs w:val="24"/>
        </w:rPr>
        <w:t xml:space="preserve">The objectives of the Council’s investment strategy </w:t>
      </w:r>
      <w:r>
        <w:rPr>
          <w:rFonts w:cs="Arial"/>
          <w:bCs/>
          <w:sz w:val="24"/>
          <w:szCs w:val="24"/>
        </w:rPr>
        <w:t>were</w:t>
      </w:r>
      <w:r w:rsidRPr="00B63355">
        <w:rPr>
          <w:rFonts w:cs="Arial"/>
          <w:bCs/>
          <w:sz w:val="24"/>
          <w:szCs w:val="24"/>
        </w:rPr>
        <w:t xml:space="preserve"> safeguarding the repayment of the principal and interest on its investments on time, with the investment return being a secondary objective. The investment climate </w:t>
      </w:r>
      <w:r w:rsidR="00C61CDE">
        <w:rPr>
          <w:rFonts w:cs="Arial"/>
          <w:bCs/>
          <w:sz w:val="24"/>
          <w:szCs w:val="24"/>
        </w:rPr>
        <w:t xml:space="preserve">at the time of writing </w:t>
      </w:r>
      <w:r w:rsidRPr="00B63355">
        <w:rPr>
          <w:rFonts w:cs="Arial"/>
          <w:bCs/>
          <w:sz w:val="24"/>
          <w:szCs w:val="24"/>
        </w:rPr>
        <w:t>continue</w:t>
      </w:r>
      <w:r w:rsidR="00C61CDE">
        <w:rPr>
          <w:rFonts w:cs="Arial"/>
          <w:bCs/>
          <w:sz w:val="24"/>
          <w:szCs w:val="24"/>
        </w:rPr>
        <w:t>d</w:t>
      </w:r>
      <w:r w:rsidRPr="00B63355">
        <w:rPr>
          <w:rFonts w:cs="Arial"/>
          <w:bCs/>
          <w:sz w:val="24"/>
          <w:szCs w:val="24"/>
        </w:rPr>
        <w:t xml:space="preserve"> to be one of overriding risk consideration, particularly that of counterparty risk.  In line </w:t>
      </w:r>
      <w:r w:rsidRPr="00B63355">
        <w:rPr>
          <w:rFonts w:cs="Arial"/>
          <w:bCs/>
          <w:sz w:val="24"/>
          <w:szCs w:val="24"/>
        </w:rPr>
        <w:lastRenderedPageBreak/>
        <w:t>with advice provided by treasury management consultants, officers continue</w:t>
      </w:r>
      <w:r w:rsidR="00C61CDE">
        <w:rPr>
          <w:rFonts w:cs="Arial"/>
          <w:bCs/>
          <w:sz w:val="24"/>
          <w:szCs w:val="24"/>
        </w:rPr>
        <w:t>d</w:t>
      </w:r>
      <w:r w:rsidRPr="00B63355">
        <w:rPr>
          <w:rFonts w:cs="Arial"/>
          <w:bCs/>
          <w:sz w:val="24"/>
          <w:szCs w:val="24"/>
        </w:rPr>
        <w:t xml:space="preserve"> to implement an operational investment strategy of placing short-term investments with approved high-quality counterparties.  </w:t>
      </w:r>
    </w:p>
    <w:p w14:paraId="764DFE48" w14:textId="77777777" w:rsidR="00B63355" w:rsidRPr="00B63355" w:rsidRDefault="00B63355" w:rsidP="00B63355">
      <w:pPr>
        <w:pStyle w:val="Header"/>
        <w:jc w:val="both"/>
        <w:rPr>
          <w:rFonts w:cs="Arial"/>
          <w:bCs/>
          <w:sz w:val="24"/>
          <w:szCs w:val="24"/>
        </w:rPr>
      </w:pPr>
    </w:p>
    <w:p w14:paraId="29210964" w14:textId="12A8AFC4" w:rsidR="00B63355" w:rsidRPr="00B63355" w:rsidRDefault="00B63355" w:rsidP="00B63355">
      <w:pPr>
        <w:pStyle w:val="Header"/>
        <w:jc w:val="both"/>
        <w:rPr>
          <w:rFonts w:cs="Arial"/>
          <w:bCs/>
          <w:sz w:val="24"/>
          <w:szCs w:val="24"/>
        </w:rPr>
      </w:pPr>
      <w:r w:rsidRPr="00B63355">
        <w:rPr>
          <w:rFonts w:cs="Arial"/>
          <w:sz w:val="24"/>
          <w:szCs w:val="24"/>
        </w:rPr>
        <w:t>F</w:t>
      </w:r>
      <w:r w:rsidRPr="00B63355">
        <w:rPr>
          <w:rFonts w:cs="Arial"/>
          <w:bCs/>
          <w:sz w:val="24"/>
          <w:szCs w:val="24"/>
        </w:rPr>
        <w:t xml:space="preserve">or the period from 1 April to 31 December 2023, Council </w:t>
      </w:r>
      <w:r w:rsidR="00C61CDE">
        <w:rPr>
          <w:rFonts w:cs="Arial"/>
          <w:bCs/>
          <w:sz w:val="24"/>
          <w:szCs w:val="24"/>
        </w:rPr>
        <w:t>had</w:t>
      </w:r>
      <w:r w:rsidRPr="00B63355">
        <w:rPr>
          <w:rFonts w:cs="Arial"/>
          <w:bCs/>
          <w:sz w:val="24"/>
          <w:szCs w:val="24"/>
        </w:rPr>
        <w:t xml:space="preserve"> earned interest of £463k on investment deals with approved financial institutions as summarised below:  </w:t>
      </w:r>
    </w:p>
    <w:p w14:paraId="73721745" w14:textId="77777777" w:rsidR="00B63355" w:rsidRPr="00B63355" w:rsidRDefault="00B63355" w:rsidP="00B63355">
      <w:pPr>
        <w:pStyle w:val="Header"/>
        <w:jc w:val="both"/>
        <w:rPr>
          <w:rFonts w:cs="Arial"/>
          <w:bCs/>
          <w:sz w:val="24"/>
          <w:szCs w:val="24"/>
        </w:rPr>
      </w:pP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1"/>
        <w:gridCol w:w="1277"/>
        <w:gridCol w:w="1276"/>
        <w:gridCol w:w="1277"/>
        <w:gridCol w:w="1274"/>
      </w:tblGrid>
      <w:tr w:rsidR="00B63355" w:rsidRPr="00B63355" w14:paraId="0801E01E" w14:textId="77777777" w:rsidTr="00B63355">
        <w:tc>
          <w:tcPr>
            <w:tcW w:w="3969" w:type="dxa"/>
            <w:tcBorders>
              <w:top w:val="single" w:sz="4" w:space="0" w:color="000000"/>
              <w:left w:val="single" w:sz="4" w:space="0" w:color="000000"/>
              <w:bottom w:val="single" w:sz="4" w:space="0" w:color="000000"/>
              <w:right w:val="single" w:sz="4" w:space="0" w:color="000000"/>
            </w:tcBorders>
            <w:shd w:val="clear" w:color="auto" w:fill="0070C0"/>
            <w:hideMark/>
          </w:tcPr>
          <w:p w14:paraId="7AF39904" w14:textId="77777777" w:rsidR="00B63355" w:rsidRPr="00B63355" w:rsidRDefault="00B63355">
            <w:pPr>
              <w:pStyle w:val="ListParagraph"/>
              <w:spacing w:line="256" w:lineRule="auto"/>
              <w:ind w:left="0"/>
              <w:rPr>
                <w:rFonts w:ascii="Arial" w:hAnsi="Arial" w:cs="Arial"/>
                <w:b/>
                <w:color w:val="FFFFFF" w:themeColor="background1"/>
                <w:sz w:val="24"/>
                <w:szCs w:val="24"/>
              </w:rPr>
            </w:pPr>
            <w:r w:rsidRPr="00B63355">
              <w:rPr>
                <w:rFonts w:ascii="Arial" w:hAnsi="Arial" w:cs="Arial"/>
                <w:b/>
                <w:color w:val="FFFFFF" w:themeColor="background1"/>
                <w:sz w:val="24"/>
                <w:szCs w:val="24"/>
              </w:rPr>
              <w:t>Table 2.31</w:t>
            </w:r>
          </w:p>
        </w:tc>
        <w:tc>
          <w:tcPr>
            <w:tcW w:w="127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6E421E78"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Average Deposit Size</w:t>
            </w:r>
          </w:p>
        </w:tc>
        <w:tc>
          <w:tcPr>
            <w:tcW w:w="127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7997D0B6"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Average Term</w:t>
            </w:r>
          </w:p>
        </w:tc>
        <w:tc>
          <w:tcPr>
            <w:tcW w:w="1277"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502EBE57"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Average Interest Rate</w:t>
            </w:r>
          </w:p>
        </w:tc>
        <w:tc>
          <w:tcPr>
            <w:tcW w:w="1274"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2C4902EC"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Interest Earned</w:t>
            </w:r>
          </w:p>
        </w:tc>
      </w:tr>
      <w:tr w:rsidR="00B63355" w:rsidRPr="00B63355" w14:paraId="27C7429E" w14:textId="77777777" w:rsidTr="00B63355">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4AFFA435"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t>CCLA Public Sector Deposit Fund</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4B5FC4"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£2.7m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2A5CC3B"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D98A7BC"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4.89%</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5467A8E5"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£103,187</w:t>
            </w:r>
          </w:p>
        </w:tc>
      </w:tr>
      <w:tr w:rsidR="00B63355" w:rsidRPr="00B63355" w14:paraId="4BC1A427" w14:textId="77777777" w:rsidTr="00B63355">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225370AE"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t>Invesco Investment Mgt Ltd</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168F69"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£2.6m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88A4EE"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472C2CFB"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5.02%</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04C66FF4"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£86,489</w:t>
            </w:r>
          </w:p>
        </w:tc>
      </w:tr>
      <w:tr w:rsidR="00B63355" w:rsidRPr="00B63355" w14:paraId="6F33C50C" w14:textId="77777777" w:rsidTr="00B63355">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5EC35511"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t>State Street Global Advisors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6A35268"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£2.7m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29D2278"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21402266"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4.86%</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34745D80"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£101,285</w:t>
            </w:r>
          </w:p>
        </w:tc>
      </w:tr>
      <w:tr w:rsidR="00B63355" w:rsidRPr="00B63355" w14:paraId="6C259F04" w14:textId="77777777" w:rsidTr="00B63355">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301B5D7D"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t>Barclays Bank</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4DE4F44"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£1.7m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93A8C9"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EBF12FD"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4.80%</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63486A5F"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£53,357</w:t>
            </w:r>
          </w:p>
        </w:tc>
      </w:tr>
      <w:tr w:rsidR="00B63355" w:rsidRPr="00B63355" w14:paraId="7A2DFE6D" w14:textId="77777777" w:rsidTr="00B63355">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7A525ADB"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t>Bank of Scotland</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746DE2"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£2.0m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1A8475A"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6FC60FC6"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4.85%</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1C581518"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£77,029</w:t>
            </w:r>
          </w:p>
        </w:tc>
      </w:tr>
      <w:tr w:rsidR="00B63355" w:rsidRPr="00B63355" w14:paraId="12A675A8" w14:textId="77777777" w:rsidTr="00B63355">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51868B17"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t>Santander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92D5FC"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£1.1m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27FC36"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Call A/c</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3E039163"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2.91%</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29ED60C7"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£10,060</w:t>
            </w:r>
          </w:p>
        </w:tc>
      </w:tr>
      <w:tr w:rsidR="00B63355" w:rsidRPr="00B63355" w14:paraId="794B293A" w14:textId="77777777" w:rsidTr="00B63355">
        <w:trPr>
          <w:trHeight w:val="397"/>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16FC6CD3"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t>Other Local Authorities</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CE7965E"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£3.0m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808B70"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3 mths</w:t>
            </w:r>
          </w:p>
        </w:tc>
        <w:tc>
          <w:tcPr>
            <w:tcW w:w="1277" w:type="dxa"/>
            <w:tcBorders>
              <w:top w:val="single" w:sz="4" w:space="0" w:color="000000"/>
              <w:left w:val="single" w:sz="4" w:space="0" w:color="000000"/>
              <w:bottom w:val="single" w:sz="4" w:space="0" w:color="000000"/>
              <w:right w:val="single" w:sz="4" w:space="0" w:color="000000"/>
            </w:tcBorders>
            <w:vAlign w:val="center"/>
            <w:hideMark/>
          </w:tcPr>
          <w:p w14:paraId="5D7201C1"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4.20%</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79BA408C" w14:textId="77777777" w:rsidR="00B63355" w:rsidRPr="00B63355" w:rsidRDefault="00B63355">
            <w:pPr>
              <w:pStyle w:val="ListParagraph"/>
              <w:spacing w:line="256" w:lineRule="auto"/>
              <w:ind w:left="0"/>
              <w:jc w:val="right"/>
              <w:rPr>
                <w:rFonts w:ascii="Arial" w:hAnsi="Arial" w:cs="Arial"/>
                <w:sz w:val="24"/>
                <w:szCs w:val="24"/>
              </w:rPr>
            </w:pPr>
            <w:r w:rsidRPr="00B63355">
              <w:rPr>
                <w:rFonts w:ascii="Arial" w:hAnsi="Arial" w:cs="Arial"/>
                <w:sz w:val="24"/>
                <w:szCs w:val="24"/>
              </w:rPr>
              <w:t>£31,414</w:t>
            </w:r>
          </w:p>
        </w:tc>
      </w:tr>
      <w:tr w:rsidR="00B63355" w:rsidRPr="00B63355" w14:paraId="46509C6A" w14:textId="77777777" w:rsidTr="00B63355">
        <w:trPr>
          <w:trHeight w:val="397"/>
        </w:trPr>
        <w:tc>
          <w:tcPr>
            <w:tcW w:w="7798"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798557" w14:textId="77777777" w:rsidR="00B63355" w:rsidRPr="00B63355" w:rsidRDefault="00B63355">
            <w:pPr>
              <w:pStyle w:val="ListParagraph"/>
              <w:spacing w:line="256" w:lineRule="auto"/>
              <w:ind w:left="0"/>
              <w:rPr>
                <w:rFonts w:ascii="Arial" w:hAnsi="Arial" w:cs="Arial"/>
                <w:b/>
                <w:sz w:val="24"/>
                <w:szCs w:val="24"/>
              </w:rPr>
            </w:pPr>
            <w:r w:rsidRPr="00B63355">
              <w:rPr>
                <w:rFonts w:ascii="Arial" w:hAnsi="Arial" w:cs="Arial"/>
                <w:b/>
                <w:sz w:val="24"/>
                <w:szCs w:val="24"/>
              </w:rPr>
              <w:t>Totals</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7FD2A67" w14:textId="77777777" w:rsidR="00B63355" w:rsidRPr="00B63355" w:rsidRDefault="00B63355">
            <w:pPr>
              <w:pStyle w:val="ListParagraph"/>
              <w:spacing w:line="256" w:lineRule="auto"/>
              <w:ind w:left="0"/>
              <w:jc w:val="right"/>
              <w:rPr>
                <w:rFonts w:ascii="Arial" w:hAnsi="Arial" w:cs="Arial"/>
                <w:b/>
                <w:sz w:val="24"/>
                <w:szCs w:val="24"/>
              </w:rPr>
            </w:pPr>
            <w:r w:rsidRPr="00B63355">
              <w:rPr>
                <w:rFonts w:ascii="Arial" w:hAnsi="Arial" w:cs="Arial"/>
                <w:b/>
                <w:sz w:val="24"/>
                <w:szCs w:val="24"/>
              </w:rPr>
              <w:t>£462,821</w:t>
            </w:r>
          </w:p>
        </w:tc>
      </w:tr>
    </w:tbl>
    <w:p w14:paraId="1D8D7709" w14:textId="77777777" w:rsidR="00B63355" w:rsidRPr="00B63355" w:rsidRDefault="00B63355" w:rsidP="00B63355">
      <w:pPr>
        <w:jc w:val="both"/>
        <w:rPr>
          <w:rFonts w:eastAsia="Times New Roman" w:cs="Arial"/>
          <w:szCs w:val="24"/>
        </w:rPr>
      </w:pPr>
    </w:p>
    <w:p w14:paraId="571C56A8" w14:textId="7C158F78" w:rsidR="00B63355" w:rsidRPr="00B63355" w:rsidRDefault="00B63355" w:rsidP="00284B8E">
      <w:pPr>
        <w:rPr>
          <w:rFonts w:cs="Arial"/>
          <w:szCs w:val="24"/>
        </w:rPr>
      </w:pPr>
      <w:r w:rsidRPr="00B63355">
        <w:rPr>
          <w:rFonts w:cs="Arial"/>
          <w:szCs w:val="24"/>
        </w:rPr>
        <w:t>This compare</w:t>
      </w:r>
      <w:r w:rsidR="00C61CDE">
        <w:rPr>
          <w:rFonts w:cs="Arial"/>
          <w:szCs w:val="24"/>
        </w:rPr>
        <w:t>d</w:t>
      </w:r>
      <w:r w:rsidRPr="00B63355">
        <w:rPr>
          <w:rFonts w:cs="Arial"/>
          <w:szCs w:val="24"/>
        </w:rPr>
        <w:t xml:space="preserve"> favourably to the budget set for the year of £220k.  The forecast investment interest income for the financial year is expected to be circa £600k, which will result in a favourable variance of £380k.  </w:t>
      </w:r>
    </w:p>
    <w:p w14:paraId="75354252" w14:textId="77777777" w:rsidR="00B63355" w:rsidRPr="00B63355" w:rsidRDefault="00B63355" w:rsidP="00284B8E">
      <w:pPr>
        <w:rPr>
          <w:rFonts w:cs="Arial"/>
          <w:szCs w:val="24"/>
        </w:rPr>
      </w:pPr>
    </w:p>
    <w:p w14:paraId="173E3515" w14:textId="77777777" w:rsidR="00B63355" w:rsidRPr="00B63355" w:rsidRDefault="00B63355" w:rsidP="00284B8E">
      <w:pPr>
        <w:rPr>
          <w:rFonts w:cs="Arial"/>
          <w:szCs w:val="24"/>
        </w:rPr>
      </w:pPr>
      <w:r w:rsidRPr="00B63355">
        <w:rPr>
          <w:rFonts w:cs="Arial"/>
          <w:szCs w:val="24"/>
        </w:rPr>
        <w:t>The total balance of funds held in investment accounts at 31 December 2023 was £11m.  The table below shows the risk and return metrics on these investments against other NI Councils.</w:t>
      </w:r>
    </w:p>
    <w:tbl>
      <w:tblPr>
        <w:tblW w:w="87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3"/>
        <w:gridCol w:w="1983"/>
        <w:gridCol w:w="1417"/>
        <w:gridCol w:w="2267"/>
      </w:tblGrid>
      <w:tr w:rsidR="00B63355" w:rsidRPr="00B63355" w14:paraId="4F3D98A2" w14:textId="77777777" w:rsidTr="00B63355">
        <w:trPr>
          <w:trHeight w:val="454"/>
        </w:trPr>
        <w:tc>
          <w:tcPr>
            <w:tcW w:w="3124" w:type="dxa"/>
            <w:tcBorders>
              <w:top w:val="nil"/>
              <w:left w:val="nil"/>
              <w:bottom w:val="single" w:sz="4" w:space="0" w:color="auto"/>
              <w:right w:val="single" w:sz="4" w:space="0" w:color="auto"/>
            </w:tcBorders>
            <w:hideMark/>
          </w:tcPr>
          <w:p w14:paraId="488732AE" w14:textId="77777777" w:rsidR="00B63355" w:rsidRPr="00B63355" w:rsidRDefault="00B63355">
            <w:pPr>
              <w:pStyle w:val="ListParagraph"/>
              <w:spacing w:line="256" w:lineRule="auto"/>
              <w:ind w:left="0"/>
              <w:rPr>
                <w:rFonts w:ascii="Arial" w:hAnsi="Arial" w:cs="Arial"/>
                <w:b/>
                <w:color w:val="FFFFFF" w:themeColor="background1"/>
                <w:sz w:val="24"/>
                <w:szCs w:val="24"/>
              </w:rPr>
            </w:pPr>
            <w:r w:rsidRPr="00B63355">
              <w:rPr>
                <w:rFonts w:ascii="Arial" w:hAnsi="Arial" w:cs="Arial"/>
                <w:b/>
                <w:color w:val="FFFFFF" w:themeColor="background1"/>
                <w:sz w:val="24"/>
                <w:szCs w:val="24"/>
              </w:rPr>
              <w:t>Table 2.3</w:t>
            </w: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5B02511"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Counterparties</w:t>
            </w:r>
          </w:p>
        </w:tc>
        <w:tc>
          <w:tcPr>
            <w:tcW w:w="3686" w:type="dxa"/>
            <w:gridSpan w:val="2"/>
            <w:tcBorders>
              <w:top w:val="single" w:sz="4" w:space="0" w:color="000000"/>
              <w:left w:val="single" w:sz="4" w:space="0" w:color="auto"/>
              <w:bottom w:val="single" w:sz="4" w:space="0" w:color="000000"/>
              <w:right w:val="single" w:sz="4" w:space="0" w:color="000000"/>
            </w:tcBorders>
            <w:shd w:val="clear" w:color="auto" w:fill="0070C0"/>
            <w:vAlign w:val="center"/>
            <w:hideMark/>
          </w:tcPr>
          <w:p w14:paraId="518AA736"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Investments</w:t>
            </w:r>
          </w:p>
        </w:tc>
      </w:tr>
      <w:tr w:rsidR="00B63355" w:rsidRPr="00B63355" w14:paraId="18726518" w14:textId="77777777" w:rsidTr="00B63355">
        <w:trPr>
          <w:trHeight w:val="454"/>
        </w:trPr>
        <w:tc>
          <w:tcPr>
            <w:tcW w:w="3124" w:type="dxa"/>
            <w:tcBorders>
              <w:top w:val="single" w:sz="4" w:space="0" w:color="auto"/>
              <w:left w:val="single" w:sz="4" w:space="0" w:color="auto"/>
              <w:bottom w:val="single" w:sz="4" w:space="0" w:color="auto"/>
              <w:right w:val="single" w:sz="4" w:space="0" w:color="auto"/>
            </w:tcBorders>
            <w:shd w:val="clear" w:color="auto" w:fill="0070C0"/>
            <w:hideMark/>
          </w:tcPr>
          <w:p w14:paraId="09156CC6" w14:textId="77777777" w:rsidR="00B63355" w:rsidRPr="00B63355" w:rsidRDefault="00B63355">
            <w:pPr>
              <w:pStyle w:val="ListParagraph"/>
              <w:spacing w:line="256" w:lineRule="auto"/>
              <w:ind w:left="0"/>
              <w:rPr>
                <w:rFonts w:ascii="Arial" w:hAnsi="Arial" w:cs="Arial"/>
                <w:b/>
                <w:color w:val="FFFFFF" w:themeColor="background1"/>
                <w:sz w:val="24"/>
                <w:szCs w:val="24"/>
              </w:rPr>
            </w:pPr>
            <w:r w:rsidRPr="00B63355">
              <w:rPr>
                <w:rFonts w:ascii="Arial" w:hAnsi="Arial" w:cs="Arial"/>
                <w:b/>
                <w:color w:val="FFFFFF" w:themeColor="background1"/>
                <w:sz w:val="24"/>
                <w:szCs w:val="24"/>
              </w:rPr>
              <w:t>Table 2.32</w:t>
            </w:r>
          </w:p>
        </w:tc>
        <w:tc>
          <w:tcPr>
            <w:tcW w:w="1984" w:type="dxa"/>
            <w:tcBorders>
              <w:top w:val="single" w:sz="4" w:space="0" w:color="auto"/>
              <w:left w:val="single" w:sz="4" w:space="0" w:color="000000"/>
              <w:bottom w:val="single" w:sz="4" w:space="0" w:color="000000"/>
              <w:right w:val="single" w:sz="4" w:space="0" w:color="000000"/>
            </w:tcBorders>
            <w:shd w:val="clear" w:color="auto" w:fill="0070C0"/>
            <w:vAlign w:val="center"/>
            <w:hideMark/>
          </w:tcPr>
          <w:p w14:paraId="15FAAD51"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 xml:space="preserve">Credit Rating </w:t>
            </w:r>
          </w:p>
        </w:tc>
        <w:tc>
          <w:tcPr>
            <w:tcW w:w="1418"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4CD7B78B"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Liquidity</w:t>
            </w:r>
          </w:p>
        </w:tc>
        <w:tc>
          <w:tcPr>
            <w:tcW w:w="2268"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AA93567" w14:textId="77777777" w:rsidR="00B63355" w:rsidRPr="00B63355" w:rsidRDefault="00B63355">
            <w:pPr>
              <w:pStyle w:val="ListParagraph"/>
              <w:spacing w:line="256" w:lineRule="auto"/>
              <w:ind w:left="0"/>
              <w:jc w:val="center"/>
              <w:rPr>
                <w:rFonts w:ascii="Arial" w:hAnsi="Arial" w:cs="Arial"/>
                <w:b/>
                <w:color w:val="FFFFFF" w:themeColor="background1"/>
                <w:sz w:val="24"/>
                <w:szCs w:val="24"/>
              </w:rPr>
            </w:pPr>
            <w:r w:rsidRPr="00B63355">
              <w:rPr>
                <w:rFonts w:ascii="Arial" w:hAnsi="Arial" w:cs="Arial"/>
                <w:b/>
                <w:color w:val="FFFFFF" w:themeColor="background1"/>
                <w:sz w:val="24"/>
                <w:szCs w:val="24"/>
              </w:rPr>
              <w:t>Rate of Return (%)</w:t>
            </w:r>
          </w:p>
        </w:tc>
      </w:tr>
      <w:tr w:rsidR="00B63355" w:rsidRPr="00B63355" w14:paraId="7FEF3466" w14:textId="77777777" w:rsidTr="00B63355">
        <w:trPr>
          <w:trHeight w:val="340"/>
        </w:trPr>
        <w:tc>
          <w:tcPr>
            <w:tcW w:w="3124" w:type="dxa"/>
            <w:tcBorders>
              <w:top w:val="single" w:sz="4" w:space="0" w:color="auto"/>
              <w:left w:val="single" w:sz="4" w:space="0" w:color="000000"/>
              <w:bottom w:val="single" w:sz="4" w:space="0" w:color="000000"/>
              <w:right w:val="single" w:sz="4" w:space="0" w:color="000000"/>
            </w:tcBorders>
            <w:vAlign w:val="center"/>
            <w:hideMark/>
          </w:tcPr>
          <w:p w14:paraId="779D17CA"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t>ANDBC</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0A6AAEC"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4F81A64"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D19556D"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5.31%</w:t>
            </w:r>
          </w:p>
        </w:tc>
      </w:tr>
      <w:tr w:rsidR="00B63355" w:rsidRPr="00B63355" w14:paraId="4390C719" w14:textId="77777777" w:rsidTr="00B63355">
        <w:trPr>
          <w:trHeight w:val="340"/>
        </w:trPr>
        <w:tc>
          <w:tcPr>
            <w:tcW w:w="3124" w:type="dxa"/>
            <w:tcBorders>
              <w:top w:val="single" w:sz="4" w:space="0" w:color="000000"/>
              <w:left w:val="single" w:sz="4" w:space="0" w:color="000000"/>
              <w:bottom w:val="single" w:sz="4" w:space="0" w:color="000000"/>
              <w:right w:val="single" w:sz="4" w:space="0" w:color="000000"/>
            </w:tcBorders>
            <w:vAlign w:val="center"/>
            <w:hideMark/>
          </w:tcPr>
          <w:p w14:paraId="16BA2C5C" w14:textId="77777777" w:rsidR="00B63355" w:rsidRPr="00B63355" w:rsidRDefault="00B63355">
            <w:pPr>
              <w:pStyle w:val="ListParagraph"/>
              <w:spacing w:line="256" w:lineRule="auto"/>
              <w:ind w:left="0"/>
              <w:rPr>
                <w:rFonts w:ascii="Arial" w:hAnsi="Arial" w:cs="Arial"/>
                <w:bCs/>
                <w:sz w:val="24"/>
                <w:szCs w:val="24"/>
              </w:rPr>
            </w:pPr>
            <w:r w:rsidRPr="00B63355">
              <w:rPr>
                <w:rFonts w:ascii="Arial" w:hAnsi="Arial" w:cs="Arial"/>
                <w:bCs/>
                <w:sz w:val="24"/>
                <w:szCs w:val="24"/>
              </w:rPr>
              <w:t>NI Council Average</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F449046"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A+</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FB8E1"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74%</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744557F" w14:textId="77777777" w:rsidR="00B63355" w:rsidRPr="00B63355" w:rsidRDefault="00B63355">
            <w:pPr>
              <w:pStyle w:val="ListParagraph"/>
              <w:spacing w:line="256" w:lineRule="auto"/>
              <w:ind w:left="0"/>
              <w:jc w:val="center"/>
              <w:rPr>
                <w:rFonts w:ascii="Arial" w:hAnsi="Arial" w:cs="Arial"/>
                <w:sz w:val="24"/>
                <w:szCs w:val="24"/>
              </w:rPr>
            </w:pPr>
            <w:r w:rsidRPr="00B63355">
              <w:rPr>
                <w:rFonts w:ascii="Arial" w:hAnsi="Arial" w:cs="Arial"/>
                <w:sz w:val="24"/>
                <w:szCs w:val="24"/>
              </w:rPr>
              <w:t>5.17%</w:t>
            </w:r>
          </w:p>
        </w:tc>
      </w:tr>
    </w:tbl>
    <w:p w14:paraId="2432DB62" w14:textId="77777777" w:rsidR="00B63355" w:rsidRPr="00B63355" w:rsidRDefault="00B63355" w:rsidP="00B63355">
      <w:pPr>
        <w:jc w:val="both"/>
        <w:rPr>
          <w:rFonts w:eastAsia="Times New Roman" w:cs="Arial"/>
          <w:color w:val="1F3864" w:themeColor="accent1" w:themeShade="80"/>
          <w:szCs w:val="24"/>
        </w:rPr>
      </w:pPr>
      <w:r w:rsidRPr="00B63355">
        <w:rPr>
          <w:rFonts w:cs="Arial"/>
          <w:color w:val="1F3864" w:themeColor="accent1" w:themeShade="80"/>
          <w:szCs w:val="24"/>
        </w:rPr>
        <w:t>Source: Arlingclose Ltd Local Authority Quarterly Investment Benchmarking report Dec-23</w:t>
      </w:r>
    </w:p>
    <w:p w14:paraId="4E16F526" w14:textId="77777777" w:rsidR="00B63355" w:rsidRPr="00B63355" w:rsidRDefault="00B63355" w:rsidP="00B63355">
      <w:pPr>
        <w:jc w:val="both"/>
        <w:rPr>
          <w:rFonts w:cs="Arial"/>
          <w:szCs w:val="24"/>
        </w:rPr>
      </w:pPr>
    </w:p>
    <w:p w14:paraId="61C795A2" w14:textId="3409B969" w:rsidR="00B63355" w:rsidRPr="00B63355" w:rsidRDefault="00B63355" w:rsidP="00B63355">
      <w:pPr>
        <w:jc w:val="both"/>
        <w:rPr>
          <w:rFonts w:cs="Arial"/>
          <w:szCs w:val="24"/>
        </w:rPr>
      </w:pPr>
      <w:r w:rsidRPr="00B63355">
        <w:rPr>
          <w:rFonts w:cs="Arial"/>
          <w:szCs w:val="24"/>
        </w:rPr>
        <w:t xml:space="preserve">The Council’s limit for total principal sums invested for periods longer than 364 days is £500k.  The Council </w:t>
      </w:r>
      <w:r w:rsidR="001E128E">
        <w:rPr>
          <w:rFonts w:cs="Arial"/>
          <w:szCs w:val="24"/>
        </w:rPr>
        <w:t>had</w:t>
      </w:r>
      <w:r w:rsidRPr="00B63355">
        <w:rPr>
          <w:rFonts w:cs="Arial"/>
          <w:szCs w:val="24"/>
        </w:rPr>
        <w:t xml:space="preserve"> not entered into any such investments. </w:t>
      </w:r>
    </w:p>
    <w:p w14:paraId="40C45818" w14:textId="77777777" w:rsidR="00B63355" w:rsidRDefault="00B63355" w:rsidP="00B63355">
      <w:pPr>
        <w:jc w:val="both"/>
        <w:rPr>
          <w:rFonts w:cs="Arial"/>
        </w:rPr>
      </w:pPr>
    </w:p>
    <w:p w14:paraId="5B77B288" w14:textId="49C989D7" w:rsidR="00B63355" w:rsidRDefault="001E128E" w:rsidP="00B63355">
      <w:r>
        <w:t xml:space="preserve">RECOMMENDED </w:t>
      </w:r>
      <w:r w:rsidR="00B63355">
        <w:t>that Council notes this report.</w:t>
      </w:r>
    </w:p>
    <w:p w14:paraId="22303EAF" w14:textId="77777777" w:rsidR="00593CC5" w:rsidRDefault="00593CC5" w:rsidP="00593CC5">
      <w:pPr>
        <w:rPr>
          <w:rFonts w:cs="Arial"/>
          <w:szCs w:val="24"/>
        </w:rPr>
      </w:pPr>
    </w:p>
    <w:p w14:paraId="335B2FF2" w14:textId="576B9ABB" w:rsidR="00593CC5" w:rsidRDefault="00593CC5" w:rsidP="00593CC5">
      <w:pPr>
        <w:rPr>
          <w:b/>
          <w:bCs/>
        </w:rPr>
      </w:pPr>
      <w:r w:rsidRPr="007F0DD5">
        <w:rPr>
          <w:b/>
          <w:bCs/>
        </w:rPr>
        <w:t>AGREED TO RECOMMEND, on the proposal of</w:t>
      </w:r>
      <w:r>
        <w:rPr>
          <w:b/>
          <w:bCs/>
        </w:rPr>
        <w:t xml:space="preserve"> </w:t>
      </w:r>
      <w:r w:rsidR="002245E0">
        <w:rPr>
          <w:b/>
          <w:bCs/>
        </w:rPr>
        <w:t>Alderman McIlveen</w:t>
      </w:r>
      <w:r w:rsidRPr="007F0DD5">
        <w:rPr>
          <w:b/>
          <w:bCs/>
        </w:rPr>
        <w:t>, seconded</w:t>
      </w:r>
      <w:r>
        <w:rPr>
          <w:b/>
          <w:bCs/>
        </w:rPr>
        <w:t xml:space="preserve"> by </w:t>
      </w:r>
      <w:r w:rsidR="002245E0">
        <w:rPr>
          <w:b/>
          <w:bCs/>
        </w:rPr>
        <w:t>Alderman McRandal</w:t>
      </w:r>
      <w:r w:rsidRPr="007F0DD5">
        <w:rPr>
          <w:b/>
          <w:bCs/>
        </w:rPr>
        <w:t xml:space="preserve">, that </w:t>
      </w:r>
      <w:r>
        <w:rPr>
          <w:b/>
          <w:bCs/>
        </w:rPr>
        <w:t>the recommendation be adopted.</w:t>
      </w:r>
    </w:p>
    <w:p w14:paraId="76806FA6" w14:textId="77777777" w:rsidR="00593CC5" w:rsidRDefault="00593CC5" w:rsidP="00CE35A9"/>
    <w:p w14:paraId="19E28B16" w14:textId="2C2E312B" w:rsidR="00593CC5" w:rsidRDefault="00593CC5" w:rsidP="00CE35A9">
      <w:pPr>
        <w:pStyle w:val="Heading1"/>
        <w:rPr>
          <w:rFonts w:cs="Arial"/>
          <w:szCs w:val="28"/>
          <w:u w:val="single"/>
        </w:rPr>
      </w:pPr>
      <w:r>
        <w:rPr>
          <w:rFonts w:cs="Arial"/>
          <w:szCs w:val="28"/>
        </w:rPr>
        <w:t>14.</w:t>
      </w:r>
      <w:r>
        <w:rPr>
          <w:rFonts w:cs="Arial"/>
          <w:szCs w:val="28"/>
        </w:rPr>
        <w:tab/>
      </w:r>
      <w:r>
        <w:rPr>
          <w:rFonts w:cs="Arial"/>
          <w:szCs w:val="28"/>
          <w:u w:val="single"/>
        </w:rPr>
        <w:t>RESPONSES TO NOTICES OF MOTION</w:t>
      </w:r>
    </w:p>
    <w:p w14:paraId="24C0518F" w14:textId="01AA258A" w:rsidR="00593CC5" w:rsidRDefault="00593CC5" w:rsidP="00593CC5">
      <w:pPr>
        <w:contextualSpacing/>
        <w:rPr>
          <w:rFonts w:cs="Arial"/>
          <w:b/>
          <w:bCs/>
          <w:sz w:val="28"/>
          <w:szCs w:val="28"/>
        </w:rPr>
      </w:pPr>
      <w:r>
        <w:rPr>
          <w:rFonts w:cs="Arial"/>
          <w:b/>
          <w:bCs/>
          <w:sz w:val="28"/>
          <w:szCs w:val="28"/>
        </w:rPr>
        <w:tab/>
      </w:r>
    </w:p>
    <w:p w14:paraId="71C919E3" w14:textId="18A88D86" w:rsidR="00593CC5" w:rsidRPr="00CE35A9" w:rsidRDefault="00CE35A9" w:rsidP="00CE35A9">
      <w:pPr>
        <w:pStyle w:val="Heading2"/>
        <w:rPr>
          <w:b/>
          <w:bCs/>
        </w:rPr>
      </w:pPr>
      <w:r w:rsidRPr="00CE35A9">
        <w:rPr>
          <w:b/>
          <w:bCs/>
        </w:rPr>
        <w:lastRenderedPageBreak/>
        <w:t>(a)</w:t>
      </w:r>
      <w:r w:rsidRPr="00CE35A9">
        <w:rPr>
          <w:b/>
          <w:bCs/>
        </w:rPr>
        <w:tab/>
      </w:r>
      <w:r w:rsidR="00593CC5" w:rsidRPr="00CE35A9">
        <w:rPr>
          <w:b/>
          <w:bCs/>
          <w:u w:val="single"/>
        </w:rPr>
        <w:t>NOM 164 – EVENT MANAGEMENT</w:t>
      </w:r>
    </w:p>
    <w:p w14:paraId="22FE9D0A" w14:textId="77777777" w:rsidR="00593CC5" w:rsidRDefault="00593CC5" w:rsidP="00593CC5">
      <w:pPr>
        <w:contextualSpacing/>
        <w:rPr>
          <w:rFonts w:cs="Arial"/>
          <w:b/>
          <w:bCs/>
          <w:sz w:val="28"/>
          <w:szCs w:val="28"/>
          <w:u w:val="single"/>
        </w:rPr>
      </w:pPr>
    </w:p>
    <w:p w14:paraId="7E082085" w14:textId="44E3354A" w:rsidR="005B7F60" w:rsidRDefault="00593CC5" w:rsidP="00D3212D">
      <w:pPr>
        <w:rPr>
          <w:rFonts w:cs="Arial"/>
          <w:szCs w:val="24"/>
        </w:rPr>
      </w:pPr>
      <w:r w:rsidRPr="00343303">
        <w:rPr>
          <w:rFonts w:cs="Arial"/>
          <w:bCs/>
          <w:caps/>
          <w:szCs w:val="24"/>
        </w:rPr>
        <w:t>Previously circulated:-</w:t>
      </w:r>
      <w:r w:rsidRPr="00343303">
        <w:rPr>
          <w:rFonts w:cs="Arial"/>
          <w:bCs/>
          <w:szCs w:val="24"/>
        </w:rPr>
        <w:t xml:space="preserve"> Report from the </w:t>
      </w:r>
      <w:r w:rsidRPr="00343303">
        <w:rPr>
          <w:rFonts w:cs="Arial"/>
          <w:szCs w:val="24"/>
        </w:rPr>
        <w:t xml:space="preserve">Director of  Corporate Services stating </w:t>
      </w:r>
      <w:r w:rsidR="00D94ADE">
        <w:rPr>
          <w:rFonts w:cs="Arial"/>
          <w:szCs w:val="24"/>
        </w:rPr>
        <w:t>that th</w:t>
      </w:r>
      <w:r w:rsidR="005B7F60">
        <w:rPr>
          <w:rFonts w:cs="Arial"/>
          <w:szCs w:val="24"/>
        </w:rPr>
        <w:t>e following Notice of Motion was agreed by Council at its meeting in March 2023:</w:t>
      </w:r>
    </w:p>
    <w:p w14:paraId="18D486BB" w14:textId="77777777" w:rsidR="005B7F60" w:rsidRDefault="005B7F60" w:rsidP="005B7F60">
      <w:pPr>
        <w:rPr>
          <w:rFonts w:cs="Arial"/>
          <w:szCs w:val="24"/>
        </w:rPr>
      </w:pPr>
      <w:r>
        <w:rPr>
          <w:rFonts w:cs="Arial"/>
          <w:szCs w:val="24"/>
        </w:rPr>
        <w:t xml:space="preserve"> </w:t>
      </w:r>
    </w:p>
    <w:p w14:paraId="2C416384" w14:textId="77777777" w:rsidR="005B7F60" w:rsidRDefault="005B7F60" w:rsidP="005B7F60">
      <w:pPr>
        <w:rPr>
          <w:rFonts w:cs="Arial"/>
          <w:szCs w:val="24"/>
        </w:rPr>
      </w:pPr>
      <w:r>
        <w:rPr>
          <w:rFonts w:cs="Arial"/>
          <w:szCs w:val="24"/>
        </w:rPr>
        <w:t>‘That this Council acknowledges the exceptional work which community and voluntary groups carry out, often staging events which were previously run by this Council. Risk Management and Event Management Plans should assist the planning and the safe running of these events.  However, many voluntary groups find the process arduous and inflexible, especially when trying to organise events on Council owned land. This Council therefore requests that a full review of this process takes place in consultation with community groups to ascertain their concerns, ensuring that Health and Safety expectations are realistic and meet the necessary requirements.  Groups should be more actively supported as part of the process and that, if necessary, a wide range of supporting materials should be provided for a range of events; thereby ensuring that voluntary groups are more robustly assisted in their work rather than hindered by the current burdensome process.’</w:t>
      </w:r>
    </w:p>
    <w:p w14:paraId="63937F8A" w14:textId="77777777" w:rsidR="005B7F60" w:rsidRDefault="005B7F60" w:rsidP="005B7F60">
      <w:pPr>
        <w:rPr>
          <w:rFonts w:cs="Arial"/>
          <w:szCs w:val="24"/>
        </w:rPr>
      </w:pPr>
      <w:r>
        <w:rPr>
          <w:rFonts w:cs="Arial"/>
          <w:szCs w:val="24"/>
        </w:rPr>
        <w:t xml:space="preserve">  </w:t>
      </w:r>
    </w:p>
    <w:p w14:paraId="2C90C101" w14:textId="77777777" w:rsidR="005B7F60" w:rsidRDefault="005B7F60" w:rsidP="005B7F60">
      <w:pPr>
        <w:rPr>
          <w:rFonts w:cs="Arial"/>
          <w:szCs w:val="24"/>
        </w:rPr>
      </w:pPr>
      <w:r>
        <w:rPr>
          <w:rFonts w:cs="Arial"/>
          <w:szCs w:val="24"/>
        </w:rPr>
        <w:t xml:space="preserve">A report was brought to Corporate Services Committee in June 2023, detailing the review that officers had carried out in relation to the process that organisers of events on Council Land were required to follow to secure approval for the event to proceed, with a particular focus on the health and safety evidence requirements that formed part of the approvals process.   </w:t>
      </w:r>
    </w:p>
    <w:p w14:paraId="4848FE1B" w14:textId="77777777" w:rsidR="005B7F60" w:rsidRDefault="005B7F60" w:rsidP="005B7F60">
      <w:pPr>
        <w:rPr>
          <w:rFonts w:cs="Arial"/>
          <w:szCs w:val="24"/>
        </w:rPr>
      </w:pPr>
    </w:p>
    <w:p w14:paraId="33493B3C" w14:textId="77777777" w:rsidR="005B7F60" w:rsidRDefault="005B7F60" w:rsidP="005B7F60">
      <w:pPr>
        <w:rPr>
          <w:rFonts w:cs="Arial"/>
          <w:szCs w:val="24"/>
        </w:rPr>
      </w:pPr>
      <w:r>
        <w:rPr>
          <w:rFonts w:cs="Arial"/>
          <w:szCs w:val="24"/>
        </w:rPr>
        <w:t xml:space="preserve">It was accepted that health and safety, in particular Risk Assessments and Event Management Plans, could be a complex area to navigate therefore, to further support event organisers, officers intended to hold an Event Organisers workshop. Officers wrote to 59 event organisers to seek feedback on the aspects of event management that caused them the most difficulty or concern, in order that these issues could be factored into the design of the workshop and it was recommended that Council noted that officers had undertaken a review of the process and that the Notice of Motion had been addressed.  It was further agreed that officers would report back to the committee after the Event Management Workshop had taken place.  </w:t>
      </w:r>
    </w:p>
    <w:p w14:paraId="1B723614" w14:textId="77777777" w:rsidR="005B7F60" w:rsidRDefault="005B7F60" w:rsidP="005B7F60">
      <w:pPr>
        <w:rPr>
          <w:rFonts w:cs="Arial"/>
          <w:szCs w:val="24"/>
        </w:rPr>
      </w:pPr>
    </w:p>
    <w:p w14:paraId="07916979" w14:textId="77777777" w:rsidR="005B7F60" w:rsidRPr="002245E0" w:rsidRDefault="005B7F60" w:rsidP="005B7F60">
      <w:pPr>
        <w:rPr>
          <w:rFonts w:cs="Arial"/>
          <w:szCs w:val="24"/>
        </w:rPr>
      </w:pPr>
      <w:r w:rsidRPr="002245E0">
        <w:rPr>
          <w:rFonts w:cs="Arial"/>
          <w:szCs w:val="24"/>
        </w:rPr>
        <w:t>The Events Management Workshop took place on Saturday 20</w:t>
      </w:r>
      <w:r w:rsidRPr="002245E0">
        <w:rPr>
          <w:rFonts w:cs="Arial"/>
          <w:szCs w:val="24"/>
          <w:vertAlign w:val="superscript"/>
        </w:rPr>
        <w:t>th</w:t>
      </w:r>
      <w:r w:rsidRPr="002245E0">
        <w:rPr>
          <w:rFonts w:cs="Arial"/>
          <w:szCs w:val="24"/>
        </w:rPr>
        <w:t xml:space="preserve"> January 2024 at Ards Blair Mayne Wellbeing and Leisure Complex and the details are summarised below:</w:t>
      </w:r>
    </w:p>
    <w:p w14:paraId="7087F004" w14:textId="77777777" w:rsidR="005B7F60" w:rsidRPr="002245E0" w:rsidRDefault="005B7F60" w:rsidP="005B7F60">
      <w:pPr>
        <w:rPr>
          <w:rFonts w:cs="Arial"/>
          <w:szCs w:val="24"/>
        </w:rPr>
      </w:pPr>
    </w:p>
    <w:p w14:paraId="2A0FB7F9" w14:textId="77777777" w:rsidR="005B7F60" w:rsidRPr="002245E0" w:rsidRDefault="005B7F60" w:rsidP="005B7F60">
      <w:pPr>
        <w:pStyle w:val="ListParagraph"/>
        <w:numPr>
          <w:ilvl w:val="0"/>
          <w:numId w:val="9"/>
        </w:numPr>
        <w:contextualSpacing/>
        <w:rPr>
          <w:rFonts w:ascii="Arial" w:hAnsi="Arial" w:cs="Arial"/>
          <w:sz w:val="24"/>
          <w:szCs w:val="24"/>
        </w:rPr>
      </w:pPr>
      <w:r w:rsidRPr="002245E0">
        <w:rPr>
          <w:rFonts w:ascii="Arial" w:hAnsi="Arial" w:cs="Arial"/>
          <w:sz w:val="24"/>
          <w:szCs w:val="24"/>
        </w:rPr>
        <w:t>The workshop was led by an external facilitator, Vanessa Mawer, who has spent many years working with agencies and event organisers, advising, educating and implementing event safety.</w:t>
      </w:r>
    </w:p>
    <w:p w14:paraId="3811A24D" w14:textId="77777777" w:rsidR="005B7F60" w:rsidRPr="002245E0" w:rsidRDefault="005B7F60" w:rsidP="005B7F60">
      <w:pPr>
        <w:pStyle w:val="ListParagraph"/>
        <w:numPr>
          <w:ilvl w:val="0"/>
          <w:numId w:val="9"/>
        </w:numPr>
        <w:contextualSpacing/>
        <w:rPr>
          <w:rFonts w:ascii="Arial" w:hAnsi="Arial" w:cs="Arial"/>
          <w:sz w:val="24"/>
          <w:szCs w:val="24"/>
        </w:rPr>
      </w:pPr>
      <w:r w:rsidRPr="002245E0">
        <w:rPr>
          <w:rFonts w:ascii="Arial" w:hAnsi="Arial" w:cs="Arial"/>
          <w:sz w:val="24"/>
          <w:szCs w:val="24"/>
        </w:rPr>
        <w:t xml:space="preserve">Officers sent an invitation to attend to all Elected Members, 59 stakeholders and relevant officers.  </w:t>
      </w:r>
    </w:p>
    <w:p w14:paraId="178C2B75" w14:textId="77777777" w:rsidR="005B7F60" w:rsidRPr="002245E0" w:rsidRDefault="005B7F60" w:rsidP="005B7F60">
      <w:pPr>
        <w:pStyle w:val="ListParagraph"/>
        <w:numPr>
          <w:ilvl w:val="0"/>
          <w:numId w:val="9"/>
        </w:numPr>
        <w:contextualSpacing/>
        <w:rPr>
          <w:rFonts w:ascii="Arial" w:hAnsi="Arial" w:cs="Arial"/>
          <w:sz w:val="24"/>
          <w:szCs w:val="24"/>
        </w:rPr>
      </w:pPr>
      <w:r w:rsidRPr="002245E0">
        <w:rPr>
          <w:rFonts w:ascii="Arial" w:hAnsi="Arial" w:cs="Arial"/>
          <w:sz w:val="24"/>
          <w:szCs w:val="24"/>
        </w:rPr>
        <w:t xml:space="preserve">Attendees: 1 Elected Member, 7 officers and 14 stakeholders.  </w:t>
      </w:r>
    </w:p>
    <w:p w14:paraId="776BE5EB" w14:textId="77777777" w:rsidR="005B7F60" w:rsidRPr="002245E0" w:rsidRDefault="005B7F60" w:rsidP="005B7F60">
      <w:pPr>
        <w:pStyle w:val="ListParagraph"/>
        <w:numPr>
          <w:ilvl w:val="0"/>
          <w:numId w:val="9"/>
        </w:numPr>
        <w:contextualSpacing/>
        <w:rPr>
          <w:rFonts w:ascii="Arial" w:hAnsi="Arial" w:cs="Arial"/>
          <w:sz w:val="24"/>
          <w:szCs w:val="24"/>
        </w:rPr>
      </w:pPr>
      <w:r w:rsidRPr="002245E0">
        <w:rPr>
          <w:rFonts w:ascii="Arial" w:hAnsi="Arial" w:cs="Arial"/>
          <w:sz w:val="24"/>
          <w:szCs w:val="24"/>
        </w:rPr>
        <w:t xml:space="preserve">The aim of the workshop was to enable attendees to plan their events and to ensure (so far as is reasonably practicable) the events take place safely.  The objectives were to explain relevant legislation and guidance for events, to </w:t>
      </w:r>
      <w:r w:rsidRPr="002245E0">
        <w:rPr>
          <w:rFonts w:ascii="Arial" w:hAnsi="Arial" w:cs="Arial"/>
          <w:sz w:val="24"/>
          <w:szCs w:val="24"/>
        </w:rPr>
        <w:lastRenderedPageBreak/>
        <w:t xml:space="preserve">understand what a landowner needs to allow their land to be used and considerations for the content of event documentation.  </w:t>
      </w:r>
    </w:p>
    <w:p w14:paraId="01604DFA" w14:textId="7C9F8A7F" w:rsidR="005B7F60" w:rsidRPr="002245E0" w:rsidRDefault="005B7F60" w:rsidP="005B7F60">
      <w:pPr>
        <w:pStyle w:val="ListParagraph"/>
        <w:numPr>
          <w:ilvl w:val="0"/>
          <w:numId w:val="9"/>
        </w:numPr>
        <w:contextualSpacing/>
        <w:rPr>
          <w:rFonts w:ascii="Arial" w:hAnsi="Arial" w:cs="Arial"/>
          <w:sz w:val="24"/>
          <w:szCs w:val="24"/>
        </w:rPr>
      </w:pPr>
      <w:r w:rsidRPr="002245E0">
        <w:rPr>
          <w:rFonts w:ascii="Arial" w:hAnsi="Arial" w:cs="Arial"/>
          <w:sz w:val="24"/>
          <w:szCs w:val="24"/>
        </w:rPr>
        <w:t xml:space="preserve">Information was provided at the event by Council’s Head of Environmental Health on Safety Advisory Groups (SAG) – the rationale and benefits of attending and Council’s terms of reference for SAG, details of which can be found at Appendix 5 of the Council’s Land and Property policy </w:t>
      </w:r>
      <w:r w:rsidRPr="00975201">
        <w:rPr>
          <w:rFonts w:ascii="Arial" w:hAnsi="Arial" w:cs="Arial"/>
          <w:sz w:val="24"/>
          <w:szCs w:val="24"/>
        </w:rPr>
        <w:t>Council land and property | Ards and North Down Borough Council</w:t>
      </w:r>
    </w:p>
    <w:p w14:paraId="669C2EFC" w14:textId="77777777" w:rsidR="005B7F60" w:rsidRPr="002245E0" w:rsidRDefault="005B7F60" w:rsidP="005B7F60">
      <w:pPr>
        <w:pStyle w:val="ListParagraph"/>
        <w:numPr>
          <w:ilvl w:val="0"/>
          <w:numId w:val="9"/>
        </w:numPr>
        <w:contextualSpacing/>
        <w:rPr>
          <w:rFonts w:ascii="Arial" w:hAnsi="Arial" w:cs="Arial"/>
          <w:sz w:val="24"/>
          <w:szCs w:val="24"/>
        </w:rPr>
      </w:pPr>
      <w:r w:rsidRPr="002245E0">
        <w:rPr>
          <w:rFonts w:ascii="Arial" w:hAnsi="Arial" w:cs="Arial"/>
          <w:sz w:val="24"/>
          <w:szCs w:val="24"/>
        </w:rPr>
        <w:t xml:space="preserve">A follow up email was sent out to all attendees providing further support including relevant links and documents – see Appendix 1.  </w:t>
      </w:r>
    </w:p>
    <w:p w14:paraId="10C3581C" w14:textId="77777777" w:rsidR="005B7F60" w:rsidRPr="002245E0" w:rsidRDefault="005B7F60" w:rsidP="005B7F60">
      <w:pPr>
        <w:ind w:left="360"/>
        <w:rPr>
          <w:rFonts w:cs="Arial"/>
          <w:szCs w:val="24"/>
        </w:rPr>
      </w:pPr>
    </w:p>
    <w:p w14:paraId="3117F1F4" w14:textId="77777777" w:rsidR="005B7F60" w:rsidRPr="002245E0" w:rsidRDefault="005B7F60" w:rsidP="005B7F60">
      <w:pPr>
        <w:rPr>
          <w:rFonts w:cs="Arial"/>
          <w:szCs w:val="24"/>
        </w:rPr>
      </w:pPr>
      <w:r w:rsidRPr="002245E0">
        <w:rPr>
          <w:rFonts w:cs="Arial"/>
          <w:szCs w:val="24"/>
        </w:rPr>
        <w:t xml:space="preserve">The attendees were asked to evaluate the workshop on a feedback form with a score between 1 (lowest) and 4 (highest) and the responses were as follows: </w:t>
      </w:r>
    </w:p>
    <w:p w14:paraId="7EA9F7ED" w14:textId="77777777" w:rsidR="005B7F60" w:rsidRPr="002245E0" w:rsidRDefault="005B7F60" w:rsidP="005B7F60">
      <w:pPr>
        <w:rPr>
          <w:rFonts w:cs="Arial"/>
          <w:szCs w:val="24"/>
        </w:rPr>
      </w:pPr>
    </w:p>
    <w:p w14:paraId="59993A94" w14:textId="77777777" w:rsidR="005B7F60" w:rsidRPr="002245E0" w:rsidRDefault="005B7F60" w:rsidP="005B7F60">
      <w:pPr>
        <w:pStyle w:val="ListParagraph"/>
        <w:numPr>
          <w:ilvl w:val="0"/>
          <w:numId w:val="10"/>
        </w:numPr>
        <w:contextualSpacing/>
        <w:rPr>
          <w:rFonts w:ascii="Arial" w:hAnsi="Arial" w:cs="Arial"/>
          <w:sz w:val="24"/>
          <w:szCs w:val="24"/>
        </w:rPr>
      </w:pPr>
      <w:r w:rsidRPr="002245E0">
        <w:rPr>
          <w:rFonts w:ascii="Arial" w:hAnsi="Arial" w:cs="Arial"/>
          <w:sz w:val="24"/>
          <w:szCs w:val="24"/>
        </w:rPr>
        <w:t xml:space="preserve">Workshop objectives were stated clearly and met - 100% scored a 4/4 </w:t>
      </w:r>
    </w:p>
    <w:p w14:paraId="666926CA" w14:textId="77777777" w:rsidR="005B7F60" w:rsidRPr="002245E0" w:rsidRDefault="005B7F60" w:rsidP="005B7F60">
      <w:pPr>
        <w:rPr>
          <w:rFonts w:cs="Arial"/>
          <w:szCs w:val="24"/>
        </w:rPr>
      </w:pPr>
    </w:p>
    <w:p w14:paraId="6B020A37" w14:textId="77777777" w:rsidR="005B7F60" w:rsidRPr="002245E0" w:rsidRDefault="005B7F60" w:rsidP="005B7F60">
      <w:pPr>
        <w:pStyle w:val="ListParagraph"/>
        <w:numPr>
          <w:ilvl w:val="0"/>
          <w:numId w:val="10"/>
        </w:numPr>
        <w:contextualSpacing/>
        <w:rPr>
          <w:rFonts w:ascii="Arial" w:hAnsi="Arial" w:cs="Arial"/>
          <w:sz w:val="24"/>
          <w:szCs w:val="24"/>
        </w:rPr>
      </w:pPr>
      <w:r w:rsidRPr="002245E0">
        <w:rPr>
          <w:rFonts w:ascii="Arial" w:hAnsi="Arial" w:cs="Arial"/>
          <w:sz w:val="24"/>
          <w:szCs w:val="24"/>
        </w:rPr>
        <w:t>The workshop was well organized – 100% scored 4/4</w:t>
      </w:r>
    </w:p>
    <w:p w14:paraId="484EE354" w14:textId="77777777" w:rsidR="005B7F60" w:rsidRPr="002245E0" w:rsidRDefault="005B7F60" w:rsidP="005B7F60">
      <w:pPr>
        <w:rPr>
          <w:rFonts w:cs="Arial"/>
          <w:szCs w:val="24"/>
        </w:rPr>
      </w:pPr>
    </w:p>
    <w:p w14:paraId="1573F764" w14:textId="77777777" w:rsidR="005B7F60" w:rsidRPr="002245E0" w:rsidRDefault="005B7F60" w:rsidP="005B7F60">
      <w:pPr>
        <w:pStyle w:val="ListParagraph"/>
        <w:numPr>
          <w:ilvl w:val="0"/>
          <w:numId w:val="10"/>
        </w:numPr>
        <w:contextualSpacing/>
        <w:rPr>
          <w:rFonts w:ascii="Arial" w:hAnsi="Arial" w:cs="Arial"/>
          <w:sz w:val="24"/>
          <w:szCs w:val="24"/>
        </w:rPr>
      </w:pPr>
      <w:r w:rsidRPr="002245E0">
        <w:rPr>
          <w:rFonts w:ascii="Arial" w:hAnsi="Arial" w:cs="Arial"/>
          <w:sz w:val="24"/>
          <w:szCs w:val="24"/>
        </w:rPr>
        <w:t xml:space="preserve">The information presented was relevant and useful </w:t>
      </w:r>
      <w:bookmarkStart w:id="6" w:name="_Hlk158887671"/>
      <w:r w:rsidRPr="002245E0">
        <w:rPr>
          <w:rFonts w:ascii="Arial" w:hAnsi="Arial" w:cs="Arial"/>
          <w:sz w:val="24"/>
          <w:szCs w:val="24"/>
        </w:rPr>
        <w:t>– 83% scored 4/4, 17% scored 3/4</w:t>
      </w:r>
    </w:p>
    <w:bookmarkEnd w:id="6"/>
    <w:p w14:paraId="1CE6840F" w14:textId="77777777" w:rsidR="005B7F60" w:rsidRPr="002245E0" w:rsidRDefault="005B7F60" w:rsidP="005B7F60">
      <w:pPr>
        <w:rPr>
          <w:rFonts w:cs="Arial"/>
          <w:szCs w:val="24"/>
        </w:rPr>
      </w:pPr>
    </w:p>
    <w:p w14:paraId="5264E6ED" w14:textId="77777777" w:rsidR="005B7F60" w:rsidRPr="002245E0" w:rsidRDefault="005B7F60" w:rsidP="005B7F60">
      <w:pPr>
        <w:pStyle w:val="ListParagraph"/>
        <w:numPr>
          <w:ilvl w:val="0"/>
          <w:numId w:val="10"/>
        </w:numPr>
        <w:contextualSpacing/>
        <w:rPr>
          <w:rFonts w:ascii="Arial" w:hAnsi="Arial" w:cs="Arial"/>
          <w:sz w:val="24"/>
          <w:szCs w:val="24"/>
        </w:rPr>
      </w:pPr>
      <w:r w:rsidRPr="002245E0">
        <w:rPr>
          <w:rFonts w:ascii="Arial" w:hAnsi="Arial" w:cs="Arial"/>
          <w:sz w:val="24"/>
          <w:szCs w:val="24"/>
        </w:rPr>
        <w:t xml:space="preserve">The facilitator and officers provided adequate time for questions and answered them satisfactorily – 100% scored 4/4   </w:t>
      </w:r>
    </w:p>
    <w:p w14:paraId="03FBE3C6" w14:textId="77777777" w:rsidR="005B7F60" w:rsidRPr="002245E0" w:rsidRDefault="005B7F60" w:rsidP="005B7F60">
      <w:pPr>
        <w:rPr>
          <w:rFonts w:cs="Arial"/>
          <w:szCs w:val="24"/>
        </w:rPr>
      </w:pPr>
    </w:p>
    <w:p w14:paraId="715DD5F4" w14:textId="77777777" w:rsidR="005B7F60" w:rsidRPr="002245E0" w:rsidRDefault="005B7F60" w:rsidP="005B7F60">
      <w:pPr>
        <w:pStyle w:val="ListParagraph"/>
        <w:numPr>
          <w:ilvl w:val="0"/>
          <w:numId w:val="10"/>
        </w:numPr>
        <w:contextualSpacing/>
        <w:rPr>
          <w:rFonts w:ascii="Arial" w:hAnsi="Arial" w:cs="Arial"/>
          <w:sz w:val="24"/>
          <w:szCs w:val="24"/>
        </w:rPr>
      </w:pPr>
      <w:r w:rsidRPr="002245E0">
        <w:rPr>
          <w:rFonts w:ascii="Arial" w:hAnsi="Arial" w:cs="Arial"/>
          <w:sz w:val="24"/>
          <w:szCs w:val="24"/>
        </w:rPr>
        <w:t>This workshop increased my understanding of Health &amp; Safety, Event Management and Risk Assessments – 50% scored 4/4, 50% scored 3/4</w:t>
      </w:r>
    </w:p>
    <w:p w14:paraId="37E5E63B" w14:textId="77777777" w:rsidR="005B7F60" w:rsidRPr="002245E0" w:rsidRDefault="005B7F60" w:rsidP="005B7F60">
      <w:pPr>
        <w:rPr>
          <w:rFonts w:cs="Arial"/>
          <w:szCs w:val="24"/>
        </w:rPr>
      </w:pPr>
    </w:p>
    <w:p w14:paraId="09BE3131" w14:textId="77777777" w:rsidR="005B7F60" w:rsidRPr="002245E0" w:rsidRDefault="005B7F60" w:rsidP="005B7F60">
      <w:pPr>
        <w:pStyle w:val="ListParagraph"/>
        <w:numPr>
          <w:ilvl w:val="0"/>
          <w:numId w:val="10"/>
        </w:numPr>
        <w:contextualSpacing/>
        <w:rPr>
          <w:rFonts w:ascii="Arial" w:hAnsi="Arial" w:cs="Arial"/>
          <w:sz w:val="24"/>
          <w:szCs w:val="24"/>
        </w:rPr>
      </w:pPr>
      <w:r w:rsidRPr="002245E0">
        <w:rPr>
          <w:rFonts w:ascii="Arial" w:hAnsi="Arial" w:cs="Arial"/>
          <w:sz w:val="24"/>
          <w:szCs w:val="24"/>
        </w:rPr>
        <w:t>The workshop gave me a good understanding of the Council’s responsibilities as landowner – 83% scored 4/4, 17% scored 3/4</w:t>
      </w:r>
    </w:p>
    <w:p w14:paraId="6071CA6A" w14:textId="77777777" w:rsidR="005B7F60" w:rsidRPr="002245E0" w:rsidRDefault="005B7F60" w:rsidP="005B7F60">
      <w:pPr>
        <w:rPr>
          <w:rFonts w:cs="Arial"/>
          <w:szCs w:val="24"/>
        </w:rPr>
      </w:pPr>
    </w:p>
    <w:p w14:paraId="086F2565" w14:textId="77777777" w:rsidR="005B7F60" w:rsidRPr="002245E0" w:rsidRDefault="005B7F60" w:rsidP="005B7F60">
      <w:pPr>
        <w:pStyle w:val="ListParagraph"/>
        <w:numPr>
          <w:ilvl w:val="0"/>
          <w:numId w:val="10"/>
        </w:numPr>
        <w:contextualSpacing/>
        <w:rPr>
          <w:rFonts w:ascii="Arial" w:hAnsi="Arial" w:cs="Arial"/>
          <w:sz w:val="24"/>
          <w:szCs w:val="24"/>
        </w:rPr>
      </w:pPr>
      <w:r w:rsidRPr="002245E0">
        <w:rPr>
          <w:rFonts w:ascii="Arial" w:hAnsi="Arial" w:cs="Arial"/>
          <w:sz w:val="24"/>
          <w:szCs w:val="24"/>
        </w:rPr>
        <w:t>The presenter(s) suggested ways to follow up the training and provided information on where further information could be accessed – 67% scored 4/4, 33 % scored 3/4</w:t>
      </w:r>
    </w:p>
    <w:p w14:paraId="2AFA41D9" w14:textId="77777777" w:rsidR="005B7F60" w:rsidRPr="002245E0" w:rsidRDefault="005B7F60" w:rsidP="005B7F60">
      <w:pPr>
        <w:rPr>
          <w:rFonts w:cs="Arial"/>
          <w:szCs w:val="24"/>
        </w:rPr>
      </w:pPr>
    </w:p>
    <w:p w14:paraId="5DBCF779" w14:textId="77777777" w:rsidR="005B7F60" w:rsidRPr="002245E0" w:rsidRDefault="005B7F60" w:rsidP="005B7F60">
      <w:pPr>
        <w:pStyle w:val="ListParagraph"/>
        <w:numPr>
          <w:ilvl w:val="0"/>
          <w:numId w:val="10"/>
        </w:numPr>
        <w:contextualSpacing/>
        <w:rPr>
          <w:rFonts w:ascii="Arial" w:hAnsi="Arial" w:cs="Arial"/>
          <w:sz w:val="24"/>
          <w:szCs w:val="24"/>
        </w:rPr>
      </w:pPr>
      <w:r w:rsidRPr="002245E0">
        <w:rPr>
          <w:rFonts w:ascii="Arial" w:hAnsi="Arial" w:cs="Arial"/>
          <w:sz w:val="24"/>
          <w:szCs w:val="24"/>
        </w:rPr>
        <w:t xml:space="preserve">The physical arrangements were adequate – 100% scored 4/4   </w:t>
      </w:r>
    </w:p>
    <w:p w14:paraId="356ECE66" w14:textId="77777777" w:rsidR="005B7F60" w:rsidRPr="002245E0" w:rsidRDefault="005B7F60" w:rsidP="005B7F60">
      <w:pPr>
        <w:rPr>
          <w:rFonts w:cs="Arial"/>
          <w:szCs w:val="24"/>
        </w:rPr>
      </w:pPr>
    </w:p>
    <w:p w14:paraId="76F0F90A" w14:textId="77777777" w:rsidR="005B7F60" w:rsidRPr="002245E0" w:rsidRDefault="005B7F60" w:rsidP="005B7F60">
      <w:pPr>
        <w:pStyle w:val="ListParagraph"/>
        <w:numPr>
          <w:ilvl w:val="0"/>
          <w:numId w:val="10"/>
        </w:numPr>
        <w:contextualSpacing/>
        <w:rPr>
          <w:rFonts w:ascii="Arial" w:hAnsi="Arial" w:cs="Arial"/>
          <w:sz w:val="24"/>
          <w:szCs w:val="24"/>
        </w:rPr>
      </w:pPr>
      <w:r w:rsidRPr="002245E0">
        <w:rPr>
          <w:rFonts w:ascii="Arial" w:hAnsi="Arial" w:cs="Arial"/>
          <w:sz w:val="24"/>
          <w:szCs w:val="24"/>
        </w:rPr>
        <w:t xml:space="preserve">How would you rate this workshop? (Please check one) – 100% scored 4/4   </w:t>
      </w:r>
    </w:p>
    <w:p w14:paraId="158EFA9C" w14:textId="77777777" w:rsidR="005B7F60" w:rsidRPr="002245E0" w:rsidRDefault="005B7F60" w:rsidP="005B7F60">
      <w:pPr>
        <w:rPr>
          <w:rFonts w:cs="Arial"/>
          <w:szCs w:val="24"/>
        </w:rPr>
      </w:pPr>
    </w:p>
    <w:p w14:paraId="2930DD75" w14:textId="77777777" w:rsidR="005B7F60" w:rsidRPr="002245E0" w:rsidRDefault="005B7F60" w:rsidP="005B7F60">
      <w:pPr>
        <w:rPr>
          <w:rFonts w:cs="Arial"/>
          <w:szCs w:val="24"/>
        </w:rPr>
      </w:pPr>
      <w:r w:rsidRPr="002245E0">
        <w:rPr>
          <w:rFonts w:cs="Arial"/>
          <w:szCs w:val="24"/>
        </w:rPr>
        <w:t xml:space="preserve">Comments from attendees:  </w:t>
      </w:r>
    </w:p>
    <w:p w14:paraId="52ACA07A" w14:textId="77777777" w:rsidR="005B7F60" w:rsidRPr="002245E0" w:rsidRDefault="005B7F60" w:rsidP="005B7F60">
      <w:pPr>
        <w:rPr>
          <w:rFonts w:cs="Arial"/>
          <w:i/>
          <w:iCs/>
          <w:szCs w:val="24"/>
        </w:rPr>
      </w:pPr>
    </w:p>
    <w:p w14:paraId="43955365" w14:textId="77777777" w:rsidR="005B7F60" w:rsidRPr="002245E0" w:rsidRDefault="005B7F60" w:rsidP="005B7F60">
      <w:pPr>
        <w:rPr>
          <w:rFonts w:cs="Arial"/>
          <w:i/>
          <w:iCs/>
          <w:szCs w:val="24"/>
        </w:rPr>
      </w:pPr>
      <w:r w:rsidRPr="002245E0">
        <w:rPr>
          <w:rFonts w:cs="Arial"/>
          <w:i/>
          <w:iCs/>
          <w:szCs w:val="24"/>
        </w:rPr>
        <w:t>“Really enjoyed the workshop, especially as someone not very au fait with event management topics. Topic was very interesting, and Vanessa was a great presenter. The catering was also very good.”</w:t>
      </w:r>
    </w:p>
    <w:p w14:paraId="52AD12D2" w14:textId="77777777" w:rsidR="005B7F60" w:rsidRPr="002245E0" w:rsidRDefault="005B7F60" w:rsidP="005B7F60">
      <w:pPr>
        <w:rPr>
          <w:rFonts w:cs="Arial"/>
          <w:i/>
          <w:iCs/>
          <w:szCs w:val="24"/>
        </w:rPr>
      </w:pPr>
    </w:p>
    <w:p w14:paraId="54B7E6EB" w14:textId="77777777" w:rsidR="005B7F60" w:rsidRPr="002245E0" w:rsidRDefault="005B7F60" w:rsidP="005B7F60">
      <w:pPr>
        <w:rPr>
          <w:rFonts w:cs="Arial"/>
          <w:i/>
          <w:iCs/>
          <w:szCs w:val="24"/>
        </w:rPr>
      </w:pPr>
      <w:r w:rsidRPr="002245E0">
        <w:rPr>
          <w:rFonts w:cs="Arial"/>
          <w:i/>
          <w:iCs/>
          <w:szCs w:val="24"/>
        </w:rPr>
        <w:t>“The Workshop was extremely useful and explained the Landowners responsibilities well.”</w:t>
      </w:r>
    </w:p>
    <w:p w14:paraId="2E229D0A" w14:textId="77777777" w:rsidR="005B7F60" w:rsidRPr="002245E0" w:rsidRDefault="005B7F60" w:rsidP="005B7F60">
      <w:pPr>
        <w:rPr>
          <w:rFonts w:cs="Arial"/>
          <w:i/>
          <w:iCs/>
          <w:szCs w:val="24"/>
        </w:rPr>
      </w:pPr>
    </w:p>
    <w:p w14:paraId="00EF500B" w14:textId="77777777" w:rsidR="005B7F60" w:rsidRPr="002245E0" w:rsidRDefault="005B7F60" w:rsidP="005B7F60">
      <w:pPr>
        <w:rPr>
          <w:rFonts w:cs="Arial"/>
          <w:i/>
          <w:iCs/>
          <w:szCs w:val="24"/>
        </w:rPr>
      </w:pPr>
      <w:r w:rsidRPr="002245E0">
        <w:rPr>
          <w:rFonts w:cs="Arial"/>
          <w:i/>
          <w:iCs/>
          <w:szCs w:val="24"/>
        </w:rPr>
        <w:t xml:space="preserve">“Event was a great opportunity to match faces to names. Some content not directly relevant to our operations (e.g. Bouncy Castle requirements), but still useful background information. Have previous experience of Health &amp; Safety and Risk Assessment process in a work context. Standardised template will be helpful for </w:t>
      </w:r>
      <w:r w:rsidRPr="002245E0">
        <w:rPr>
          <w:rFonts w:cs="Arial"/>
          <w:i/>
          <w:iCs/>
          <w:szCs w:val="24"/>
        </w:rPr>
        <w:lastRenderedPageBreak/>
        <w:t>future submissions. Vanessa’s extensive knowledge base and practical application was particularly helpful.</w:t>
      </w:r>
      <w:r w:rsidRPr="002245E0">
        <w:rPr>
          <w:rFonts w:cs="Arial"/>
          <w:color w:val="000000"/>
          <w:szCs w:val="24"/>
          <w:shd w:val="clear" w:color="auto" w:fill="FFFFFF"/>
        </w:rPr>
        <w:t xml:space="preserve"> </w:t>
      </w:r>
      <w:r w:rsidRPr="002245E0">
        <w:rPr>
          <w:rFonts w:cs="Arial"/>
          <w:i/>
          <w:iCs/>
          <w:szCs w:val="24"/>
        </w:rPr>
        <w:t>Overall, a great Council initiative that will be mutually beneficial to both Council and land users – well done to all involved.”</w:t>
      </w:r>
    </w:p>
    <w:p w14:paraId="77DE6D71" w14:textId="77777777" w:rsidR="005B7F60" w:rsidRPr="002245E0" w:rsidRDefault="005B7F60" w:rsidP="005B7F60">
      <w:pPr>
        <w:rPr>
          <w:rFonts w:cs="Arial"/>
          <w:i/>
          <w:iCs/>
          <w:szCs w:val="24"/>
        </w:rPr>
      </w:pPr>
    </w:p>
    <w:p w14:paraId="2B1971C7" w14:textId="77777777" w:rsidR="005B7F60" w:rsidRPr="002245E0" w:rsidRDefault="005B7F60" w:rsidP="005B7F60">
      <w:pPr>
        <w:rPr>
          <w:rFonts w:cs="Arial"/>
          <w:i/>
          <w:iCs/>
          <w:szCs w:val="24"/>
        </w:rPr>
      </w:pPr>
      <w:r w:rsidRPr="002245E0">
        <w:rPr>
          <w:rFonts w:cs="Arial"/>
          <w:i/>
          <w:iCs/>
          <w:szCs w:val="24"/>
          <w:lang w:val="en-US"/>
        </w:rPr>
        <w:t>“Very well organized, excellent speaker, ideal venue, and very enjoyable lunch.”</w:t>
      </w:r>
      <w:r w:rsidRPr="002245E0">
        <w:rPr>
          <w:rFonts w:cs="Arial"/>
          <w:i/>
          <w:iCs/>
          <w:szCs w:val="24"/>
        </w:rPr>
        <w:t> </w:t>
      </w:r>
    </w:p>
    <w:p w14:paraId="0A2EA9B3" w14:textId="77777777" w:rsidR="005B7F60" w:rsidRPr="002245E0" w:rsidRDefault="005B7F60" w:rsidP="005B7F60">
      <w:pPr>
        <w:rPr>
          <w:rFonts w:cs="Arial"/>
          <w:i/>
          <w:iCs/>
          <w:szCs w:val="24"/>
        </w:rPr>
      </w:pPr>
    </w:p>
    <w:p w14:paraId="3B30F9AA" w14:textId="77777777" w:rsidR="005B7F60" w:rsidRPr="002245E0" w:rsidRDefault="005B7F60" w:rsidP="005B7F60">
      <w:pPr>
        <w:rPr>
          <w:rFonts w:cs="Arial"/>
          <w:i/>
          <w:iCs/>
          <w:szCs w:val="24"/>
          <w:lang w:val="en-US"/>
        </w:rPr>
      </w:pPr>
      <w:r w:rsidRPr="002245E0">
        <w:rPr>
          <w:rFonts w:cs="Arial"/>
          <w:i/>
          <w:iCs/>
          <w:szCs w:val="24"/>
          <w:lang w:val="en-US"/>
        </w:rPr>
        <w:t>“It was useful to see just how seriously the Council took their responsibility to ensure health and safety arrangements at events. I came away with a clear appreciation of the organizers’ equally demanding responsibility.</w:t>
      </w:r>
      <w:r w:rsidRPr="002245E0">
        <w:rPr>
          <w:rFonts w:cs="Arial"/>
          <w:color w:val="000000"/>
          <w:szCs w:val="24"/>
          <w:lang w:val="en-US"/>
        </w:rPr>
        <w:t xml:space="preserve"> </w:t>
      </w:r>
      <w:r w:rsidRPr="002245E0">
        <w:rPr>
          <w:rFonts w:cs="Arial"/>
          <w:i/>
          <w:iCs/>
          <w:szCs w:val="24"/>
          <w:lang w:val="en-US"/>
        </w:rPr>
        <w:t>The facilitator was excellent.”</w:t>
      </w:r>
    </w:p>
    <w:p w14:paraId="1156DF7F" w14:textId="77777777" w:rsidR="005B7F60" w:rsidRPr="002245E0" w:rsidRDefault="005B7F60" w:rsidP="005B7F60">
      <w:pPr>
        <w:rPr>
          <w:rFonts w:cs="Arial"/>
          <w:szCs w:val="24"/>
        </w:rPr>
      </w:pPr>
    </w:p>
    <w:p w14:paraId="69F26057" w14:textId="64B15E02" w:rsidR="005B7F60" w:rsidRDefault="005B7F60" w:rsidP="005B7F60">
      <w:r w:rsidRPr="002245E0">
        <w:rPr>
          <w:rFonts w:cs="Arial"/>
          <w:szCs w:val="24"/>
        </w:rPr>
        <w:t xml:space="preserve">RECOMMENDED </w:t>
      </w:r>
      <w:bookmarkStart w:id="7" w:name="_Hlk160714727"/>
      <w:r w:rsidRPr="002245E0">
        <w:rPr>
          <w:rFonts w:cs="Arial"/>
          <w:szCs w:val="24"/>
        </w:rPr>
        <w:t>that the Council notes the review that officers have undertaken, that an Event Management Workshop has taken place, the feedback from attendees and agrees that the Notice of Motion has been addressed.</w:t>
      </w:r>
      <w:bookmarkEnd w:id="7"/>
    </w:p>
    <w:p w14:paraId="7861CBFF" w14:textId="1266E085" w:rsidR="00593CC5" w:rsidRDefault="00593CC5" w:rsidP="005B7F60">
      <w:pPr>
        <w:rPr>
          <w:rFonts w:cs="Arial"/>
          <w:szCs w:val="24"/>
        </w:rPr>
      </w:pPr>
    </w:p>
    <w:p w14:paraId="5ADC00ED" w14:textId="50DCC594" w:rsidR="00593CC5" w:rsidRDefault="002245E0" w:rsidP="00593CC5">
      <w:pPr>
        <w:pStyle w:val="Normal0"/>
        <w:rPr>
          <w:rFonts w:cs="Arial"/>
          <w:sz w:val="24"/>
          <w:szCs w:val="24"/>
        </w:rPr>
      </w:pPr>
      <w:r>
        <w:rPr>
          <w:rFonts w:cs="Arial"/>
          <w:sz w:val="24"/>
          <w:szCs w:val="24"/>
        </w:rPr>
        <w:t>Alderman McIlveen</w:t>
      </w:r>
      <w:r w:rsidR="00593CC5">
        <w:rPr>
          <w:rFonts w:cs="Arial"/>
          <w:sz w:val="24"/>
          <w:szCs w:val="24"/>
        </w:rPr>
        <w:t xml:space="preserve"> proposed, seconded by Councillor</w:t>
      </w:r>
      <w:r>
        <w:rPr>
          <w:rFonts w:cs="Arial"/>
          <w:sz w:val="24"/>
          <w:szCs w:val="24"/>
        </w:rPr>
        <w:t xml:space="preserve"> W Irvine</w:t>
      </w:r>
      <w:r w:rsidR="00593CC5">
        <w:rPr>
          <w:rFonts w:cs="Arial"/>
          <w:sz w:val="24"/>
          <w:szCs w:val="24"/>
        </w:rPr>
        <w:t>, that the recommendation be adopted.</w:t>
      </w:r>
    </w:p>
    <w:p w14:paraId="1F75C692" w14:textId="77777777" w:rsidR="002245E0" w:rsidRDefault="002245E0" w:rsidP="00593CC5">
      <w:pPr>
        <w:pStyle w:val="Normal0"/>
        <w:rPr>
          <w:rFonts w:cs="Arial"/>
          <w:sz w:val="24"/>
          <w:szCs w:val="24"/>
        </w:rPr>
      </w:pPr>
    </w:p>
    <w:p w14:paraId="7A180A92" w14:textId="2BC9540E" w:rsidR="002245E0" w:rsidRDefault="002245E0" w:rsidP="00593CC5">
      <w:pPr>
        <w:pStyle w:val="Normal0"/>
        <w:rPr>
          <w:rFonts w:cs="Arial"/>
          <w:sz w:val="24"/>
          <w:szCs w:val="24"/>
        </w:rPr>
      </w:pPr>
      <w:r>
        <w:rPr>
          <w:rFonts w:cs="Arial"/>
          <w:sz w:val="24"/>
          <w:szCs w:val="24"/>
        </w:rPr>
        <w:t xml:space="preserve">Councillor W Irvine asked if any practical steps had changed </w:t>
      </w:r>
      <w:r w:rsidR="001653C9">
        <w:rPr>
          <w:rFonts w:cs="Arial"/>
          <w:sz w:val="24"/>
          <w:szCs w:val="24"/>
        </w:rPr>
        <w:t>from</w:t>
      </w:r>
      <w:r>
        <w:rPr>
          <w:rFonts w:cs="Arial"/>
          <w:sz w:val="24"/>
          <w:szCs w:val="24"/>
        </w:rPr>
        <w:t xml:space="preserve"> the first policy or feedback taken on board from attendees</w:t>
      </w:r>
      <w:r w:rsidR="001653C9">
        <w:rPr>
          <w:rFonts w:cs="Arial"/>
          <w:sz w:val="24"/>
          <w:szCs w:val="24"/>
        </w:rPr>
        <w:t xml:space="preserve">, stating that volunteer groups attempting to organise events had been onerous. </w:t>
      </w:r>
    </w:p>
    <w:p w14:paraId="560BE601" w14:textId="77777777" w:rsidR="001653C9" w:rsidRDefault="001653C9" w:rsidP="00593CC5">
      <w:pPr>
        <w:pStyle w:val="Normal0"/>
        <w:rPr>
          <w:rFonts w:cs="Arial"/>
          <w:sz w:val="24"/>
          <w:szCs w:val="24"/>
        </w:rPr>
      </w:pPr>
    </w:p>
    <w:p w14:paraId="451C77B6" w14:textId="0CD6A992" w:rsidR="00593CC5" w:rsidRDefault="001653C9" w:rsidP="00593CC5">
      <w:pPr>
        <w:pStyle w:val="Normal0"/>
        <w:rPr>
          <w:rFonts w:cs="Arial"/>
          <w:sz w:val="24"/>
          <w:szCs w:val="24"/>
        </w:rPr>
      </w:pPr>
      <w:r>
        <w:rPr>
          <w:rFonts w:cs="Arial"/>
          <w:sz w:val="24"/>
          <w:szCs w:val="24"/>
        </w:rPr>
        <w:t xml:space="preserve">The Head of Administration advised that Terms and Conditions </w:t>
      </w:r>
      <w:r w:rsidR="006C6F92">
        <w:rPr>
          <w:rFonts w:cs="Arial"/>
          <w:sz w:val="24"/>
          <w:szCs w:val="24"/>
        </w:rPr>
        <w:t>for 3</w:t>
      </w:r>
      <w:r w:rsidR="006C6F92" w:rsidRPr="00975201">
        <w:rPr>
          <w:rFonts w:cs="Arial"/>
          <w:sz w:val="24"/>
          <w:szCs w:val="24"/>
          <w:vertAlign w:val="superscript"/>
        </w:rPr>
        <w:t>rd</w:t>
      </w:r>
      <w:r w:rsidR="006C6F92">
        <w:rPr>
          <w:rFonts w:cs="Arial"/>
          <w:sz w:val="24"/>
          <w:szCs w:val="24"/>
        </w:rPr>
        <w:t xml:space="preserve"> parties using Council Land remain</w:t>
      </w:r>
      <w:r w:rsidR="000C1617">
        <w:rPr>
          <w:rFonts w:cs="Arial"/>
          <w:sz w:val="24"/>
          <w:szCs w:val="24"/>
        </w:rPr>
        <w:t>ed</w:t>
      </w:r>
      <w:r w:rsidR="006C6F92">
        <w:rPr>
          <w:rFonts w:cs="Arial"/>
          <w:sz w:val="24"/>
          <w:szCs w:val="24"/>
        </w:rPr>
        <w:t xml:space="preserve"> the same, however a notable change </w:t>
      </w:r>
      <w:r w:rsidR="000C1617">
        <w:rPr>
          <w:rFonts w:cs="Arial"/>
          <w:sz w:val="24"/>
          <w:szCs w:val="24"/>
        </w:rPr>
        <w:t>was</w:t>
      </w:r>
      <w:r w:rsidR="006C6F92">
        <w:rPr>
          <w:rFonts w:cs="Arial"/>
          <w:sz w:val="24"/>
          <w:szCs w:val="24"/>
        </w:rPr>
        <w:t xml:space="preserve"> that people </w:t>
      </w:r>
      <w:r w:rsidR="000C1617">
        <w:rPr>
          <w:rFonts w:cs="Arial"/>
          <w:sz w:val="24"/>
          <w:szCs w:val="24"/>
        </w:rPr>
        <w:t>were</w:t>
      </w:r>
      <w:r w:rsidR="006C6F92">
        <w:rPr>
          <w:rFonts w:cs="Arial"/>
          <w:sz w:val="24"/>
          <w:szCs w:val="24"/>
        </w:rPr>
        <w:t xml:space="preserve"> engaging with the Council earlier in the process now which </w:t>
      </w:r>
      <w:r w:rsidR="000C1617">
        <w:rPr>
          <w:rFonts w:cs="Arial"/>
          <w:sz w:val="24"/>
          <w:szCs w:val="24"/>
        </w:rPr>
        <w:t>was</w:t>
      </w:r>
      <w:r w:rsidR="006C6F92">
        <w:rPr>
          <w:rFonts w:cs="Arial"/>
          <w:sz w:val="24"/>
          <w:szCs w:val="24"/>
        </w:rPr>
        <w:t xml:space="preserve"> positive.</w:t>
      </w:r>
      <w:r>
        <w:rPr>
          <w:rFonts w:cs="Arial"/>
          <w:sz w:val="24"/>
          <w:szCs w:val="24"/>
        </w:rPr>
        <w:t xml:space="preserve"> She felt that the workshop had been positive and all had come to the understanding that risks were both the responsibility of the Council and organisers. </w:t>
      </w:r>
      <w:r w:rsidR="00F31B9C">
        <w:rPr>
          <w:rFonts w:cs="Arial"/>
          <w:sz w:val="24"/>
          <w:szCs w:val="24"/>
        </w:rPr>
        <w:t xml:space="preserve">A </w:t>
      </w:r>
      <w:r w:rsidR="008C0D92">
        <w:rPr>
          <w:rFonts w:cs="Arial"/>
          <w:sz w:val="24"/>
          <w:szCs w:val="24"/>
        </w:rPr>
        <w:t xml:space="preserve">schedule of </w:t>
      </w:r>
      <w:r>
        <w:rPr>
          <w:rFonts w:cs="Arial"/>
          <w:sz w:val="24"/>
          <w:szCs w:val="24"/>
        </w:rPr>
        <w:t>Safety Advisory Group</w:t>
      </w:r>
      <w:r w:rsidR="008C0D92">
        <w:rPr>
          <w:rFonts w:cs="Arial"/>
          <w:sz w:val="24"/>
          <w:szCs w:val="24"/>
        </w:rPr>
        <w:t>s</w:t>
      </w:r>
      <w:r>
        <w:rPr>
          <w:rFonts w:cs="Arial"/>
          <w:sz w:val="24"/>
          <w:szCs w:val="24"/>
        </w:rPr>
        <w:t xml:space="preserve"> </w:t>
      </w:r>
      <w:r w:rsidR="00F31B9C">
        <w:rPr>
          <w:rFonts w:cs="Arial"/>
          <w:sz w:val="24"/>
          <w:szCs w:val="24"/>
        </w:rPr>
        <w:t xml:space="preserve">(SAG) </w:t>
      </w:r>
      <w:r w:rsidR="008C0D92">
        <w:rPr>
          <w:rFonts w:cs="Arial"/>
          <w:sz w:val="24"/>
          <w:szCs w:val="24"/>
        </w:rPr>
        <w:t>ha</w:t>
      </w:r>
      <w:r w:rsidR="000C1617">
        <w:rPr>
          <w:rFonts w:cs="Arial"/>
          <w:sz w:val="24"/>
          <w:szCs w:val="24"/>
        </w:rPr>
        <w:t>d</w:t>
      </w:r>
      <w:r w:rsidR="008C0D92">
        <w:rPr>
          <w:rFonts w:cs="Arial"/>
          <w:sz w:val="24"/>
          <w:szCs w:val="24"/>
        </w:rPr>
        <w:t xml:space="preserve"> now been </w:t>
      </w:r>
      <w:r>
        <w:rPr>
          <w:rFonts w:cs="Arial"/>
          <w:sz w:val="24"/>
          <w:szCs w:val="24"/>
        </w:rPr>
        <w:t>scheduled with dates align</w:t>
      </w:r>
      <w:r w:rsidR="008C0D92">
        <w:rPr>
          <w:rFonts w:cs="Arial"/>
          <w:sz w:val="24"/>
          <w:szCs w:val="24"/>
        </w:rPr>
        <w:t>ing</w:t>
      </w:r>
      <w:r>
        <w:rPr>
          <w:rFonts w:cs="Arial"/>
          <w:sz w:val="24"/>
          <w:szCs w:val="24"/>
        </w:rPr>
        <w:t xml:space="preserve"> to grants</w:t>
      </w:r>
      <w:r w:rsidR="004E1684">
        <w:rPr>
          <w:rFonts w:cs="Arial"/>
          <w:sz w:val="24"/>
          <w:szCs w:val="24"/>
        </w:rPr>
        <w:t xml:space="preserve">. This </w:t>
      </w:r>
      <w:r w:rsidR="000C1617">
        <w:rPr>
          <w:rFonts w:cs="Arial"/>
          <w:sz w:val="24"/>
          <w:szCs w:val="24"/>
        </w:rPr>
        <w:t>was</w:t>
      </w:r>
      <w:r w:rsidR="004E1684">
        <w:rPr>
          <w:rFonts w:cs="Arial"/>
          <w:sz w:val="24"/>
          <w:szCs w:val="24"/>
        </w:rPr>
        <w:t xml:space="preserve"> a multidisciplinary internal and external </w:t>
      </w:r>
      <w:r w:rsidR="00B21671">
        <w:rPr>
          <w:rFonts w:cs="Arial"/>
          <w:sz w:val="24"/>
          <w:szCs w:val="24"/>
        </w:rPr>
        <w:t xml:space="preserve">group which </w:t>
      </w:r>
      <w:r>
        <w:rPr>
          <w:rFonts w:cs="Arial"/>
          <w:sz w:val="24"/>
          <w:szCs w:val="24"/>
        </w:rPr>
        <w:t xml:space="preserve">organisers </w:t>
      </w:r>
      <w:r w:rsidR="00B21671">
        <w:rPr>
          <w:rFonts w:cs="Arial"/>
          <w:sz w:val="24"/>
          <w:szCs w:val="24"/>
        </w:rPr>
        <w:t xml:space="preserve">may </w:t>
      </w:r>
      <w:r w:rsidR="000C1617">
        <w:rPr>
          <w:rFonts w:cs="Arial"/>
          <w:sz w:val="24"/>
          <w:szCs w:val="24"/>
        </w:rPr>
        <w:t>have been</w:t>
      </w:r>
      <w:r w:rsidR="00B21671">
        <w:rPr>
          <w:rFonts w:cs="Arial"/>
          <w:sz w:val="24"/>
          <w:szCs w:val="24"/>
        </w:rPr>
        <w:t xml:space="preserve"> asked to </w:t>
      </w:r>
      <w:r>
        <w:rPr>
          <w:rFonts w:cs="Arial"/>
          <w:sz w:val="24"/>
          <w:szCs w:val="24"/>
        </w:rPr>
        <w:t>attend</w:t>
      </w:r>
      <w:r w:rsidR="00B21671">
        <w:rPr>
          <w:rFonts w:cs="Arial"/>
          <w:sz w:val="24"/>
          <w:szCs w:val="24"/>
        </w:rPr>
        <w:t xml:space="preserve">, depending on the nature and scale of </w:t>
      </w:r>
      <w:r w:rsidR="0043080B">
        <w:rPr>
          <w:rFonts w:cs="Arial"/>
          <w:sz w:val="24"/>
          <w:szCs w:val="24"/>
        </w:rPr>
        <w:t>the event</w:t>
      </w:r>
      <w:r>
        <w:rPr>
          <w:rFonts w:cs="Arial"/>
          <w:sz w:val="24"/>
          <w:szCs w:val="24"/>
        </w:rPr>
        <w:t>.</w:t>
      </w:r>
    </w:p>
    <w:p w14:paraId="7029655E" w14:textId="77777777" w:rsidR="00593CC5" w:rsidRDefault="00593CC5" w:rsidP="00593CC5">
      <w:pPr>
        <w:pStyle w:val="Normal0"/>
        <w:rPr>
          <w:rFonts w:cs="Arial"/>
          <w:sz w:val="24"/>
          <w:szCs w:val="24"/>
        </w:rPr>
      </w:pPr>
    </w:p>
    <w:p w14:paraId="7F22C8B2" w14:textId="4B5BA821" w:rsidR="00593CC5" w:rsidRPr="005E7457" w:rsidRDefault="00593CC5" w:rsidP="00593CC5">
      <w:pPr>
        <w:rPr>
          <w:rFonts w:eastAsia="Times New Roman"/>
          <w:szCs w:val="20"/>
        </w:rPr>
      </w:pPr>
      <w:r w:rsidRPr="007F0DD5">
        <w:rPr>
          <w:b/>
          <w:bCs/>
        </w:rPr>
        <w:t>AGREED TO RECOMMEND, on the proposal of</w:t>
      </w:r>
      <w:r>
        <w:rPr>
          <w:b/>
          <w:bCs/>
        </w:rPr>
        <w:t xml:space="preserve"> </w:t>
      </w:r>
      <w:r w:rsidR="001653C9">
        <w:rPr>
          <w:b/>
          <w:bCs/>
        </w:rPr>
        <w:t>Alderman McIlveen</w:t>
      </w:r>
      <w:r w:rsidRPr="007F0DD5">
        <w:rPr>
          <w:b/>
          <w:bCs/>
        </w:rPr>
        <w:t>, seconded</w:t>
      </w:r>
      <w:r>
        <w:rPr>
          <w:b/>
          <w:bCs/>
        </w:rPr>
        <w:t xml:space="preserve"> by Councillor</w:t>
      </w:r>
      <w:r w:rsidR="001653C9">
        <w:rPr>
          <w:b/>
          <w:bCs/>
        </w:rPr>
        <w:t xml:space="preserve"> W Irvine</w:t>
      </w:r>
      <w:r w:rsidRPr="007F0DD5">
        <w:rPr>
          <w:b/>
          <w:bCs/>
        </w:rPr>
        <w:t xml:space="preserve">, that </w:t>
      </w:r>
      <w:r>
        <w:rPr>
          <w:b/>
          <w:bCs/>
        </w:rPr>
        <w:t>the recommendation be adopted.</w:t>
      </w:r>
    </w:p>
    <w:p w14:paraId="12CF2AF4" w14:textId="77777777" w:rsidR="00593CC5" w:rsidRDefault="00593CC5" w:rsidP="00593CC5">
      <w:pPr>
        <w:rPr>
          <w:rFonts w:eastAsia="Times New Roman"/>
          <w:szCs w:val="20"/>
        </w:rPr>
      </w:pPr>
    </w:p>
    <w:p w14:paraId="7AC867EC" w14:textId="7243E442" w:rsidR="00593CC5" w:rsidRDefault="00593CC5" w:rsidP="00CE35A9">
      <w:pPr>
        <w:pStyle w:val="Heading1"/>
      </w:pPr>
      <w:r>
        <w:t>15.</w:t>
      </w:r>
      <w:r>
        <w:tab/>
      </w:r>
      <w:r w:rsidRPr="00CE35A9">
        <w:rPr>
          <w:u w:val="single"/>
        </w:rPr>
        <w:t>NOTICES OF MOTION</w:t>
      </w:r>
    </w:p>
    <w:p w14:paraId="4701BAF2" w14:textId="77777777" w:rsidR="00593CC5" w:rsidRDefault="00593CC5" w:rsidP="00593CC5">
      <w:pPr>
        <w:contextualSpacing/>
        <w:rPr>
          <w:rFonts w:cs="Arial"/>
          <w:b/>
          <w:bCs/>
          <w:sz w:val="28"/>
          <w:szCs w:val="28"/>
          <w:u w:val="single"/>
        </w:rPr>
      </w:pPr>
    </w:p>
    <w:p w14:paraId="13B168A4" w14:textId="7D8A794F" w:rsidR="00593CC5" w:rsidRPr="00CE35A9" w:rsidRDefault="00CE35A9" w:rsidP="00CE35A9">
      <w:pPr>
        <w:pStyle w:val="Heading2"/>
        <w:ind w:left="720" w:hanging="720"/>
        <w:rPr>
          <w:b/>
          <w:bCs/>
        </w:rPr>
      </w:pPr>
      <w:r w:rsidRPr="00CE35A9">
        <w:rPr>
          <w:b/>
          <w:bCs/>
        </w:rPr>
        <w:t>(a)</w:t>
      </w:r>
      <w:r w:rsidRPr="00CE35A9">
        <w:rPr>
          <w:b/>
          <w:bCs/>
        </w:rPr>
        <w:tab/>
      </w:r>
      <w:r w:rsidR="00593CC5" w:rsidRPr="00CE35A9">
        <w:rPr>
          <w:b/>
          <w:bCs/>
          <w:u w:val="single"/>
        </w:rPr>
        <w:t>NOTICE OF MOTION SUBMITTED BY COUNCILLOR W IRVINE AND COUNCILLOR S IRVINE</w:t>
      </w:r>
    </w:p>
    <w:p w14:paraId="71994E96" w14:textId="77777777" w:rsidR="00593CC5" w:rsidRDefault="00593CC5" w:rsidP="00593CC5">
      <w:pPr>
        <w:pStyle w:val="ListParagraph"/>
        <w:ind w:left="1080"/>
        <w:rPr>
          <w:rFonts w:ascii="Arial" w:eastAsia="Times New Roman" w:hAnsi="Arial" w:cs="Arial"/>
          <w:sz w:val="24"/>
          <w:szCs w:val="24"/>
        </w:rPr>
      </w:pPr>
    </w:p>
    <w:p w14:paraId="3502A0BE" w14:textId="17BE10DB" w:rsidR="00593CC5" w:rsidRPr="00CE35A9" w:rsidRDefault="00593CC5" w:rsidP="00CE35A9">
      <w:pPr>
        <w:rPr>
          <w:rFonts w:eastAsia="Times New Roman" w:cs="Arial"/>
          <w:szCs w:val="24"/>
        </w:rPr>
      </w:pPr>
      <w:bookmarkStart w:id="8" w:name="_Hlk160714775"/>
      <w:r w:rsidRPr="00CE35A9">
        <w:rPr>
          <w:rFonts w:eastAsia="Times New Roman" w:cs="Arial"/>
          <w:szCs w:val="24"/>
        </w:rPr>
        <w:t>That this Council in recognition of the 70 years of service rendered by the late her Majesty Queen Elizabeth ll gives consideration to the erection of a permanent memorial of Queen Elizabeth ll at the redeveloped marine gardens.  A report to be brought back to Council to include options on the commissioning and costings of the memorial.</w:t>
      </w:r>
    </w:p>
    <w:bookmarkEnd w:id="8"/>
    <w:p w14:paraId="543C340D" w14:textId="77777777" w:rsidR="00CE35A9" w:rsidRDefault="00CE35A9" w:rsidP="00687E9D">
      <w:pPr>
        <w:pStyle w:val="Normal0"/>
        <w:rPr>
          <w:rFonts w:cs="Arial"/>
          <w:sz w:val="24"/>
          <w:szCs w:val="24"/>
        </w:rPr>
      </w:pPr>
    </w:p>
    <w:p w14:paraId="0811380D" w14:textId="1E9BA601" w:rsidR="00687E9D" w:rsidRDefault="00687E9D" w:rsidP="00687E9D">
      <w:pPr>
        <w:pStyle w:val="Normal0"/>
        <w:rPr>
          <w:rFonts w:cs="Arial"/>
          <w:sz w:val="24"/>
          <w:szCs w:val="24"/>
        </w:rPr>
      </w:pPr>
      <w:r>
        <w:rPr>
          <w:rFonts w:cs="Arial"/>
          <w:sz w:val="24"/>
          <w:szCs w:val="24"/>
        </w:rPr>
        <w:t>Councillor W Irvine proposed, seconded by Councillor S Irvine, that Council bring back a report to include options on the commissioning and costings of a memorial.</w:t>
      </w:r>
    </w:p>
    <w:p w14:paraId="7F310674" w14:textId="5EA9801F" w:rsidR="00593CC5" w:rsidRDefault="00593CC5" w:rsidP="00593CC5">
      <w:pPr>
        <w:rPr>
          <w:rFonts w:cs="Arial"/>
          <w:szCs w:val="24"/>
        </w:rPr>
      </w:pPr>
    </w:p>
    <w:p w14:paraId="04CC2138" w14:textId="3BF2C848" w:rsidR="00DB0DF0" w:rsidRDefault="00DB0DF0" w:rsidP="00593CC5">
      <w:pPr>
        <w:pStyle w:val="Normal0"/>
        <w:rPr>
          <w:rFonts w:cs="Arial"/>
          <w:sz w:val="24"/>
          <w:szCs w:val="24"/>
        </w:rPr>
      </w:pPr>
      <w:r>
        <w:rPr>
          <w:rFonts w:cs="Arial"/>
          <w:sz w:val="24"/>
          <w:szCs w:val="24"/>
        </w:rPr>
        <w:t xml:space="preserve">Councillor W Irvine explained that the memorial would be very fitting to commemorate the longest reigning monarch in a lasting tribute. He recounted key </w:t>
      </w:r>
      <w:r>
        <w:rPr>
          <w:rFonts w:cs="Arial"/>
          <w:sz w:val="24"/>
          <w:szCs w:val="24"/>
        </w:rPr>
        <w:lastRenderedPageBreak/>
        <w:t xml:space="preserve">moments in Queen Elizabeth’s life and her unwavering commitment to duty which led to her being seen as a beacon of hope. </w:t>
      </w:r>
    </w:p>
    <w:p w14:paraId="7D05BE83" w14:textId="77777777" w:rsidR="00DB0DF0" w:rsidRDefault="00DB0DF0" w:rsidP="00593CC5">
      <w:pPr>
        <w:pStyle w:val="Normal0"/>
        <w:rPr>
          <w:rFonts w:cs="Arial"/>
          <w:sz w:val="24"/>
          <w:szCs w:val="24"/>
        </w:rPr>
      </w:pPr>
    </w:p>
    <w:p w14:paraId="74E7FD2F" w14:textId="363D65F8" w:rsidR="00DB0DF0" w:rsidRDefault="00DB0DF0" w:rsidP="00593CC5">
      <w:pPr>
        <w:pStyle w:val="Normal0"/>
        <w:rPr>
          <w:rFonts w:cs="Arial"/>
          <w:sz w:val="24"/>
          <w:szCs w:val="24"/>
        </w:rPr>
      </w:pPr>
      <w:r>
        <w:rPr>
          <w:rFonts w:cs="Arial"/>
          <w:sz w:val="24"/>
          <w:szCs w:val="24"/>
        </w:rPr>
        <w:t xml:space="preserve">Councillor S Irvine shared his fellow proposer’s sentiments and spoke of the Queen’s dedication over seventy years. The erection of a permanent memorial would commemorate her legacy with the gardens being a cherished public space in the community offering future generations a reminder of her commitment to duty and service. </w:t>
      </w:r>
    </w:p>
    <w:p w14:paraId="2B0963BA" w14:textId="77777777" w:rsidR="00DB0DF0" w:rsidRDefault="00DB0DF0" w:rsidP="00593CC5">
      <w:pPr>
        <w:pStyle w:val="Normal0"/>
        <w:rPr>
          <w:rFonts w:cs="Arial"/>
          <w:sz w:val="24"/>
          <w:szCs w:val="24"/>
        </w:rPr>
      </w:pPr>
    </w:p>
    <w:p w14:paraId="159AAE72" w14:textId="439116BC" w:rsidR="00DB0DF0" w:rsidRDefault="00DB0DF0" w:rsidP="00593CC5">
      <w:pPr>
        <w:pStyle w:val="Normal0"/>
        <w:rPr>
          <w:rFonts w:cs="Arial"/>
          <w:sz w:val="24"/>
          <w:szCs w:val="24"/>
        </w:rPr>
      </w:pPr>
      <w:r>
        <w:rPr>
          <w:rFonts w:cs="Arial"/>
          <w:sz w:val="24"/>
          <w:szCs w:val="24"/>
        </w:rPr>
        <w:t xml:space="preserve">Alderman McIlveen explained that Council had taken a decision previously to name the gardens in her memory and that it would be interesting to see public feedback on what kind of memorial would be most fitting. He recalled that Councillor Cathcart had initially brought a proposal forth for an area in the borough to be named after Queen Elizabeth II and that this Notice of Motion complimented that decision. </w:t>
      </w:r>
    </w:p>
    <w:p w14:paraId="225937A9" w14:textId="77777777" w:rsidR="00DB0DF0" w:rsidRDefault="00DB0DF0" w:rsidP="00593CC5">
      <w:pPr>
        <w:pStyle w:val="Normal0"/>
        <w:rPr>
          <w:rFonts w:cs="Arial"/>
          <w:sz w:val="24"/>
          <w:szCs w:val="24"/>
        </w:rPr>
      </w:pPr>
    </w:p>
    <w:p w14:paraId="7B80FA11" w14:textId="2194A21E" w:rsidR="00DB0DF0" w:rsidRDefault="00DB0DF0" w:rsidP="00593CC5">
      <w:pPr>
        <w:pStyle w:val="Normal0"/>
        <w:rPr>
          <w:rFonts w:cs="Arial"/>
          <w:sz w:val="24"/>
          <w:szCs w:val="24"/>
        </w:rPr>
      </w:pPr>
      <w:r>
        <w:rPr>
          <w:rFonts w:cs="Arial"/>
          <w:sz w:val="24"/>
          <w:szCs w:val="24"/>
        </w:rPr>
        <w:t xml:space="preserve">Alderman P Smith </w:t>
      </w:r>
      <w:r w:rsidR="00687E9D">
        <w:rPr>
          <w:rFonts w:cs="Arial"/>
          <w:sz w:val="24"/>
          <w:szCs w:val="24"/>
        </w:rPr>
        <w:t xml:space="preserve">thought a memorial was appropriate to highlight the naming of the gardens in what would be a fitting and practical statement. </w:t>
      </w:r>
    </w:p>
    <w:p w14:paraId="47E83C27" w14:textId="77777777" w:rsidR="00593CC5" w:rsidRDefault="00593CC5" w:rsidP="00593CC5">
      <w:pPr>
        <w:pStyle w:val="Normal0"/>
        <w:rPr>
          <w:rFonts w:cs="Arial"/>
          <w:sz w:val="24"/>
          <w:szCs w:val="24"/>
        </w:rPr>
      </w:pPr>
    </w:p>
    <w:p w14:paraId="335881C1" w14:textId="4F19FB3A" w:rsidR="00593CC5" w:rsidRPr="005E7457" w:rsidRDefault="00593CC5" w:rsidP="00593CC5">
      <w:pPr>
        <w:rPr>
          <w:rFonts w:eastAsia="Times New Roman"/>
          <w:szCs w:val="20"/>
        </w:rPr>
      </w:pPr>
      <w:r w:rsidRPr="007F0DD5">
        <w:rPr>
          <w:b/>
          <w:bCs/>
        </w:rPr>
        <w:t>AGREED TO RECOMMEND, on the proposal of</w:t>
      </w:r>
      <w:r>
        <w:rPr>
          <w:b/>
          <w:bCs/>
        </w:rPr>
        <w:t xml:space="preserve"> Councillor</w:t>
      </w:r>
      <w:r w:rsidR="00CE35A9">
        <w:rPr>
          <w:b/>
          <w:bCs/>
        </w:rPr>
        <w:t xml:space="preserve"> W Irvine</w:t>
      </w:r>
      <w:r w:rsidRPr="007F0DD5">
        <w:rPr>
          <w:b/>
          <w:bCs/>
        </w:rPr>
        <w:t>, seconded</w:t>
      </w:r>
      <w:r>
        <w:rPr>
          <w:b/>
          <w:bCs/>
        </w:rPr>
        <w:t xml:space="preserve"> by Councillor</w:t>
      </w:r>
      <w:r w:rsidR="00CE35A9">
        <w:rPr>
          <w:b/>
          <w:bCs/>
        </w:rPr>
        <w:t xml:space="preserve"> S Irvine</w:t>
      </w:r>
      <w:r w:rsidR="00687E9D">
        <w:rPr>
          <w:b/>
          <w:bCs/>
        </w:rPr>
        <w:t xml:space="preserve"> that Council bring back a report to include options on the commissioning and costings of a memorial. </w:t>
      </w:r>
      <w:r w:rsidR="0043080B">
        <w:rPr>
          <w:b/>
          <w:bCs/>
        </w:rPr>
        <w:t>Any decision arising from this will be subject to an EQIA.</w:t>
      </w:r>
    </w:p>
    <w:p w14:paraId="5BDAFA7D" w14:textId="77777777" w:rsidR="00593CC5" w:rsidRPr="005E7457" w:rsidRDefault="00593CC5" w:rsidP="00593CC5">
      <w:pPr>
        <w:rPr>
          <w:rFonts w:eastAsia="Times New Roman"/>
          <w:szCs w:val="20"/>
        </w:rPr>
      </w:pPr>
    </w:p>
    <w:p w14:paraId="4E0F6358" w14:textId="4865F7CC" w:rsidR="00593CC5" w:rsidRPr="00CE35A9" w:rsidRDefault="00593CC5" w:rsidP="00CE35A9">
      <w:pPr>
        <w:pStyle w:val="Heading1"/>
        <w:rPr>
          <w:u w:val="single"/>
        </w:rPr>
      </w:pPr>
      <w:r>
        <w:t>16.</w:t>
      </w:r>
      <w:r>
        <w:tab/>
      </w:r>
      <w:r w:rsidRPr="00CE35A9">
        <w:rPr>
          <w:u w:val="single"/>
        </w:rPr>
        <w:t>ANY OTHER NOTIFIED BUSINESS</w:t>
      </w:r>
    </w:p>
    <w:p w14:paraId="54A7A56C" w14:textId="77777777" w:rsidR="00593CC5" w:rsidRDefault="00593CC5" w:rsidP="00593CC5">
      <w:pPr>
        <w:contextualSpacing/>
        <w:rPr>
          <w:rFonts w:cs="Arial"/>
          <w:b/>
          <w:bCs/>
          <w:sz w:val="28"/>
          <w:szCs w:val="28"/>
          <w:u w:val="single"/>
        </w:rPr>
      </w:pPr>
    </w:p>
    <w:p w14:paraId="1CB3CD72" w14:textId="678C56C2" w:rsidR="00593CC5" w:rsidRPr="00CE35A9" w:rsidRDefault="00593CC5" w:rsidP="00593CC5">
      <w:pPr>
        <w:contextualSpacing/>
        <w:rPr>
          <w:rFonts w:cs="Arial"/>
          <w:szCs w:val="24"/>
        </w:rPr>
      </w:pPr>
      <w:r w:rsidRPr="00CE35A9">
        <w:rPr>
          <w:rFonts w:cs="Arial"/>
          <w:szCs w:val="24"/>
        </w:rPr>
        <w:t>There were no items of notified business.</w:t>
      </w:r>
    </w:p>
    <w:p w14:paraId="719E8BC8" w14:textId="77777777" w:rsidR="00593CC5" w:rsidRDefault="00593CC5" w:rsidP="006113F2">
      <w:pPr>
        <w:contextualSpacing/>
        <w:rPr>
          <w:rFonts w:cs="Arial"/>
          <w:b/>
          <w:bCs/>
          <w:caps/>
          <w:sz w:val="28"/>
          <w:szCs w:val="28"/>
          <w:u w:val="single"/>
        </w:rPr>
      </w:pPr>
    </w:p>
    <w:bookmarkEnd w:id="0"/>
    <w:bookmarkEnd w:id="3"/>
    <w:p w14:paraId="69FE6E7F" w14:textId="77777777" w:rsidR="0078603C" w:rsidRPr="00A04568" w:rsidRDefault="0078603C" w:rsidP="0078603C">
      <w:pPr>
        <w:contextualSpacing/>
        <w:rPr>
          <w:rFonts w:cs="Arial"/>
          <w:b/>
          <w:bCs/>
          <w:caps/>
          <w:sz w:val="28"/>
          <w:szCs w:val="28"/>
          <w:u w:val="single"/>
        </w:rPr>
      </w:pPr>
      <w:r w:rsidRPr="00A04568">
        <w:rPr>
          <w:rFonts w:cs="Arial"/>
          <w:b/>
          <w:bCs/>
          <w:caps/>
          <w:sz w:val="28"/>
          <w:szCs w:val="28"/>
          <w:u w:val="single"/>
        </w:rPr>
        <w:t>Exclusion of Public/Press</w:t>
      </w:r>
    </w:p>
    <w:p w14:paraId="60E1FC3D" w14:textId="77777777" w:rsidR="0078603C" w:rsidRPr="00A04568" w:rsidRDefault="0078603C" w:rsidP="0078603C">
      <w:pPr>
        <w:contextualSpacing/>
        <w:rPr>
          <w:rFonts w:cs="Arial"/>
          <w:b/>
          <w:bCs/>
          <w:szCs w:val="24"/>
        </w:rPr>
      </w:pPr>
    </w:p>
    <w:p w14:paraId="5896A4E6" w14:textId="77777777" w:rsidR="0078603C" w:rsidRDefault="0078603C" w:rsidP="0078603C">
      <w:pPr>
        <w:contextualSpacing/>
        <w:rPr>
          <w:rFonts w:cs="Arial"/>
          <w:b/>
          <w:bCs/>
          <w:szCs w:val="24"/>
        </w:rPr>
      </w:pPr>
      <w:r w:rsidRPr="00A04568">
        <w:rPr>
          <w:rFonts w:cs="Arial"/>
          <w:b/>
          <w:bCs/>
          <w:szCs w:val="24"/>
        </w:rPr>
        <w:t>AGREED, on the proposal of</w:t>
      </w:r>
      <w:r>
        <w:rPr>
          <w:rFonts w:cs="Arial"/>
          <w:b/>
          <w:bCs/>
          <w:szCs w:val="24"/>
        </w:rPr>
        <w:t xml:space="preserve"> Councillor Alderman McIlveen</w:t>
      </w:r>
      <w:r w:rsidRPr="00A04568">
        <w:rPr>
          <w:rFonts w:cs="Arial"/>
          <w:b/>
          <w:bCs/>
          <w:szCs w:val="24"/>
        </w:rPr>
        <w:t>, seconded by</w:t>
      </w:r>
      <w:r>
        <w:rPr>
          <w:rFonts w:cs="Arial"/>
          <w:b/>
          <w:bCs/>
          <w:szCs w:val="24"/>
        </w:rPr>
        <w:t xml:space="preserve"> Councillor Gilmour</w:t>
      </w:r>
      <w:r w:rsidRPr="00A04568">
        <w:rPr>
          <w:rFonts w:cs="Arial"/>
          <w:b/>
          <w:bCs/>
          <w:szCs w:val="24"/>
        </w:rPr>
        <w:t xml:space="preserve">, that the public/press be excluded during the discussion of the undernoted items of confidential business. </w:t>
      </w:r>
    </w:p>
    <w:p w14:paraId="22A765A0" w14:textId="77777777" w:rsidR="0078603C" w:rsidRDefault="0078603C" w:rsidP="0078603C">
      <w:pPr>
        <w:contextualSpacing/>
        <w:rPr>
          <w:rFonts w:cs="Arial"/>
          <w:b/>
          <w:bCs/>
          <w:sz w:val="28"/>
          <w:szCs w:val="28"/>
          <w:u w:val="single"/>
        </w:rPr>
      </w:pPr>
    </w:p>
    <w:p w14:paraId="0AF26666" w14:textId="77777777" w:rsidR="0078603C" w:rsidRPr="00D23E4F" w:rsidRDefault="0078603C" w:rsidP="0078603C">
      <w:pPr>
        <w:contextualSpacing/>
        <w:rPr>
          <w:rFonts w:cs="Arial"/>
          <w:b/>
          <w:bCs/>
          <w:sz w:val="28"/>
          <w:szCs w:val="28"/>
          <w:u w:val="single"/>
        </w:rPr>
      </w:pPr>
      <w:r>
        <w:rPr>
          <w:rFonts w:cs="Arial"/>
          <w:b/>
          <w:bCs/>
          <w:sz w:val="28"/>
          <w:szCs w:val="28"/>
          <w:u w:val="single"/>
        </w:rPr>
        <w:t>REPORTS FOR APPROVAL (IN CONFIDENCE)</w:t>
      </w:r>
    </w:p>
    <w:p w14:paraId="104EFE2C" w14:textId="77777777" w:rsidR="0078603C" w:rsidRPr="00771E9B" w:rsidRDefault="0078603C" w:rsidP="0078603C">
      <w:pPr>
        <w:rPr>
          <w:b/>
          <w:bCs/>
        </w:rPr>
      </w:pPr>
    </w:p>
    <w:p w14:paraId="41798A6B" w14:textId="77777777" w:rsidR="0078603C" w:rsidRPr="00D23E4F" w:rsidRDefault="0078603C" w:rsidP="00CE35A9">
      <w:pPr>
        <w:pStyle w:val="Heading1"/>
        <w:ind w:left="720" w:hanging="720"/>
        <w:rPr>
          <w:szCs w:val="24"/>
        </w:rPr>
      </w:pPr>
      <w:r>
        <w:t>17.</w:t>
      </w:r>
      <w:r>
        <w:tab/>
      </w:r>
      <w:r w:rsidRPr="00CE35A9">
        <w:rPr>
          <w:u w:val="single"/>
        </w:rPr>
        <w:t>REQUEST FROM PANORAMIC WHEEL CO. LTD TO USE COUNCIL LAND AT MCKEE CLOCK ARENA, BANGOR</w:t>
      </w:r>
    </w:p>
    <w:p w14:paraId="6EBFF9B1" w14:textId="77777777" w:rsidR="0078603C" w:rsidRDefault="0078603C" w:rsidP="0078603C">
      <w:pPr>
        <w:pStyle w:val="Normal0"/>
        <w:rPr>
          <w:sz w:val="24"/>
          <w:lang w:eastAsia="en-US"/>
        </w:rPr>
      </w:pPr>
    </w:p>
    <w:p w14:paraId="55DAFECD" w14:textId="77777777" w:rsidR="0078603C" w:rsidRPr="00DB4CB2" w:rsidRDefault="0078603C" w:rsidP="0078603C">
      <w:pPr>
        <w:pStyle w:val="Normal0"/>
        <w:rPr>
          <w:b/>
          <w:bCs/>
          <w:sz w:val="24"/>
          <w:lang w:eastAsia="en-US"/>
        </w:rPr>
      </w:pPr>
      <w:r w:rsidRPr="00DB4CB2">
        <w:rPr>
          <w:b/>
          <w:bCs/>
          <w:sz w:val="24"/>
          <w:lang w:eastAsia="en-US"/>
        </w:rPr>
        <w:t>***IN CONFIDENCE***</w:t>
      </w:r>
    </w:p>
    <w:p w14:paraId="4D6DCFEB" w14:textId="77777777" w:rsidR="0078603C" w:rsidRDefault="0078603C" w:rsidP="0078603C">
      <w:pPr>
        <w:rPr>
          <w:rFonts w:cs="Arial"/>
          <w:bCs/>
          <w:caps/>
          <w:szCs w:val="24"/>
        </w:rPr>
      </w:pPr>
    </w:p>
    <w:p w14:paraId="08CE5539" w14:textId="77777777" w:rsidR="0078603C" w:rsidRDefault="0078603C" w:rsidP="0078603C">
      <w:pPr>
        <w:rPr>
          <w:rFonts w:cs="Arial"/>
          <w:b/>
          <w:bCs/>
          <w:szCs w:val="24"/>
        </w:rPr>
      </w:pPr>
      <w:r>
        <w:rPr>
          <w:b/>
          <w:bCs/>
          <w:szCs w:val="24"/>
        </w:rPr>
        <w:t>NOT FOR PUBLICATION SCHEDULE 6 – INFORMATION RELATING TO THE FINANCIAL OR BUSINESS AFFAIRS OF ANY PARTICULAR PERSON (INCLUDING THE COUNCIL HOLDING THAT INFORMATION)</w:t>
      </w:r>
    </w:p>
    <w:p w14:paraId="6EA81FEE" w14:textId="77777777" w:rsidR="0078603C" w:rsidRDefault="0078603C" w:rsidP="0078603C">
      <w:pPr>
        <w:rPr>
          <w:rFonts w:cs="Arial"/>
          <w:bCs/>
          <w:caps/>
          <w:szCs w:val="24"/>
        </w:rPr>
      </w:pPr>
    </w:p>
    <w:p w14:paraId="42DDDE74" w14:textId="77777777" w:rsidR="0078603C" w:rsidRDefault="0078603C" w:rsidP="0078603C">
      <w:r>
        <w:t xml:space="preserve">A report was provided to Members with regard to the Panoramic Wheel Co. Ltd using Council land at the McKee Clock Arena in Bangor during allotted times, subject to various terms and conditions as laid out by the Council. </w:t>
      </w:r>
    </w:p>
    <w:p w14:paraId="54ABDEAF" w14:textId="77777777" w:rsidR="0078603C" w:rsidRDefault="0078603C" w:rsidP="0078603C"/>
    <w:p w14:paraId="608AB18B" w14:textId="77777777" w:rsidR="0078603C" w:rsidRDefault="0078603C" w:rsidP="0078603C">
      <w:r>
        <w:t>The recommendation was adopted.</w:t>
      </w:r>
    </w:p>
    <w:p w14:paraId="3AD7F495" w14:textId="77777777" w:rsidR="0078603C" w:rsidRPr="00722EE8" w:rsidRDefault="0078603C" w:rsidP="0078603C">
      <w:pPr>
        <w:rPr>
          <w:rFonts w:cs="Arial"/>
          <w:szCs w:val="24"/>
        </w:rPr>
      </w:pPr>
    </w:p>
    <w:p w14:paraId="09CEC562" w14:textId="77777777" w:rsidR="0078603C" w:rsidRPr="00CC45C4" w:rsidRDefault="0078603C" w:rsidP="00CC45C4">
      <w:pPr>
        <w:pStyle w:val="Heading1"/>
        <w:ind w:left="720" w:hanging="720"/>
      </w:pPr>
      <w:bookmarkStart w:id="9" w:name="_Hlk129096524"/>
      <w:r w:rsidRPr="00CC45C4">
        <w:t>18.</w:t>
      </w:r>
      <w:r w:rsidRPr="00CC45C4">
        <w:tab/>
      </w:r>
      <w:r w:rsidRPr="00CC45C4">
        <w:rPr>
          <w:u w:val="single"/>
        </w:rPr>
        <w:t>RENEWAL OF LEASE – MILLISLE LAGOON AND BEACH PARK</w:t>
      </w:r>
    </w:p>
    <w:p w14:paraId="5C76FE7E" w14:textId="77777777" w:rsidR="0078603C" w:rsidRDefault="0078603C" w:rsidP="0078603C">
      <w:r>
        <w:tab/>
      </w:r>
      <w:bookmarkStart w:id="10" w:name="_Hlk138080484"/>
      <w:r>
        <w:t>(Appendix IV)</w:t>
      </w:r>
      <w:bookmarkEnd w:id="10"/>
    </w:p>
    <w:p w14:paraId="5C0E02F6" w14:textId="77777777" w:rsidR="0078603C" w:rsidRDefault="0078603C" w:rsidP="0078603C"/>
    <w:p w14:paraId="20947362" w14:textId="77777777" w:rsidR="0078603C" w:rsidRDefault="0078603C" w:rsidP="0078603C">
      <w:pPr>
        <w:pStyle w:val="Normal0"/>
        <w:rPr>
          <w:b/>
          <w:bCs/>
          <w:sz w:val="24"/>
          <w:lang w:eastAsia="en-US"/>
        </w:rPr>
      </w:pPr>
      <w:bookmarkStart w:id="11" w:name="_Hlk138080761"/>
      <w:bookmarkEnd w:id="9"/>
      <w:r w:rsidRPr="00DB4CB2">
        <w:rPr>
          <w:b/>
          <w:bCs/>
          <w:sz w:val="24"/>
          <w:lang w:eastAsia="en-US"/>
        </w:rPr>
        <w:t>***IN CONFIDENCE***</w:t>
      </w:r>
    </w:p>
    <w:p w14:paraId="7A1B2C2C" w14:textId="77777777" w:rsidR="0078603C" w:rsidRDefault="0078603C" w:rsidP="0078603C">
      <w:pPr>
        <w:pStyle w:val="Normal0"/>
        <w:rPr>
          <w:b/>
          <w:bCs/>
          <w:sz w:val="24"/>
          <w:lang w:eastAsia="en-US"/>
        </w:rPr>
      </w:pPr>
    </w:p>
    <w:p w14:paraId="7F7A8F50" w14:textId="77777777" w:rsidR="0078603C" w:rsidRDefault="0078603C" w:rsidP="0078603C">
      <w:pPr>
        <w:rPr>
          <w:rFonts w:cs="Arial"/>
          <w:b/>
          <w:bCs/>
          <w:szCs w:val="24"/>
        </w:rPr>
      </w:pPr>
      <w:r>
        <w:rPr>
          <w:b/>
          <w:bCs/>
          <w:szCs w:val="24"/>
        </w:rPr>
        <w:t>NOT FOR PUBLICATION SCHEDULE 6 – INFORMATION RELATING TO THE FINANCIAL OR BUSINESS AFFAIRS OF ANY PARTICULAR PERSON (INCLUDING THE COUNCIL HOLDING THAT INFORMATION)</w:t>
      </w:r>
    </w:p>
    <w:p w14:paraId="6C6F337B" w14:textId="77777777" w:rsidR="0078603C" w:rsidRPr="006D009E" w:rsidRDefault="0078603C" w:rsidP="0078603C">
      <w:pPr>
        <w:pStyle w:val="Normal0"/>
        <w:rPr>
          <w:sz w:val="24"/>
          <w:lang w:eastAsia="en-US"/>
        </w:rPr>
      </w:pPr>
    </w:p>
    <w:p w14:paraId="0116F704" w14:textId="77777777" w:rsidR="0078603C" w:rsidRDefault="0078603C" w:rsidP="0078603C">
      <w:r>
        <w:t xml:space="preserve">A report was provided to Members outlining the renewal of a lease in relation to Millisle Lagoon and Beach Park subject to a review of costs. </w:t>
      </w:r>
    </w:p>
    <w:p w14:paraId="690EF558" w14:textId="77777777" w:rsidR="0078603C" w:rsidRDefault="0078603C" w:rsidP="0078603C"/>
    <w:p w14:paraId="7DE72734" w14:textId="77777777" w:rsidR="0078603C" w:rsidRDefault="0078603C" w:rsidP="0078603C">
      <w:pPr>
        <w:rPr>
          <w:rFonts w:cs="Arial"/>
          <w:bCs/>
          <w:caps/>
          <w:szCs w:val="24"/>
        </w:rPr>
      </w:pPr>
      <w:r>
        <w:t>The recommendation was adopted..</w:t>
      </w:r>
    </w:p>
    <w:p w14:paraId="229E6D54" w14:textId="77777777" w:rsidR="0078603C" w:rsidRPr="00462A86" w:rsidRDefault="0078603C" w:rsidP="0078603C">
      <w:pPr>
        <w:pStyle w:val="Normal0"/>
      </w:pPr>
    </w:p>
    <w:p w14:paraId="32D4EF81" w14:textId="759141BB" w:rsidR="0078603C" w:rsidRPr="00CC45C4" w:rsidRDefault="0078603C" w:rsidP="00CC45C4">
      <w:pPr>
        <w:pStyle w:val="Heading1"/>
        <w:rPr>
          <w:u w:val="single"/>
        </w:rPr>
      </w:pPr>
      <w:r w:rsidRPr="00CC45C4">
        <w:t>19.</w:t>
      </w:r>
      <w:r w:rsidRPr="00CC45C4">
        <w:tab/>
      </w:r>
      <w:r w:rsidRPr="00CC45C4">
        <w:rPr>
          <w:u w:val="single"/>
        </w:rPr>
        <w:t>SPFG MINUTES 26</w:t>
      </w:r>
      <w:r w:rsidR="00CC45C4">
        <w:rPr>
          <w:u w:val="single"/>
        </w:rPr>
        <w:t xml:space="preserve"> </w:t>
      </w:r>
      <w:r w:rsidRPr="00CC45C4">
        <w:rPr>
          <w:u w:val="single"/>
        </w:rPr>
        <w:t>february 2024</w:t>
      </w:r>
    </w:p>
    <w:p w14:paraId="2DF50659" w14:textId="77777777" w:rsidR="0078603C" w:rsidRPr="00B04B75" w:rsidRDefault="0078603C" w:rsidP="0078603C"/>
    <w:bookmarkEnd w:id="11"/>
    <w:p w14:paraId="2C01600C" w14:textId="77777777" w:rsidR="0078603C" w:rsidRDefault="0078603C" w:rsidP="0078603C">
      <w:pPr>
        <w:pStyle w:val="Normal0"/>
        <w:rPr>
          <w:b/>
          <w:bCs/>
          <w:sz w:val="24"/>
          <w:lang w:eastAsia="en-US"/>
        </w:rPr>
      </w:pPr>
      <w:r w:rsidRPr="00DB4CB2">
        <w:rPr>
          <w:b/>
          <w:bCs/>
          <w:sz w:val="24"/>
          <w:lang w:eastAsia="en-US"/>
        </w:rPr>
        <w:t>***IN CONFIDENCE***</w:t>
      </w:r>
    </w:p>
    <w:p w14:paraId="4BCE6C6C" w14:textId="77777777" w:rsidR="0078603C" w:rsidRPr="00DB4CB2" w:rsidRDefault="0078603C" w:rsidP="0078603C">
      <w:pPr>
        <w:pStyle w:val="Normal0"/>
        <w:rPr>
          <w:b/>
          <w:bCs/>
          <w:sz w:val="24"/>
          <w:lang w:eastAsia="en-US"/>
        </w:rPr>
      </w:pPr>
    </w:p>
    <w:p w14:paraId="492250B0" w14:textId="77777777" w:rsidR="0078603C" w:rsidRDefault="0078603C" w:rsidP="0078603C">
      <w:pPr>
        <w:rPr>
          <w:b/>
          <w:bCs/>
          <w:szCs w:val="24"/>
        </w:rPr>
      </w:pPr>
      <w:r>
        <w:rPr>
          <w:b/>
          <w:bCs/>
          <w:szCs w:val="24"/>
        </w:rPr>
        <w:t>NOT FOR PUBLICATION SCHEDULE 6 – INFORMATION RELATING TO THE FINANCIAL OR BUSINESS AFFAIRS OF ANY PARTICULAR PERSON (INCLUDING THE COUNCIL HOLDING THAT INFORMATION)</w:t>
      </w:r>
    </w:p>
    <w:p w14:paraId="01EE991E" w14:textId="77777777" w:rsidR="00CE35A9" w:rsidRDefault="00CE35A9" w:rsidP="0078603C">
      <w:pPr>
        <w:rPr>
          <w:rFonts w:cs="Arial"/>
          <w:b/>
          <w:bCs/>
          <w:szCs w:val="24"/>
        </w:rPr>
      </w:pPr>
    </w:p>
    <w:p w14:paraId="447E4787" w14:textId="77777777" w:rsidR="0078603C" w:rsidRDefault="0078603C" w:rsidP="0078603C">
      <w:pPr>
        <w:rPr>
          <w:rFonts w:cs="Arial"/>
          <w:szCs w:val="24"/>
        </w:rPr>
      </w:pPr>
      <w:r>
        <w:rPr>
          <w:rFonts w:cs="Arial"/>
          <w:szCs w:val="24"/>
        </w:rPr>
        <w:t>A copy of SPFG minutes from 26</w:t>
      </w:r>
      <w:r w:rsidRPr="00366866">
        <w:rPr>
          <w:rFonts w:cs="Arial"/>
          <w:szCs w:val="24"/>
          <w:vertAlign w:val="superscript"/>
        </w:rPr>
        <w:t>th</w:t>
      </w:r>
      <w:r>
        <w:rPr>
          <w:rFonts w:cs="Arial"/>
          <w:szCs w:val="24"/>
        </w:rPr>
        <w:t xml:space="preserve"> February 2024 was presented to the Committee for noting.</w:t>
      </w:r>
    </w:p>
    <w:p w14:paraId="3B8AECD8" w14:textId="77777777" w:rsidR="0078603C" w:rsidRDefault="0078603C" w:rsidP="0078603C">
      <w:pPr>
        <w:rPr>
          <w:rFonts w:cs="Arial"/>
          <w:szCs w:val="24"/>
        </w:rPr>
      </w:pPr>
    </w:p>
    <w:p w14:paraId="5BACFC66" w14:textId="77777777" w:rsidR="0078603C" w:rsidRDefault="0078603C" w:rsidP="0078603C">
      <w:pPr>
        <w:rPr>
          <w:rFonts w:cs="Arial"/>
          <w:szCs w:val="24"/>
        </w:rPr>
      </w:pPr>
      <w:r>
        <w:rPr>
          <w:rFonts w:cs="Arial"/>
          <w:szCs w:val="24"/>
        </w:rPr>
        <w:t>The recommendation was adopted.</w:t>
      </w:r>
    </w:p>
    <w:p w14:paraId="58A45E17" w14:textId="77777777" w:rsidR="0078603C" w:rsidRDefault="0078603C" w:rsidP="0078603C">
      <w:pPr>
        <w:rPr>
          <w:rFonts w:cs="Arial"/>
          <w:szCs w:val="24"/>
        </w:rPr>
      </w:pPr>
    </w:p>
    <w:p w14:paraId="34BA8F0B" w14:textId="77777777" w:rsidR="0078603C" w:rsidRPr="00CB58F9" w:rsidRDefault="0078603C" w:rsidP="0078603C">
      <w:pPr>
        <w:pStyle w:val="Heading1"/>
        <w:rPr>
          <w:u w:val="single"/>
        </w:rPr>
      </w:pPr>
      <w:r w:rsidRPr="00CB58F9">
        <w:rPr>
          <w:u w:val="single"/>
        </w:rPr>
        <w:t xml:space="preserve">Re-admittance of Public/Press </w:t>
      </w:r>
    </w:p>
    <w:p w14:paraId="740E680B" w14:textId="77777777" w:rsidR="0078603C" w:rsidRDefault="0078603C" w:rsidP="0078603C"/>
    <w:p w14:paraId="67BA6009" w14:textId="77777777" w:rsidR="0078603C" w:rsidRDefault="0078603C" w:rsidP="0078603C">
      <w:pPr>
        <w:rPr>
          <w:b/>
          <w:bCs/>
        </w:rPr>
      </w:pPr>
      <w:r w:rsidRPr="00CB58F9">
        <w:rPr>
          <w:b/>
          <w:bCs/>
        </w:rPr>
        <w:t>AGREED, on the proposal of</w:t>
      </w:r>
      <w:r>
        <w:rPr>
          <w:b/>
          <w:bCs/>
        </w:rPr>
        <w:t xml:space="preserve"> Alderman McIlveen</w:t>
      </w:r>
      <w:r w:rsidRPr="00CB58F9">
        <w:rPr>
          <w:b/>
          <w:bCs/>
        </w:rPr>
        <w:t>, seconded by</w:t>
      </w:r>
      <w:r>
        <w:rPr>
          <w:b/>
          <w:bCs/>
        </w:rPr>
        <w:t xml:space="preserve"> Alderman Graham</w:t>
      </w:r>
      <w:r w:rsidRPr="00CB58F9">
        <w:rPr>
          <w:b/>
          <w:bCs/>
        </w:rPr>
        <w:t>, that the public/press be re-admitted to the meeting.</w:t>
      </w:r>
    </w:p>
    <w:p w14:paraId="740324CA" w14:textId="77777777" w:rsidR="0078603C" w:rsidRDefault="0078603C" w:rsidP="0078603C">
      <w:pPr>
        <w:rPr>
          <w:b/>
          <w:bCs/>
        </w:rPr>
      </w:pPr>
    </w:p>
    <w:p w14:paraId="37A74C53" w14:textId="77777777" w:rsidR="0078603C" w:rsidRDefault="0078603C" w:rsidP="0078603C">
      <w:pPr>
        <w:pStyle w:val="Heading1"/>
        <w:rPr>
          <w:u w:val="single"/>
        </w:rPr>
      </w:pPr>
      <w:r w:rsidRPr="00CB58F9">
        <w:rPr>
          <w:u w:val="single"/>
        </w:rPr>
        <w:t xml:space="preserve">Termination of meeting </w:t>
      </w:r>
    </w:p>
    <w:p w14:paraId="2827D835" w14:textId="77777777" w:rsidR="0078603C" w:rsidRDefault="0078603C" w:rsidP="0078603C"/>
    <w:p w14:paraId="1B9E2ABE" w14:textId="77777777" w:rsidR="0078603C" w:rsidRPr="00B42DF0" w:rsidRDefault="0078603C" w:rsidP="0078603C">
      <w:r>
        <w:t>The meeting terminated at 20:33.</w:t>
      </w:r>
    </w:p>
    <w:p w14:paraId="1DDA8B6D" w14:textId="77777777" w:rsidR="0078603C" w:rsidRDefault="0078603C" w:rsidP="0078603C"/>
    <w:p w14:paraId="487050A5" w14:textId="77777777" w:rsidR="006113F2" w:rsidRDefault="006113F2" w:rsidP="006113F2"/>
    <w:p w14:paraId="6FC922E3" w14:textId="77777777" w:rsidR="006050D0" w:rsidRDefault="006050D0"/>
    <w:sectPr w:rsidR="006050D0" w:rsidSect="00BE4FA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3253" w14:textId="77777777" w:rsidR="00BE4FA7" w:rsidRDefault="00BE4FA7" w:rsidP="006113F2">
      <w:r>
        <w:separator/>
      </w:r>
    </w:p>
  </w:endnote>
  <w:endnote w:type="continuationSeparator" w:id="0">
    <w:p w14:paraId="0800EA4C" w14:textId="77777777" w:rsidR="00BE4FA7" w:rsidRDefault="00BE4FA7" w:rsidP="0061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ArialMT">
    <w:altName w:val="Arial"/>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B9AF" w14:textId="77777777" w:rsidR="00A94D55" w:rsidRDefault="00A94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85664353"/>
      <w:docPartObj>
        <w:docPartGallery w:val="Page Numbers (Bottom of Page)"/>
        <w:docPartUnique/>
      </w:docPartObj>
    </w:sdtPr>
    <w:sdtEndPr>
      <w:rPr>
        <w:noProof/>
      </w:rPr>
    </w:sdtEndPr>
    <w:sdtContent>
      <w:p w14:paraId="1D9A64B0" w14:textId="77777777" w:rsidR="00D151D0" w:rsidRPr="00C816DA" w:rsidRDefault="00D151D0">
        <w:pPr>
          <w:pStyle w:val="Footer"/>
          <w:jc w:val="center"/>
          <w:rPr>
            <w:sz w:val="24"/>
            <w:szCs w:val="24"/>
          </w:rPr>
        </w:pPr>
        <w:r w:rsidRPr="00C816DA">
          <w:rPr>
            <w:sz w:val="24"/>
            <w:szCs w:val="24"/>
          </w:rPr>
          <w:fldChar w:fldCharType="begin"/>
        </w:r>
        <w:r w:rsidRPr="00C816DA">
          <w:rPr>
            <w:sz w:val="24"/>
            <w:szCs w:val="24"/>
          </w:rPr>
          <w:instrText xml:space="preserve"> PAGE   \* MERGEFORMAT </w:instrText>
        </w:r>
        <w:r w:rsidRPr="00C816DA">
          <w:rPr>
            <w:sz w:val="24"/>
            <w:szCs w:val="24"/>
          </w:rPr>
          <w:fldChar w:fldCharType="separate"/>
        </w:r>
        <w:r w:rsidRPr="00C816DA">
          <w:rPr>
            <w:noProof/>
            <w:sz w:val="24"/>
            <w:szCs w:val="24"/>
          </w:rPr>
          <w:t>2</w:t>
        </w:r>
        <w:r w:rsidRPr="00C816DA">
          <w:rPr>
            <w:noProof/>
            <w:sz w:val="24"/>
            <w:szCs w:val="24"/>
          </w:rPr>
          <w:fldChar w:fldCharType="end"/>
        </w:r>
      </w:p>
    </w:sdtContent>
  </w:sdt>
  <w:p w14:paraId="4715725A" w14:textId="77777777" w:rsidR="00D151D0" w:rsidRDefault="00D151D0">
    <w:pPr>
      <w:pStyle w:val="Footer"/>
      <w:rPr>
        <w:sz w:val="24"/>
        <w:lang w:eastAsia="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5997" w14:textId="77777777" w:rsidR="00A94D55" w:rsidRDefault="00A9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ED8C" w14:textId="77777777" w:rsidR="00BE4FA7" w:rsidRDefault="00BE4FA7" w:rsidP="006113F2">
      <w:r>
        <w:separator/>
      </w:r>
    </w:p>
  </w:footnote>
  <w:footnote w:type="continuationSeparator" w:id="0">
    <w:p w14:paraId="24F3D468" w14:textId="77777777" w:rsidR="00BE4FA7" w:rsidRDefault="00BE4FA7" w:rsidP="0061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B5AB" w14:textId="77777777" w:rsidR="00A94D55" w:rsidRDefault="00A94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28DC" w14:textId="23AD1A8F" w:rsidR="00D151D0" w:rsidRDefault="00D151D0" w:rsidP="008E588C">
    <w:pPr>
      <w:pStyle w:val="Header"/>
      <w:rPr>
        <w:sz w:val="24"/>
        <w:lang w:eastAsia="en-US"/>
      </w:rPr>
    </w:pPr>
    <w:r>
      <w:rPr>
        <w:sz w:val="24"/>
        <w:lang w:eastAsia="en-US"/>
      </w:rPr>
      <w:tab/>
    </w:r>
    <w:r>
      <w:rPr>
        <w:sz w:val="24"/>
        <w:lang w:eastAsia="en-US"/>
      </w:rPr>
      <w:tab/>
      <w:t>CS.1</w:t>
    </w:r>
    <w:r w:rsidR="00F7719A">
      <w:rPr>
        <w:sz w:val="24"/>
        <w:lang w:eastAsia="en-US"/>
      </w:rPr>
      <w:t>2</w:t>
    </w:r>
    <w:r>
      <w:rPr>
        <w:sz w:val="24"/>
        <w:lang w:eastAsia="en-US"/>
      </w:rPr>
      <w:t>.0</w:t>
    </w:r>
    <w:r w:rsidR="00F7719A">
      <w:rPr>
        <w:sz w:val="24"/>
        <w:lang w:eastAsia="en-US"/>
      </w:rPr>
      <w:t>3</w:t>
    </w:r>
    <w:r>
      <w:rPr>
        <w:sz w:val="24"/>
        <w:lang w:eastAsia="en-US"/>
      </w:rPr>
      <w:t>.2</w:t>
    </w:r>
    <w:r w:rsidR="006113F2">
      <w:rPr>
        <w:sz w:val="24"/>
        <w:lang w:eastAsia="en-US"/>
      </w:rPr>
      <w:t>4</w:t>
    </w:r>
    <w:r w:rsidR="00CC45C4">
      <w:rPr>
        <w:sz w:val="24"/>
        <w:lang w:eastAsia="en-US"/>
      </w:rPr>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6524" w14:textId="0B8607A8" w:rsidR="00D151D0" w:rsidRPr="00DA2CFA" w:rsidRDefault="00D151D0" w:rsidP="004D2CF9">
    <w:pPr>
      <w:pStyle w:val="Header"/>
      <w:jc w:val="cent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54122"/>
    <w:multiLevelType w:val="hybridMultilevel"/>
    <w:tmpl w:val="063A29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6F2579"/>
    <w:multiLevelType w:val="hybridMultilevel"/>
    <w:tmpl w:val="84C89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EA10F7"/>
    <w:multiLevelType w:val="hybridMultilevel"/>
    <w:tmpl w:val="89D2C20C"/>
    <w:lvl w:ilvl="0" w:tplc="C3C29848">
      <w:start w:val="1"/>
      <w:numFmt w:val="decimal"/>
      <w:lvlText w:val="%1."/>
      <w:lvlJc w:val="left"/>
      <w:pPr>
        <w:ind w:left="720" w:hanging="360"/>
      </w:pPr>
      <w:rPr>
        <w:rFonts w:cs="Arial"/>
        <w:color w:val="1E1E1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BE05327"/>
    <w:multiLevelType w:val="hybridMultilevel"/>
    <w:tmpl w:val="16180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772488"/>
    <w:multiLevelType w:val="hybridMultilevel"/>
    <w:tmpl w:val="58263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3A2935"/>
    <w:multiLevelType w:val="hybridMultilevel"/>
    <w:tmpl w:val="2BB67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7F560A"/>
    <w:multiLevelType w:val="hybridMultilevel"/>
    <w:tmpl w:val="16E6E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74389E"/>
    <w:multiLevelType w:val="hybridMultilevel"/>
    <w:tmpl w:val="1A9C54F0"/>
    <w:lvl w:ilvl="0" w:tplc="F1726C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C022D47"/>
    <w:multiLevelType w:val="hybridMultilevel"/>
    <w:tmpl w:val="2DDCD00E"/>
    <w:lvl w:ilvl="0" w:tplc="077698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0290722"/>
    <w:multiLevelType w:val="hybridMultilevel"/>
    <w:tmpl w:val="16180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A419E2"/>
    <w:multiLevelType w:val="hybridMultilevel"/>
    <w:tmpl w:val="2B26DD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07363AF"/>
    <w:multiLevelType w:val="hybridMultilevel"/>
    <w:tmpl w:val="FD86C9FA"/>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785267531">
    <w:abstractNumId w:val="0"/>
  </w:num>
  <w:num w:numId="2" w16cid:durableId="977031039">
    <w:abstractNumId w:val="9"/>
  </w:num>
  <w:num w:numId="3" w16cid:durableId="1619800576">
    <w:abstractNumId w:val="8"/>
  </w:num>
  <w:num w:numId="4" w16cid:durableId="72089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91524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7011625">
    <w:abstractNumId w:val="2"/>
  </w:num>
  <w:num w:numId="7" w16cid:durableId="1402026853">
    <w:abstractNumId w:val="7"/>
  </w:num>
  <w:num w:numId="8" w16cid:durableId="1770349257">
    <w:abstractNumId w:val="5"/>
  </w:num>
  <w:num w:numId="9" w16cid:durableId="556015149">
    <w:abstractNumId w:val="6"/>
  </w:num>
  <w:num w:numId="10" w16cid:durableId="669335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4908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4580838">
    <w:abstractNumId w:val="4"/>
  </w:num>
  <w:num w:numId="13" w16cid:durableId="247084937">
    <w:abstractNumId w:val="1"/>
  </w:num>
  <w:num w:numId="14" w16cid:durableId="1293360696">
    <w:abstractNumId w:val="12"/>
  </w:num>
  <w:num w:numId="15" w16cid:durableId="128669487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Xho12U/7sLmmiFh0XW2yQmSsLEoQXnRLk9I3RpG0TRwQolQ8Hir89PmNFBSu/T1HNdwvdg01PeKKFZprmK5rA==" w:salt="emZxvMCztCLlsnrfOP3W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312 CS 12 March 2024"/>
    <w:docVar w:name="Trove_G_1_Withdraw" w:val="-1"/>
    <w:docVar w:name="Trove_H_Title_1" w:val="240312 CS 12 March 2024"/>
    <w:docVar w:name="Trove_H_Version_1" w:val=" "/>
  </w:docVars>
  <w:rsids>
    <w:rsidRoot w:val="006113F2"/>
    <w:rsid w:val="00014C37"/>
    <w:rsid w:val="00016C5B"/>
    <w:rsid w:val="00022EEE"/>
    <w:rsid w:val="00023D05"/>
    <w:rsid w:val="00024B87"/>
    <w:rsid w:val="00036EBA"/>
    <w:rsid w:val="000415E1"/>
    <w:rsid w:val="0004657A"/>
    <w:rsid w:val="000574A5"/>
    <w:rsid w:val="00060E74"/>
    <w:rsid w:val="00065290"/>
    <w:rsid w:val="0006604C"/>
    <w:rsid w:val="00082F90"/>
    <w:rsid w:val="00084E28"/>
    <w:rsid w:val="0009010E"/>
    <w:rsid w:val="000A3A77"/>
    <w:rsid w:val="000A7737"/>
    <w:rsid w:val="000B19F9"/>
    <w:rsid w:val="000B6507"/>
    <w:rsid w:val="000C075E"/>
    <w:rsid w:val="000C1617"/>
    <w:rsid w:val="000C44FC"/>
    <w:rsid w:val="000E0ABA"/>
    <w:rsid w:val="000E3287"/>
    <w:rsid w:val="000F089B"/>
    <w:rsid w:val="00104E67"/>
    <w:rsid w:val="0011488C"/>
    <w:rsid w:val="001162EC"/>
    <w:rsid w:val="001360CE"/>
    <w:rsid w:val="00161AFC"/>
    <w:rsid w:val="001653C9"/>
    <w:rsid w:val="00182FA0"/>
    <w:rsid w:val="00183A92"/>
    <w:rsid w:val="00190E23"/>
    <w:rsid w:val="001B0743"/>
    <w:rsid w:val="001B2B65"/>
    <w:rsid w:val="001C44DF"/>
    <w:rsid w:val="001C4514"/>
    <w:rsid w:val="001D6E70"/>
    <w:rsid w:val="001D7394"/>
    <w:rsid w:val="001E06BF"/>
    <w:rsid w:val="001E128E"/>
    <w:rsid w:val="001E5F5E"/>
    <w:rsid w:val="001F1176"/>
    <w:rsid w:val="00204740"/>
    <w:rsid w:val="002245E0"/>
    <w:rsid w:val="00230DAB"/>
    <w:rsid w:val="002317A3"/>
    <w:rsid w:val="0023376A"/>
    <w:rsid w:val="00245A31"/>
    <w:rsid w:val="00257CE1"/>
    <w:rsid w:val="002605DD"/>
    <w:rsid w:val="00264B05"/>
    <w:rsid w:val="00284B8E"/>
    <w:rsid w:val="002A0C50"/>
    <w:rsid w:val="002A5080"/>
    <w:rsid w:val="002C1360"/>
    <w:rsid w:val="002D1DAF"/>
    <w:rsid w:val="002D591B"/>
    <w:rsid w:val="002E5F69"/>
    <w:rsid w:val="002F0ADB"/>
    <w:rsid w:val="002F7F15"/>
    <w:rsid w:val="00313E2F"/>
    <w:rsid w:val="00326402"/>
    <w:rsid w:val="00332AC4"/>
    <w:rsid w:val="003330EF"/>
    <w:rsid w:val="00343303"/>
    <w:rsid w:val="003459EB"/>
    <w:rsid w:val="00347535"/>
    <w:rsid w:val="003970DA"/>
    <w:rsid w:val="003A31DF"/>
    <w:rsid w:val="003B763E"/>
    <w:rsid w:val="003C1B3D"/>
    <w:rsid w:val="003C69AC"/>
    <w:rsid w:val="003E303B"/>
    <w:rsid w:val="003F0536"/>
    <w:rsid w:val="003F2751"/>
    <w:rsid w:val="00401E72"/>
    <w:rsid w:val="00405611"/>
    <w:rsid w:val="00405EF5"/>
    <w:rsid w:val="004065C3"/>
    <w:rsid w:val="00423E16"/>
    <w:rsid w:val="0043080B"/>
    <w:rsid w:val="004455BE"/>
    <w:rsid w:val="00460953"/>
    <w:rsid w:val="00463F60"/>
    <w:rsid w:val="004663CF"/>
    <w:rsid w:val="00470424"/>
    <w:rsid w:val="004808B5"/>
    <w:rsid w:val="00480CAB"/>
    <w:rsid w:val="004A3E81"/>
    <w:rsid w:val="004A541B"/>
    <w:rsid w:val="004B18C5"/>
    <w:rsid w:val="004D2CF9"/>
    <w:rsid w:val="004D564F"/>
    <w:rsid w:val="004D588E"/>
    <w:rsid w:val="004E0C65"/>
    <w:rsid w:val="004E1684"/>
    <w:rsid w:val="004E2909"/>
    <w:rsid w:val="004E36E7"/>
    <w:rsid w:val="005138BA"/>
    <w:rsid w:val="00550EFD"/>
    <w:rsid w:val="00551DDB"/>
    <w:rsid w:val="00553008"/>
    <w:rsid w:val="0055603D"/>
    <w:rsid w:val="00557352"/>
    <w:rsid w:val="005602F2"/>
    <w:rsid w:val="00583A97"/>
    <w:rsid w:val="005907F5"/>
    <w:rsid w:val="00593CC5"/>
    <w:rsid w:val="005B7F60"/>
    <w:rsid w:val="005D6603"/>
    <w:rsid w:val="005F01AF"/>
    <w:rsid w:val="005F12A0"/>
    <w:rsid w:val="005F2888"/>
    <w:rsid w:val="005F50A3"/>
    <w:rsid w:val="006050D0"/>
    <w:rsid w:val="006113F2"/>
    <w:rsid w:val="00635EF4"/>
    <w:rsid w:val="006459EC"/>
    <w:rsid w:val="0065134F"/>
    <w:rsid w:val="0066190D"/>
    <w:rsid w:val="00663A2C"/>
    <w:rsid w:val="00667BC7"/>
    <w:rsid w:val="00687E9D"/>
    <w:rsid w:val="006961FB"/>
    <w:rsid w:val="006A231F"/>
    <w:rsid w:val="006A5EB9"/>
    <w:rsid w:val="006A691A"/>
    <w:rsid w:val="006B31D1"/>
    <w:rsid w:val="006B5CED"/>
    <w:rsid w:val="006B7905"/>
    <w:rsid w:val="006C6F92"/>
    <w:rsid w:val="006D1180"/>
    <w:rsid w:val="006D3FE6"/>
    <w:rsid w:val="00715D2B"/>
    <w:rsid w:val="00764F36"/>
    <w:rsid w:val="00780864"/>
    <w:rsid w:val="00785299"/>
    <w:rsid w:val="0078603C"/>
    <w:rsid w:val="00790502"/>
    <w:rsid w:val="00795629"/>
    <w:rsid w:val="007A53EE"/>
    <w:rsid w:val="007C096A"/>
    <w:rsid w:val="007C401E"/>
    <w:rsid w:val="007D4781"/>
    <w:rsid w:val="007E086D"/>
    <w:rsid w:val="007E3196"/>
    <w:rsid w:val="007E6B26"/>
    <w:rsid w:val="00801A83"/>
    <w:rsid w:val="00826850"/>
    <w:rsid w:val="00840A37"/>
    <w:rsid w:val="00842B23"/>
    <w:rsid w:val="00875AC5"/>
    <w:rsid w:val="008A277B"/>
    <w:rsid w:val="008A2BDF"/>
    <w:rsid w:val="008A5CCD"/>
    <w:rsid w:val="008A7B25"/>
    <w:rsid w:val="008C0442"/>
    <w:rsid w:val="008C0D92"/>
    <w:rsid w:val="008C13BC"/>
    <w:rsid w:val="008C2C06"/>
    <w:rsid w:val="008D5715"/>
    <w:rsid w:val="008E5D44"/>
    <w:rsid w:val="008F0BD2"/>
    <w:rsid w:val="008F4961"/>
    <w:rsid w:val="008F6C1F"/>
    <w:rsid w:val="009175F9"/>
    <w:rsid w:val="009209BE"/>
    <w:rsid w:val="00922DC8"/>
    <w:rsid w:val="0094230B"/>
    <w:rsid w:val="00943EB2"/>
    <w:rsid w:val="00975201"/>
    <w:rsid w:val="009817D4"/>
    <w:rsid w:val="0098335B"/>
    <w:rsid w:val="009D69BB"/>
    <w:rsid w:val="009E0E1F"/>
    <w:rsid w:val="009F3860"/>
    <w:rsid w:val="009F7886"/>
    <w:rsid w:val="00A1287F"/>
    <w:rsid w:val="00A24479"/>
    <w:rsid w:val="00A25359"/>
    <w:rsid w:val="00A40379"/>
    <w:rsid w:val="00A54EEB"/>
    <w:rsid w:val="00A65EC9"/>
    <w:rsid w:val="00A94D55"/>
    <w:rsid w:val="00AA3A8F"/>
    <w:rsid w:val="00AD4466"/>
    <w:rsid w:val="00AF0E41"/>
    <w:rsid w:val="00B020E5"/>
    <w:rsid w:val="00B0505E"/>
    <w:rsid w:val="00B16DD7"/>
    <w:rsid w:val="00B21671"/>
    <w:rsid w:val="00B23EB2"/>
    <w:rsid w:val="00B46709"/>
    <w:rsid w:val="00B46F23"/>
    <w:rsid w:val="00B52AF8"/>
    <w:rsid w:val="00B57F9B"/>
    <w:rsid w:val="00B608AA"/>
    <w:rsid w:val="00B63355"/>
    <w:rsid w:val="00B6703A"/>
    <w:rsid w:val="00B7682F"/>
    <w:rsid w:val="00B76E29"/>
    <w:rsid w:val="00B82CD8"/>
    <w:rsid w:val="00B85381"/>
    <w:rsid w:val="00BA2004"/>
    <w:rsid w:val="00BB5172"/>
    <w:rsid w:val="00BD1CBF"/>
    <w:rsid w:val="00BE3188"/>
    <w:rsid w:val="00BE38D4"/>
    <w:rsid w:val="00BE4FA7"/>
    <w:rsid w:val="00BF002E"/>
    <w:rsid w:val="00BF0A75"/>
    <w:rsid w:val="00BF32B9"/>
    <w:rsid w:val="00C062E0"/>
    <w:rsid w:val="00C06928"/>
    <w:rsid w:val="00C256A3"/>
    <w:rsid w:val="00C35D8C"/>
    <w:rsid w:val="00C415A6"/>
    <w:rsid w:val="00C5006A"/>
    <w:rsid w:val="00C50B48"/>
    <w:rsid w:val="00C5209F"/>
    <w:rsid w:val="00C61CDE"/>
    <w:rsid w:val="00C6254F"/>
    <w:rsid w:val="00C667D6"/>
    <w:rsid w:val="00C77782"/>
    <w:rsid w:val="00C81FEC"/>
    <w:rsid w:val="00C9029C"/>
    <w:rsid w:val="00CA62D4"/>
    <w:rsid w:val="00CC45C4"/>
    <w:rsid w:val="00CD0C66"/>
    <w:rsid w:val="00CD444B"/>
    <w:rsid w:val="00CE35A9"/>
    <w:rsid w:val="00D00A3A"/>
    <w:rsid w:val="00D0217E"/>
    <w:rsid w:val="00D0255D"/>
    <w:rsid w:val="00D11A7D"/>
    <w:rsid w:val="00D151D0"/>
    <w:rsid w:val="00D200E5"/>
    <w:rsid w:val="00D20373"/>
    <w:rsid w:val="00D23E4F"/>
    <w:rsid w:val="00D3212D"/>
    <w:rsid w:val="00D539E6"/>
    <w:rsid w:val="00D55D16"/>
    <w:rsid w:val="00D658E9"/>
    <w:rsid w:val="00D677A0"/>
    <w:rsid w:val="00D77652"/>
    <w:rsid w:val="00D92B49"/>
    <w:rsid w:val="00D94ADE"/>
    <w:rsid w:val="00D9646B"/>
    <w:rsid w:val="00DA0F70"/>
    <w:rsid w:val="00DA6C4D"/>
    <w:rsid w:val="00DB0DF0"/>
    <w:rsid w:val="00DB1D62"/>
    <w:rsid w:val="00DD3C3D"/>
    <w:rsid w:val="00DD7E32"/>
    <w:rsid w:val="00DF1FB6"/>
    <w:rsid w:val="00DF33B6"/>
    <w:rsid w:val="00DF3F07"/>
    <w:rsid w:val="00DF632B"/>
    <w:rsid w:val="00E069F4"/>
    <w:rsid w:val="00E11A96"/>
    <w:rsid w:val="00E2738B"/>
    <w:rsid w:val="00E31ABC"/>
    <w:rsid w:val="00E51A2B"/>
    <w:rsid w:val="00E522E2"/>
    <w:rsid w:val="00E73896"/>
    <w:rsid w:val="00E8218E"/>
    <w:rsid w:val="00E9574A"/>
    <w:rsid w:val="00E97D6D"/>
    <w:rsid w:val="00EA4766"/>
    <w:rsid w:val="00EA5529"/>
    <w:rsid w:val="00EA6EF5"/>
    <w:rsid w:val="00EB14F6"/>
    <w:rsid w:val="00EE4E26"/>
    <w:rsid w:val="00EE74A8"/>
    <w:rsid w:val="00F0329B"/>
    <w:rsid w:val="00F049B0"/>
    <w:rsid w:val="00F07B30"/>
    <w:rsid w:val="00F306FA"/>
    <w:rsid w:val="00F31B9C"/>
    <w:rsid w:val="00F5289A"/>
    <w:rsid w:val="00F54D2E"/>
    <w:rsid w:val="00F56B4C"/>
    <w:rsid w:val="00F61DCB"/>
    <w:rsid w:val="00F63488"/>
    <w:rsid w:val="00F63D18"/>
    <w:rsid w:val="00F7719A"/>
    <w:rsid w:val="00F771A3"/>
    <w:rsid w:val="00F81909"/>
    <w:rsid w:val="00FC1100"/>
    <w:rsid w:val="00FC1AEA"/>
    <w:rsid w:val="00FC58F6"/>
    <w:rsid w:val="00FF32DE"/>
    <w:rsid w:val="00FF60C9"/>
    <w:rsid w:val="12C62AE4"/>
    <w:rsid w:val="145D8B37"/>
    <w:rsid w:val="195994C0"/>
    <w:rsid w:val="3F61CC2F"/>
    <w:rsid w:val="4C6BD3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515C3"/>
  <w15:chartTrackingRefBased/>
  <w15:docId w15:val="{95FD9983-992F-4375-AC38-A336FE5D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3F2"/>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6113F2"/>
    <w:pPr>
      <w:keepNext/>
      <w:keepLines/>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6113F2"/>
    <w:pPr>
      <w:keepNext/>
      <w:keepLines/>
      <w:outlineLvl w:val="1"/>
    </w:pPr>
    <w:rPr>
      <w:rFonts w:eastAsiaTheme="majorEastAsia" w:cstheme="majorBidi"/>
      <w:szCs w:val="26"/>
    </w:rPr>
  </w:style>
  <w:style w:type="paragraph" w:styleId="Heading4">
    <w:name w:val="heading 4"/>
    <w:basedOn w:val="Normal"/>
    <w:next w:val="Normal"/>
    <w:link w:val="Heading4Char"/>
    <w:uiPriority w:val="9"/>
    <w:unhideWhenUsed/>
    <w:qFormat/>
    <w:rsid w:val="006113F2"/>
    <w:pPr>
      <w:keepNext/>
      <w:keepLines/>
      <w:spacing w:before="200"/>
      <w:outlineLvl w:val="3"/>
    </w:pPr>
    <w:rPr>
      <w:rFonts w:ascii="Calibri Light" w:eastAsia="Times New Roman" w:hAnsi="Calibri Light"/>
      <w:b/>
      <w:bCs/>
      <w:i/>
      <w:iCs/>
      <w:color w:val="4472C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13F2"/>
    <w:rPr>
      <w:rFonts w:ascii="Arial" w:eastAsiaTheme="majorEastAsia" w:hAnsi="Arial" w:cstheme="majorBidi"/>
      <w:b/>
      <w:caps/>
      <w:kern w:val="0"/>
      <w:sz w:val="28"/>
      <w:szCs w:val="32"/>
      <w14:ligatures w14:val="none"/>
    </w:rPr>
  </w:style>
  <w:style w:type="character" w:customStyle="1" w:styleId="Heading2Char">
    <w:name w:val="Heading 2 Char"/>
    <w:basedOn w:val="DefaultParagraphFont"/>
    <w:link w:val="Heading2"/>
    <w:uiPriority w:val="9"/>
    <w:rsid w:val="006113F2"/>
    <w:rPr>
      <w:rFonts w:ascii="Arial" w:eastAsiaTheme="majorEastAsia" w:hAnsi="Arial" w:cstheme="majorBidi"/>
      <w:kern w:val="0"/>
      <w:sz w:val="24"/>
      <w:szCs w:val="26"/>
      <w14:ligatures w14:val="none"/>
    </w:rPr>
  </w:style>
  <w:style w:type="character" w:customStyle="1" w:styleId="Heading4Char">
    <w:name w:val="Heading 4 Char"/>
    <w:basedOn w:val="DefaultParagraphFont"/>
    <w:link w:val="Heading4"/>
    <w:uiPriority w:val="9"/>
    <w:rsid w:val="006113F2"/>
    <w:rPr>
      <w:rFonts w:ascii="Calibri Light" w:eastAsia="Times New Roman" w:hAnsi="Calibri Light" w:cs="Times New Roman"/>
      <w:b/>
      <w:bCs/>
      <w:i/>
      <w:iCs/>
      <w:color w:val="4472C4"/>
      <w:kern w:val="0"/>
      <w14:ligatures w14:val="none"/>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6113F2"/>
    <w:pPr>
      <w:ind w:left="720"/>
    </w:pPr>
    <w:rPr>
      <w:rFonts w:ascii="Calibri" w:eastAsiaTheme="minorHAnsi" w:hAnsi="Calibri"/>
      <w:sz w:val="22"/>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6113F2"/>
    <w:rPr>
      <w:rFonts w:ascii="Calibri" w:hAnsi="Calibri" w:cs="Times New Roman"/>
      <w:kern w:val="0"/>
      <w14:ligatures w14:val="none"/>
    </w:rPr>
  </w:style>
  <w:style w:type="paragraph" w:customStyle="1" w:styleId="xxxmsonormal">
    <w:name w:val="x_xxmsonormal"/>
    <w:basedOn w:val="Normal"/>
    <w:rsid w:val="006113F2"/>
    <w:rPr>
      <w:rFonts w:ascii="Calibri" w:eastAsiaTheme="minorHAnsi" w:hAnsi="Calibri" w:cs="Calibri"/>
      <w:sz w:val="22"/>
      <w:lang w:eastAsia="en-GB"/>
    </w:rPr>
  </w:style>
  <w:style w:type="paragraph" w:styleId="BlockText">
    <w:name w:val="Block Text"/>
    <w:basedOn w:val="Normal"/>
    <w:autoRedefine/>
    <w:qFormat/>
    <w:rsid w:val="006113F2"/>
    <w:rPr>
      <w:rFonts w:eastAsia="Times New Roman" w:cs="Arial"/>
      <w:color w:val="000000"/>
      <w:szCs w:val="24"/>
    </w:rPr>
  </w:style>
  <w:style w:type="character" w:styleId="Strong">
    <w:name w:val="Strong"/>
    <w:basedOn w:val="DefaultParagraphFont"/>
    <w:uiPriority w:val="22"/>
    <w:qFormat/>
    <w:rsid w:val="006113F2"/>
    <w:rPr>
      <w:b/>
      <w:bCs/>
    </w:rPr>
  </w:style>
  <w:style w:type="table" w:styleId="TableGrid">
    <w:name w:val="Table Grid"/>
    <w:basedOn w:val="TableNormal"/>
    <w:uiPriority w:val="39"/>
    <w:rsid w:val="006113F2"/>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0">
    <w:name w:val="Normal_0_0"/>
    <w:qFormat/>
    <w:rsid w:val="006113F2"/>
    <w:pPr>
      <w:spacing w:after="0" w:line="240" w:lineRule="auto"/>
    </w:pPr>
    <w:rPr>
      <w:rFonts w:ascii="Arial" w:eastAsia="Times New Roman" w:hAnsi="Arial" w:cs="Times New Roman"/>
      <w:kern w:val="0"/>
      <w:sz w:val="20"/>
      <w:szCs w:val="20"/>
      <w:lang w:eastAsia="en-GB"/>
      <w14:ligatures w14:val="none"/>
    </w:rPr>
  </w:style>
  <w:style w:type="paragraph" w:customStyle="1" w:styleId="Normal0">
    <w:name w:val="Normal_0"/>
    <w:qFormat/>
    <w:rsid w:val="006113F2"/>
    <w:pPr>
      <w:spacing w:after="0" w:line="240" w:lineRule="auto"/>
    </w:pPr>
    <w:rPr>
      <w:rFonts w:ascii="Arial" w:eastAsia="Times New Roman" w:hAnsi="Arial" w:cs="Times New Roman"/>
      <w:kern w:val="0"/>
      <w:sz w:val="20"/>
      <w:szCs w:val="20"/>
      <w:lang w:eastAsia="en-GB"/>
      <w14:ligatures w14:val="none"/>
    </w:rPr>
  </w:style>
  <w:style w:type="character" w:styleId="Hyperlink">
    <w:name w:val="Hyperlink"/>
    <w:uiPriority w:val="99"/>
    <w:unhideWhenUsed/>
    <w:rsid w:val="006113F2"/>
    <w:rPr>
      <w:color w:val="0000FF"/>
      <w:u w:val="single"/>
    </w:rPr>
  </w:style>
  <w:style w:type="paragraph" w:styleId="NormalWeb">
    <w:name w:val="Normal (Web)"/>
    <w:basedOn w:val="Normal"/>
    <w:uiPriority w:val="99"/>
    <w:unhideWhenUsed/>
    <w:rsid w:val="006113F2"/>
    <w:pPr>
      <w:spacing w:before="100" w:beforeAutospacing="1" w:after="100" w:afterAutospacing="1"/>
    </w:pPr>
    <w:rPr>
      <w:rFonts w:ascii="Times New Roman" w:eastAsia="Times New Roman" w:hAnsi="Times New Roman"/>
      <w:szCs w:val="24"/>
      <w:lang w:eastAsia="en-GB"/>
    </w:rPr>
  </w:style>
  <w:style w:type="paragraph" w:styleId="Header">
    <w:name w:val="header"/>
    <w:basedOn w:val="Normal0"/>
    <w:link w:val="HeaderChar"/>
    <w:unhideWhenUsed/>
    <w:rsid w:val="006113F2"/>
    <w:pPr>
      <w:tabs>
        <w:tab w:val="center" w:pos="4513"/>
        <w:tab w:val="right" w:pos="9026"/>
      </w:tabs>
    </w:pPr>
  </w:style>
  <w:style w:type="character" w:customStyle="1" w:styleId="HeaderChar">
    <w:name w:val="Header Char"/>
    <w:basedOn w:val="DefaultParagraphFont"/>
    <w:link w:val="Header"/>
    <w:rsid w:val="006113F2"/>
    <w:rPr>
      <w:rFonts w:ascii="Arial" w:eastAsia="Times New Roman" w:hAnsi="Arial" w:cs="Times New Roman"/>
      <w:kern w:val="0"/>
      <w:sz w:val="20"/>
      <w:szCs w:val="20"/>
      <w:lang w:eastAsia="en-GB"/>
      <w14:ligatures w14:val="none"/>
    </w:rPr>
  </w:style>
  <w:style w:type="paragraph" w:styleId="Footer">
    <w:name w:val="footer"/>
    <w:basedOn w:val="Normal0"/>
    <w:link w:val="FooterChar"/>
    <w:uiPriority w:val="99"/>
    <w:unhideWhenUsed/>
    <w:rsid w:val="006113F2"/>
    <w:pPr>
      <w:tabs>
        <w:tab w:val="center" w:pos="4513"/>
        <w:tab w:val="right" w:pos="9026"/>
      </w:tabs>
    </w:pPr>
  </w:style>
  <w:style w:type="character" w:customStyle="1" w:styleId="FooterChar">
    <w:name w:val="Footer Char"/>
    <w:basedOn w:val="DefaultParagraphFont"/>
    <w:link w:val="Footer"/>
    <w:uiPriority w:val="99"/>
    <w:rsid w:val="006113F2"/>
    <w:rPr>
      <w:rFonts w:ascii="Arial" w:eastAsia="Times New Roman" w:hAnsi="Arial" w:cs="Times New Roman"/>
      <w:kern w:val="0"/>
      <w:sz w:val="20"/>
      <w:szCs w:val="20"/>
      <w:lang w:eastAsia="en-GB"/>
      <w14:ligatures w14:val="none"/>
    </w:rPr>
  </w:style>
  <w:style w:type="paragraph" w:styleId="BodyTextIndent2">
    <w:name w:val="Body Text Indent 2"/>
    <w:basedOn w:val="Normal"/>
    <w:link w:val="BodyTextIndent2Char"/>
    <w:uiPriority w:val="99"/>
    <w:unhideWhenUsed/>
    <w:rsid w:val="006113F2"/>
    <w:pPr>
      <w:spacing w:after="120" w:line="480" w:lineRule="auto"/>
      <w:ind w:left="283"/>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6113F2"/>
    <w:rPr>
      <w:rFonts w:ascii="Times New Roman" w:hAnsi="Times New Roman" w:cs="Times New Roman"/>
      <w:kern w:val="0"/>
      <w:sz w:val="20"/>
      <w:szCs w:val="20"/>
      <w14:ligatures w14:val="none"/>
    </w:rPr>
  </w:style>
  <w:style w:type="paragraph" w:customStyle="1" w:styleId="BulletText2">
    <w:name w:val="Bullet Text 2"/>
    <w:basedOn w:val="Normal"/>
    <w:rsid w:val="006113F2"/>
    <w:pPr>
      <w:numPr>
        <w:numId w:val="1"/>
      </w:numPr>
      <w:ind w:left="346"/>
    </w:pPr>
    <w:rPr>
      <w:rFonts w:ascii="Times New Roman" w:eastAsia="Times New Roman" w:hAnsi="Times New Roman"/>
      <w:color w:val="000000"/>
      <w:szCs w:val="20"/>
      <w:lang w:val="en-US"/>
    </w:rPr>
  </w:style>
  <w:style w:type="paragraph" w:styleId="PlainText">
    <w:name w:val="Plain Text"/>
    <w:basedOn w:val="Normal"/>
    <w:link w:val="PlainTextChar"/>
    <w:uiPriority w:val="99"/>
    <w:unhideWhenUsed/>
    <w:rsid w:val="006113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113F2"/>
    <w:rPr>
      <w:rFonts w:ascii="Calibri" w:hAnsi="Calibri"/>
      <w:kern w:val="0"/>
      <w:szCs w:val="21"/>
      <w14:ligatures w14:val="none"/>
    </w:rPr>
  </w:style>
  <w:style w:type="paragraph" w:styleId="FootnoteText">
    <w:name w:val="footnote text"/>
    <w:basedOn w:val="Normal"/>
    <w:link w:val="FootnoteTextChar"/>
    <w:uiPriority w:val="99"/>
    <w:semiHidden/>
    <w:unhideWhenUsed/>
    <w:rsid w:val="006113F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113F2"/>
    <w:rPr>
      <w:kern w:val="0"/>
      <w:sz w:val="20"/>
      <w:szCs w:val="20"/>
      <w14:ligatures w14:val="none"/>
    </w:rPr>
  </w:style>
  <w:style w:type="character" w:styleId="FootnoteReference">
    <w:name w:val="footnote reference"/>
    <w:basedOn w:val="DefaultParagraphFont"/>
    <w:uiPriority w:val="99"/>
    <w:semiHidden/>
    <w:unhideWhenUsed/>
    <w:rsid w:val="006113F2"/>
    <w:rPr>
      <w:vertAlign w:val="superscript"/>
    </w:rPr>
  </w:style>
  <w:style w:type="paragraph" w:styleId="Revision">
    <w:name w:val="Revision"/>
    <w:hidden/>
    <w:uiPriority w:val="99"/>
    <w:semiHidden/>
    <w:rsid w:val="006113F2"/>
    <w:pPr>
      <w:spacing w:after="0" w:line="240" w:lineRule="auto"/>
    </w:pPr>
    <w:rPr>
      <w:rFonts w:ascii="Arial" w:eastAsia="Calibri" w:hAnsi="Arial" w:cs="Times New Roman"/>
      <w:kern w:val="0"/>
      <w:sz w:val="24"/>
      <w14:ligatures w14:val="none"/>
    </w:rPr>
  </w:style>
  <w:style w:type="paragraph" w:customStyle="1" w:styleId="xmsonormal">
    <w:name w:val="x_msonormal"/>
    <w:basedOn w:val="Normal"/>
    <w:uiPriority w:val="99"/>
    <w:rsid w:val="006113F2"/>
    <w:rPr>
      <w:rFonts w:ascii="Calibri" w:eastAsiaTheme="minorHAnsi" w:hAnsi="Calibri" w:cs="Calibri"/>
      <w:sz w:val="22"/>
      <w:lang w:eastAsia="en-GB"/>
    </w:rPr>
  </w:style>
  <w:style w:type="paragraph" w:styleId="BalloonText">
    <w:name w:val="Balloon Text"/>
    <w:basedOn w:val="Normal"/>
    <w:link w:val="BalloonTextChar"/>
    <w:unhideWhenUsed/>
    <w:rsid w:val="006113F2"/>
    <w:rPr>
      <w:rFonts w:ascii="Segoe UI" w:hAnsi="Segoe UI" w:cs="Segoe UI"/>
      <w:sz w:val="18"/>
      <w:szCs w:val="18"/>
    </w:rPr>
  </w:style>
  <w:style w:type="character" w:customStyle="1" w:styleId="BalloonTextChar">
    <w:name w:val="Balloon Text Char"/>
    <w:basedOn w:val="DefaultParagraphFont"/>
    <w:link w:val="BalloonText"/>
    <w:rsid w:val="006113F2"/>
    <w:rPr>
      <w:rFonts w:ascii="Segoe UI" w:eastAsia="Calibri" w:hAnsi="Segoe UI" w:cs="Segoe UI"/>
      <w:kern w:val="0"/>
      <w:sz w:val="18"/>
      <w:szCs w:val="18"/>
      <w14:ligatures w14:val="none"/>
    </w:rPr>
  </w:style>
  <w:style w:type="table" w:styleId="GridTable4-Accent5">
    <w:name w:val="Grid Table 4 Accent 5"/>
    <w:basedOn w:val="TableNormal"/>
    <w:uiPriority w:val="49"/>
    <w:rsid w:val="006113F2"/>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gmail-s1ppyq">
    <w:name w:val="gmail-s1ppyq"/>
    <w:basedOn w:val="DefaultParagraphFont"/>
    <w:rsid w:val="006113F2"/>
  </w:style>
  <w:style w:type="character" w:customStyle="1" w:styleId="gmail-apple-converted-space">
    <w:name w:val="gmail-apple-converted-space"/>
    <w:basedOn w:val="DefaultParagraphFont"/>
    <w:rsid w:val="006113F2"/>
  </w:style>
  <w:style w:type="table" w:styleId="ListTable4-Accent5">
    <w:name w:val="List Table 4 Accent 5"/>
    <w:basedOn w:val="TableNormal"/>
    <w:uiPriority w:val="49"/>
    <w:rsid w:val="006113F2"/>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ontentpasted0">
    <w:name w:val="contentpasted0"/>
    <w:basedOn w:val="DefaultParagraphFont"/>
    <w:rsid w:val="006113F2"/>
  </w:style>
  <w:style w:type="character" w:customStyle="1" w:styleId="bumpedfont15">
    <w:name w:val="bumpedfont15"/>
    <w:basedOn w:val="DefaultParagraphFont"/>
    <w:rsid w:val="006113F2"/>
  </w:style>
  <w:style w:type="character" w:customStyle="1" w:styleId="apple-converted-space">
    <w:name w:val="apple-converted-space"/>
    <w:basedOn w:val="DefaultParagraphFont"/>
    <w:rsid w:val="006113F2"/>
  </w:style>
  <w:style w:type="character" w:customStyle="1" w:styleId="s1">
    <w:name w:val="s1"/>
    <w:basedOn w:val="DefaultParagraphFont"/>
    <w:rsid w:val="006113F2"/>
  </w:style>
  <w:style w:type="character" w:customStyle="1" w:styleId="s2">
    <w:name w:val="s2"/>
    <w:basedOn w:val="DefaultParagraphFont"/>
    <w:rsid w:val="006113F2"/>
  </w:style>
  <w:style w:type="character" w:customStyle="1" w:styleId="s3">
    <w:name w:val="s3"/>
    <w:basedOn w:val="DefaultParagraphFont"/>
    <w:rsid w:val="006113F2"/>
  </w:style>
  <w:style w:type="numbering" w:customStyle="1" w:styleId="NoList1">
    <w:name w:val="No List1"/>
    <w:next w:val="NoList"/>
    <w:semiHidden/>
    <w:rsid w:val="006113F2"/>
  </w:style>
  <w:style w:type="paragraph" w:customStyle="1" w:styleId="Classification">
    <w:name w:val="Classification"/>
    <w:basedOn w:val="Normal0"/>
    <w:qFormat/>
    <w:rsid w:val="006113F2"/>
    <w:pPr>
      <w:spacing w:before="120" w:after="120"/>
      <w:jc w:val="both"/>
    </w:pPr>
    <w:rPr>
      <w:rFonts w:eastAsia="Calibri" w:cs="Arial"/>
      <w:sz w:val="24"/>
      <w:szCs w:val="24"/>
      <w:lang w:eastAsia="en-US"/>
    </w:rPr>
  </w:style>
  <w:style w:type="character" w:styleId="PlaceholderText">
    <w:name w:val="Placeholder Text"/>
    <w:uiPriority w:val="99"/>
    <w:semiHidden/>
    <w:rsid w:val="006113F2"/>
    <w:rPr>
      <w:rFonts w:ascii="Arial" w:eastAsia="Calibri" w:hAnsi="Arial"/>
      <w:color w:val="808080"/>
    </w:rPr>
  </w:style>
  <w:style w:type="paragraph" w:customStyle="1" w:styleId="Normal1">
    <w:name w:val="Normal_1"/>
    <w:qFormat/>
    <w:rsid w:val="006113F2"/>
    <w:pPr>
      <w:spacing w:after="0" w:line="240" w:lineRule="auto"/>
    </w:pPr>
    <w:rPr>
      <w:rFonts w:ascii="Times New Roman" w:eastAsia="Times New Roman" w:hAnsi="Times New Roman" w:cs="Times New Roman"/>
      <w:kern w:val="0"/>
      <w:sz w:val="24"/>
      <w:szCs w:val="24"/>
      <w:lang w:eastAsia="en-GB"/>
      <w14:ligatures w14:val="none"/>
    </w:rPr>
  </w:style>
  <w:style w:type="numbering" w:customStyle="1" w:styleId="NoList2">
    <w:name w:val="No List2"/>
    <w:next w:val="NoList"/>
    <w:semiHidden/>
    <w:rsid w:val="006113F2"/>
  </w:style>
  <w:style w:type="numbering" w:customStyle="1" w:styleId="NoList3">
    <w:name w:val="No List3"/>
    <w:next w:val="NoList"/>
    <w:semiHidden/>
    <w:rsid w:val="006113F2"/>
  </w:style>
  <w:style w:type="table" w:customStyle="1" w:styleId="TableGrid1">
    <w:name w:val="Table Grid1"/>
    <w:basedOn w:val="TableNormal"/>
    <w:next w:val="TableGrid"/>
    <w:uiPriority w:val="39"/>
    <w:rsid w:val="006113F2"/>
    <w:pPr>
      <w:spacing w:after="0" w:line="240" w:lineRule="auto"/>
    </w:pPr>
    <w:rPr>
      <w:rFonts w:ascii="Arial" w:eastAsia="Calibri" w:hAnsi="Arial"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113F2"/>
    <w:pPr>
      <w:spacing w:after="0" w:line="240" w:lineRule="auto"/>
    </w:pPr>
    <w:rPr>
      <w:rFonts w:ascii="Calibri" w:eastAsia="Calibri" w:hAnsi="Calibri" w:cs="Times New Roman"/>
      <w:kern w:val="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6113F2"/>
    <w:rPr>
      <w:sz w:val="16"/>
      <w:szCs w:val="16"/>
    </w:rPr>
  </w:style>
  <w:style w:type="paragraph" w:styleId="CommentText">
    <w:name w:val="annotation text"/>
    <w:basedOn w:val="Normal"/>
    <w:link w:val="CommentTextChar"/>
    <w:rsid w:val="006113F2"/>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rsid w:val="006113F2"/>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rsid w:val="006113F2"/>
    <w:rPr>
      <w:b/>
      <w:bCs/>
    </w:rPr>
  </w:style>
  <w:style w:type="character" w:customStyle="1" w:styleId="CommentSubjectChar">
    <w:name w:val="Comment Subject Char"/>
    <w:basedOn w:val="CommentTextChar"/>
    <w:link w:val="CommentSubject"/>
    <w:rsid w:val="006113F2"/>
    <w:rPr>
      <w:rFonts w:ascii="Times New Roman" w:eastAsia="Times New Roman" w:hAnsi="Times New Roman" w:cs="Times New Roman"/>
      <w:b/>
      <w:bCs/>
      <w:kern w:val="0"/>
      <w:sz w:val="20"/>
      <w:szCs w:val="20"/>
      <w:lang w:eastAsia="en-GB"/>
      <w14:ligatures w14:val="none"/>
    </w:rPr>
  </w:style>
  <w:style w:type="numbering" w:customStyle="1" w:styleId="NoList4">
    <w:name w:val="No List4"/>
    <w:next w:val="NoList"/>
    <w:semiHidden/>
    <w:rsid w:val="006113F2"/>
  </w:style>
  <w:style w:type="paragraph" w:styleId="BodyText">
    <w:name w:val="Body Text"/>
    <w:basedOn w:val="Normal"/>
    <w:link w:val="BodyTextChar"/>
    <w:uiPriority w:val="99"/>
    <w:semiHidden/>
    <w:unhideWhenUsed/>
    <w:rsid w:val="006113F2"/>
    <w:pPr>
      <w:spacing w:after="120"/>
    </w:pPr>
  </w:style>
  <w:style w:type="character" w:customStyle="1" w:styleId="BodyTextChar">
    <w:name w:val="Body Text Char"/>
    <w:basedOn w:val="DefaultParagraphFont"/>
    <w:link w:val="BodyText"/>
    <w:uiPriority w:val="99"/>
    <w:semiHidden/>
    <w:rsid w:val="006113F2"/>
    <w:rPr>
      <w:rFonts w:ascii="Arial" w:eastAsia="Calibri" w:hAnsi="Arial" w:cs="Times New Roman"/>
      <w:kern w:val="0"/>
      <w:sz w:val="24"/>
      <w14:ligatures w14:val="none"/>
    </w:rPr>
  </w:style>
  <w:style w:type="numbering" w:customStyle="1" w:styleId="NoList5">
    <w:name w:val="No List5"/>
    <w:next w:val="NoList"/>
    <w:semiHidden/>
    <w:unhideWhenUsed/>
    <w:rsid w:val="006113F2"/>
  </w:style>
  <w:style w:type="table" w:customStyle="1" w:styleId="TableGrid2">
    <w:name w:val="Table Grid2"/>
    <w:basedOn w:val="TableNormal"/>
    <w:next w:val="TableGrid"/>
    <w:uiPriority w:val="39"/>
    <w:rsid w:val="006113F2"/>
    <w:pPr>
      <w:spacing w:after="0" w:line="240" w:lineRule="auto"/>
    </w:pPr>
    <w:rPr>
      <w:rFonts w:ascii="Arial" w:eastAsia="Calibri" w:hAnsi="Arial"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13F2"/>
    <w:pPr>
      <w:spacing w:before="100" w:beforeAutospacing="1" w:after="100" w:afterAutospacing="1"/>
    </w:pPr>
    <w:rPr>
      <w:rFonts w:eastAsia="Times New Roman"/>
      <w:szCs w:val="24"/>
      <w:lang w:eastAsia="en-GB"/>
    </w:rPr>
  </w:style>
  <w:style w:type="character" w:customStyle="1" w:styleId="normaltextrun">
    <w:name w:val="normaltextrun"/>
    <w:basedOn w:val="DefaultParagraphFont"/>
    <w:rsid w:val="006113F2"/>
  </w:style>
  <w:style w:type="character" w:customStyle="1" w:styleId="eop">
    <w:name w:val="eop"/>
    <w:basedOn w:val="DefaultParagraphFont"/>
    <w:rsid w:val="006113F2"/>
  </w:style>
  <w:style w:type="paragraph" w:customStyle="1" w:styleId="Default">
    <w:name w:val="Default"/>
    <w:rsid w:val="006113F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element-invisible">
    <w:name w:val="element-invisible"/>
    <w:basedOn w:val="DefaultParagraphFont"/>
    <w:rsid w:val="006113F2"/>
  </w:style>
  <w:style w:type="paragraph" w:customStyle="1" w:styleId="xcontentpasted0">
    <w:name w:val="x_contentpasted0"/>
    <w:basedOn w:val="Normal"/>
    <w:rsid w:val="008C0442"/>
    <w:rPr>
      <w:rFonts w:ascii="Calibri" w:eastAsiaTheme="minorHAnsi" w:hAnsi="Calibri" w:cs="Calibri"/>
      <w:sz w:val="22"/>
      <w:lang w:eastAsia="en-GB"/>
    </w:rPr>
  </w:style>
  <w:style w:type="character" w:customStyle="1" w:styleId="xxxxxxfont">
    <w:name w:val="x_xxxxxfont"/>
    <w:basedOn w:val="DefaultParagraphFont"/>
    <w:rsid w:val="00B52AF8"/>
  </w:style>
  <w:style w:type="paragraph" w:customStyle="1" w:styleId="li1">
    <w:name w:val="li1"/>
    <w:basedOn w:val="Normal"/>
    <w:rsid w:val="00023D05"/>
    <w:pPr>
      <w:spacing w:before="100" w:beforeAutospacing="1" w:after="100" w:afterAutospacing="1"/>
    </w:pPr>
    <w:rPr>
      <w:rFonts w:ascii="Calibri" w:eastAsiaTheme="minorHAnsi" w:hAnsi="Calibri" w:cs="Calibri"/>
      <w:sz w:val="22"/>
      <w:lang w:eastAsia="en-GB"/>
    </w:rPr>
  </w:style>
  <w:style w:type="character" w:styleId="Mention">
    <w:name w:val="Mention"/>
    <w:basedOn w:val="DefaultParagraphFont"/>
    <w:uiPriority w:val="99"/>
    <w:unhideWhenUsed/>
    <w:rsid w:val="009E0E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8751">
      <w:bodyDiv w:val="1"/>
      <w:marLeft w:val="0"/>
      <w:marRight w:val="0"/>
      <w:marTop w:val="0"/>
      <w:marBottom w:val="0"/>
      <w:divBdr>
        <w:top w:val="none" w:sz="0" w:space="0" w:color="auto"/>
        <w:left w:val="none" w:sz="0" w:space="0" w:color="auto"/>
        <w:bottom w:val="none" w:sz="0" w:space="0" w:color="auto"/>
        <w:right w:val="none" w:sz="0" w:space="0" w:color="auto"/>
      </w:divBdr>
    </w:div>
    <w:div w:id="81026311">
      <w:bodyDiv w:val="1"/>
      <w:marLeft w:val="0"/>
      <w:marRight w:val="0"/>
      <w:marTop w:val="0"/>
      <w:marBottom w:val="0"/>
      <w:divBdr>
        <w:top w:val="none" w:sz="0" w:space="0" w:color="auto"/>
        <w:left w:val="none" w:sz="0" w:space="0" w:color="auto"/>
        <w:bottom w:val="none" w:sz="0" w:space="0" w:color="auto"/>
        <w:right w:val="none" w:sz="0" w:space="0" w:color="auto"/>
      </w:divBdr>
    </w:div>
    <w:div w:id="93324002">
      <w:bodyDiv w:val="1"/>
      <w:marLeft w:val="0"/>
      <w:marRight w:val="0"/>
      <w:marTop w:val="0"/>
      <w:marBottom w:val="0"/>
      <w:divBdr>
        <w:top w:val="none" w:sz="0" w:space="0" w:color="auto"/>
        <w:left w:val="none" w:sz="0" w:space="0" w:color="auto"/>
        <w:bottom w:val="none" w:sz="0" w:space="0" w:color="auto"/>
        <w:right w:val="none" w:sz="0" w:space="0" w:color="auto"/>
      </w:divBdr>
    </w:div>
    <w:div w:id="203493831">
      <w:bodyDiv w:val="1"/>
      <w:marLeft w:val="0"/>
      <w:marRight w:val="0"/>
      <w:marTop w:val="0"/>
      <w:marBottom w:val="0"/>
      <w:divBdr>
        <w:top w:val="none" w:sz="0" w:space="0" w:color="auto"/>
        <w:left w:val="none" w:sz="0" w:space="0" w:color="auto"/>
        <w:bottom w:val="none" w:sz="0" w:space="0" w:color="auto"/>
        <w:right w:val="none" w:sz="0" w:space="0" w:color="auto"/>
      </w:divBdr>
    </w:div>
    <w:div w:id="458037118">
      <w:bodyDiv w:val="1"/>
      <w:marLeft w:val="0"/>
      <w:marRight w:val="0"/>
      <w:marTop w:val="0"/>
      <w:marBottom w:val="0"/>
      <w:divBdr>
        <w:top w:val="none" w:sz="0" w:space="0" w:color="auto"/>
        <w:left w:val="none" w:sz="0" w:space="0" w:color="auto"/>
        <w:bottom w:val="none" w:sz="0" w:space="0" w:color="auto"/>
        <w:right w:val="none" w:sz="0" w:space="0" w:color="auto"/>
      </w:divBdr>
    </w:div>
    <w:div w:id="516507658">
      <w:bodyDiv w:val="1"/>
      <w:marLeft w:val="0"/>
      <w:marRight w:val="0"/>
      <w:marTop w:val="0"/>
      <w:marBottom w:val="0"/>
      <w:divBdr>
        <w:top w:val="none" w:sz="0" w:space="0" w:color="auto"/>
        <w:left w:val="none" w:sz="0" w:space="0" w:color="auto"/>
        <w:bottom w:val="none" w:sz="0" w:space="0" w:color="auto"/>
        <w:right w:val="none" w:sz="0" w:space="0" w:color="auto"/>
      </w:divBdr>
    </w:div>
    <w:div w:id="522592927">
      <w:bodyDiv w:val="1"/>
      <w:marLeft w:val="0"/>
      <w:marRight w:val="0"/>
      <w:marTop w:val="0"/>
      <w:marBottom w:val="0"/>
      <w:divBdr>
        <w:top w:val="none" w:sz="0" w:space="0" w:color="auto"/>
        <w:left w:val="none" w:sz="0" w:space="0" w:color="auto"/>
        <w:bottom w:val="none" w:sz="0" w:space="0" w:color="auto"/>
        <w:right w:val="none" w:sz="0" w:space="0" w:color="auto"/>
      </w:divBdr>
    </w:div>
    <w:div w:id="674650585">
      <w:bodyDiv w:val="1"/>
      <w:marLeft w:val="0"/>
      <w:marRight w:val="0"/>
      <w:marTop w:val="0"/>
      <w:marBottom w:val="0"/>
      <w:divBdr>
        <w:top w:val="none" w:sz="0" w:space="0" w:color="auto"/>
        <w:left w:val="none" w:sz="0" w:space="0" w:color="auto"/>
        <w:bottom w:val="none" w:sz="0" w:space="0" w:color="auto"/>
        <w:right w:val="none" w:sz="0" w:space="0" w:color="auto"/>
      </w:divBdr>
    </w:div>
    <w:div w:id="711343836">
      <w:bodyDiv w:val="1"/>
      <w:marLeft w:val="0"/>
      <w:marRight w:val="0"/>
      <w:marTop w:val="0"/>
      <w:marBottom w:val="0"/>
      <w:divBdr>
        <w:top w:val="none" w:sz="0" w:space="0" w:color="auto"/>
        <w:left w:val="none" w:sz="0" w:space="0" w:color="auto"/>
        <w:bottom w:val="none" w:sz="0" w:space="0" w:color="auto"/>
        <w:right w:val="none" w:sz="0" w:space="0" w:color="auto"/>
      </w:divBdr>
    </w:div>
    <w:div w:id="795949617">
      <w:bodyDiv w:val="1"/>
      <w:marLeft w:val="0"/>
      <w:marRight w:val="0"/>
      <w:marTop w:val="0"/>
      <w:marBottom w:val="0"/>
      <w:divBdr>
        <w:top w:val="none" w:sz="0" w:space="0" w:color="auto"/>
        <w:left w:val="none" w:sz="0" w:space="0" w:color="auto"/>
        <w:bottom w:val="none" w:sz="0" w:space="0" w:color="auto"/>
        <w:right w:val="none" w:sz="0" w:space="0" w:color="auto"/>
      </w:divBdr>
    </w:div>
    <w:div w:id="942420796">
      <w:bodyDiv w:val="1"/>
      <w:marLeft w:val="0"/>
      <w:marRight w:val="0"/>
      <w:marTop w:val="0"/>
      <w:marBottom w:val="0"/>
      <w:divBdr>
        <w:top w:val="none" w:sz="0" w:space="0" w:color="auto"/>
        <w:left w:val="none" w:sz="0" w:space="0" w:color="auto"/>
        <w:bottom w:val="none" w:sz="0" w:space="0" w:color="auto"/>
        <w:right w:val="none" w:sz="0" w:space="0" w:color="auto"/>
      </w:divBdr>
    </w:div>
    <w:div w:id="1021011710">
      <w:bodyDiv w:val="1"/>
      <w:marLeft w:val="0"/>
      <w:marRight w:val="0"/>
      <w:marTop w:val="0"/>
      <w:marBottom w:val="0"/>
      <w:divBdr>
        <w:top w:val="none" w:sz="0" w:space="0" w:color="auto"/>
        <w:left w:val="none" w:sz="0" w:space="0" w:color="auto"/>
        <w:bottom w:val="none" w:sz="0" w:space="0" w:color="auto"/>
        <w:right w:val="none" w:sz="0" w:space="0" w:color="auto"/>
      </w:divBdr>
    </w:div>
    <w:div w:id="1215966174">
      <w:bodyDiv w:val="1"/>
      <w:marLeft w:val="0"/>
      <w:marRight w:val="0"/>
      <w:marTop w:val="0"/>
      <w:marBottom w:val="0"/>
      <w:divBdr>
        <w:top w:val="none" w:sz="0" w:space="0" w:color="auto"/>
        <w:left w:val="none" w:sz="0" w:space="0" w:color="auto"/>
        <w:bottom w:val="none" w:sz="0" w:space="0" w:color="auto"/>
        <w:right w:val="none" w:sz="0" w:space="0" w:color="auto"/>
      </w:divBdr>
    </w:div>
    <w:div w:id="1235702917">
      <w:bodyDiv w:val="1"/>
      <w:marLeft w:val="0"/>
      <w:marRight w:val="0"/>
      <w:marTop w:val="0"/>
      <w:marBottom w:val="0"/>
      <w:divBdr>
        <w:top w:val="none" w:sz="0" w:space="0" w:color="auto"/>
        <w:left w:val="none" w:sz="0" w:space="0" w:color="auto"/>
        <w:bottom w:val="none" w:sz="0" w:space="0" w:color="auto"/>
        <w:right w:val="none" w:sz="0" w:space="0" w:color="auto"/>
      </w:divBdr>
    </w:div>
    <w:div w:id="1377582576">
      <w:bodyDiv w:val="1"/>
      <w:marLeft w:val="0"/>
      <w:marRight w:val="0"/>
      <w:marTop w:val="0"/>
      <w:marBottom w:val="0"/>
      <w:divBdr>
        <w:top w:val="none" w:sz="0" w:space="0" w:color="auto"/>
        <w:left w:val="none" w:sz="0" w:space="0" w:color="auto"/>
        <w:bottom w:val="none" w:sz="0" w:space="0" w:color="auto"/>
        <w:right w:val="none" w:sz="0" w:space="0" w:color="auto"/>
      </w:divBdr>
    </w:div>
    <w:div w:id="1615013289">
      <w:bodyDiv w:val="1"/>
      <w:marLeft w:val="0"/>
      <w:marRight w:val="0"/>
      <w:marTop w:val="0"/>
      <w:marBottom w:val="0"/>
      <w:divBdr>
        <w:top w:val="none" w:sz="0" w:space="0" w:color="auto"/>
        <w:left w:val="none" w:sz="0" w:space="0" w:color="auto"/>
        <w:bottom w:val="none" w:sz="0" w:space="0" w:color="auto"/>
        <w:right w:val="none" w:sz="0" w:space="0" w:color="auto"/>
      </w:divBdr>
    </w:div>
    <w:div w:id="1820803820">
      <w:bodyDiv w:val="1"/>
      <w:marLeft w:val="0"/>
      <w:marRight w:val="0"/>
      <w:marTop w:val="0"/>
      <w:marBottom w:val="0"/>
      <w:divBdr>
        <w:top w:val="none" w:sz="0" w:space="0" w:color="auto"/>
        <w:left w:val="none" w:sz="0" w:space="0" w:color="auto"/>
        <w:bottom w:val="none" w:sz="0" w:space="0" w:color="auto"/>
        <w:right w:val="none" w:sz="0" w:space="0" w:color="auto"/>
      </w:divBdr>
    </w:div>
    <w:div w:id="1889417714">
      <w:bodyDiv w:val="1"/>
      <w:marLeft w:val="0"/>
      <w:marRight w:val="0"/>
      <w:marTop w:val="0"/>
      <w:marBottom w:val="0"/>
      <w:divBdr>
        <w:top w:val="none" w:sz="0" w:space="0" w:color="auto"/>
        <w:left w:val="none" w:sz="0" w:space="0" w:color="auto"/>
        <w:bottom w:val="none" w:sz="0" w:space="0" w:color="auto"/>
        <w:right w:val="none" w:sz="0" w:space="0" w:color="auto"/>
      </w:divBdr>
    </w:div>
    <w:div w:id="1912621372">
      <w:bodyDiv w:val="1"/>
      <w:marLeft w:val="0"/>
      <w:marRight w:val="0"/>
      <w:marTop w:val="0"/>
      <w:marBottom w:val="0"/>
      <w:divBdr>
        <w:top w:val="none" w:sz="0" w:space="0" w:color="auto"/>
        <w:left w:val="none" w:sz="0" w:space="0" w:color="auto"/>
        <w:bottom w:val="none" w:sz="0" w:space="0" w:color="auto"/>
        <w:right w:val="none" w:sz="0" w:space="0" w:color="auto"/>
      </w:divBdr>
    </w:div>
    <w:div w:id="1964118344">
      <w:bodyDiv w:val="1"/>
      <w:marLeft w:val="0"/>
      <w:marRight w:val="0"/>
      <w:marTop w:val="0"/>
      <w:marBottom w:val="0"/>
      <w:divBdr>
        <w:top w:val="none" w:sz="0" w:space="0" w:color="auto"/>
        <w:left w:val="none" w:sz="0" w:space="0" w:color="auto"/>
        <w:bottom w:val="none" w:sz="0" w:space="0" w:color="auto"/>
        <w:right w:val="none" w:sz="0" w:space="0" w:color="auto"/>
      </w:divBdr>
    </w:div>
    <w:div w:id="2000107646">
      <w:bodyDiv w:val="1"/>
      <w:marLeft w:val="0"/>
      <w:marRight w:val="0"/>
      <w:marTop w:val="0"/>
      <w:marBottom w:val="0"/>
      <w:divBdr>
        <w:top w:val="none" w:sz="0" w:space="0" w:color="auto"/>
        <w:left w:val="none" w:sz="0" w:space="0" w:color="auto"/>
        <w:bottom w:val="none" w:sz="0" w:space="0" w:color="auto"/>
        <w:right w:val="none" w:sz="0" w:space="0" w:color="auto"/>
      </w:divBdr>
    </w:div>
    <w:div w:id="2035112280">
      <w:bodyDiv w:val="1"/>
      <w:marLeft w:val="0"/>
      <w:marRight w:val="0"/>
      <w:marTop w:val="0"/>
      <w:marBottom w:val="0"/>
      <w:divBdr>
        <w:top w:val="none" w:sz="0" w:space="0" w:color="auto"/>
        <w:left w:val="none" w:sz="0" w:space="0" w:color="auto"/>
        <w:bottom w:val="none" w:sz="0" w:space="0" w:color="auto"/>
        <w:right w:val="none" w:sz="0" w:space="0" w:color="auto"/>
      </w:divBdr>
    </w:div>
    <w:div w:id="20525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2F716-2DF5-499A-845B-F2F08B84D2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0CB8A9-1E3C-49ED-911E-46CAA14BC0E8}">
  <ds:schemaRefs>
    <ds:schemaRef ds:uri="http://schemas.microsoft.com/sharepoint/v3/contenttype/forms"/>
  </ds:schemaRefs>
</ds:datastoreItem>
</file>

<file path=customXml/itemProps3.xml><?xml version="1.0" encoding="utf-8"?>
<ds:datastoreItem xmlns:ds="http://schemas.openxmlformats.org/officeDocument/2006/customXml" ds:itemID="{FF33D5FD-EE3E-4611-981D-FB14906B8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25</Pages>
  <Words>8631</Words>
  <Characters>49203</Characters>
  <Application>Microsoft Office Word</Application>
  <DocSecurity>8</DocSecurity>
  <Lines>410</Lines>
  <Paragraphs>115</Paragraphs>
  <ScaleCrop>false</ScaleCrop>
  <HeadingPairs>
    <vt:vector size="2" baseType="variant">
      <vt:variant>
        <vt:lpstr>Title</vt:lpstr>
      </vt:variant>
      <vt:variant>
        <vt:i4>1</vt:i4>
      </vt:variant>
    </vt:vector>
  </HeadingPairs>
  <TitlesOfParts>
    <vt:vector size="1" baseType="lpstr">
      <vt:lpstr>240312 CS 12 March 2024</vt:lpstr>
    </vt:vector>
  </TitlesOfParts>
  <Company>Ards and North Down Borough Council</Company>
  <LinksUpToDate>false</LinksUpToDate>
  <CharactersWithSpaces>57719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240312 CS 12 March 2024</dc:title>
  <dc:subject/>
  <dc:creator>Foster, Paulene</dc:creator>
  <cp:keywords/>
  <dc:description/>
  <cp:lastModifiedBy>Cull, Joshua</cp:lastModifiedBy>
  <cp:revision>77</cp:revision>
  <cp:lastPrinted>2024-03-21T10:28:00Z</cp:lastPrinted>
  <dcterms:created xsi:type="dcterms:W3CDTF">2024-03-14T17:54:00Z</dcterms:created>
  <dcterms:modified xsi:type="dcterms:W3CDTF">2026-01-09T10:32:00Z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