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6569F" w14:textId="77777777" w:rsidR="00D87848" w:rsidRPr="008C30F9" w:rsidRDefault="00D87848" w:rsidP="00D87848">
      <w:pPr>
        <w:jc w:val="center"/>
        <w:rPr>
          <w:rFonts w:cs="Arial"/>
          <w:b/>
          <w:caps/>
          <w:sz w:val="28"/>
          <w:szCs w:val="28"/>
          <w:u w:val="single"/>
        </w:rPr>
      </w:pPr>
      <w:r w:rsidRPr="008C30F9">
        <w:rPr>
          <w:rFonts w:cs="Arial"/>
          <w:b/>
          <w:caps/>
          <w:sz w:val="28"/>
          <w:szCs w:val="28"/>
          <w:u w:val="single"/>
        </w:rPr>
        <w:t>ARDS and North Down Borough Council</w:t>
      </w:r>
    </w:p>
    <w:p w14:paraId="05F6047B" w14:textId="77777777" w:rsidR="00D87848" w:rsidRPr="008C30F9" w:rsidRDefault="00D87848" w:rsidP="00D87848">
      <w:pPr>
        <w:rPr>
          <w:rFonts w:cs="Arial"/>
          <w:b/>
          <w:caps/>
          <w:szCs w:val="24"/>
          <w:u w:val="single"/>
        </w:rPr>
      </w:pPr>
    </w:p>
    <w:p w14:paraId="4A1699AE" w14:textId="0DFE1511" w:rsidR="00D87848" w:rsidRPr="008C30F9" w:rsidRDefault="00D87848" w:rsidP="00D87848">
      <w:pPr>
        <w:rPr>
          <w:rFonts w:cs="Arial"/>
        </w:rPr>
      </w:pPr>
      <w:r w:rsidRPr="008C30F9">
        <w:t xml:space="preserve">A hybrid </w:t>
      </w:r>
      <w:r w:rsidRPr="008C30F9">
        <w:rPr>
          <w:rFonts w:cs="Arial"/>
        </w:rPr>
        <w:t xml:space="preserve">(in person and via </w:t>
      </w:r>
      <w:r w:rsidR="00925A89">
        <w:rPr>
          <w:rFonts w:cs="Arial"/>
        </w:rPr>
        <w:t>z</w:t>
      </w:r>
      <w:r w:rsidRPr="008C30F9">
        <w:rPr>
          <w:rFonts w:cs="Arial"/>
        </w:rPr>
        <w:t xml:space="preserve">oom) </w:t>
      </w:r>
      <w:r w:rsidRPr="008C30F9">
        <w:t xml:space="preserve">meeting of the Corporate Services Committee was held at the Council Chamber, Church Street, Newtownards, and via Zoom, on </w:t>
      </w:r>
      <w:r w:rsidRPr="008C30F9">
        <w:rPr>
          <w:rFonts w:cs="Arial"/>
        </w:rPr>
        <w:t>Tuesday 1</w:t>
      </w:r>
      <w:r>
        <w:rPr>
          <w:rFonts w:cs="Arial"/>
        </w:rPr>
        <w:t>1 November</w:t>
      </w:r>
      <w:r w:rsidRPr="008C30F9">
        <w:rPr>
          <w:rFonts w:cs="Arial"/>
        </w:rPr>
        <w:t xml:space="preserve"> 2025 at 7.00pm. </w:t>
      </w:r>
    </w:p>
    <w:p w14:paraId="60128E7D" w14:textId="77777777" w:rsidR="00D87848" w:rsidRPr="008C30F9" w:rsidRDefault="00D87848" w:rsidP="00D87848">
      <w:pPr>
        <w:rPr>
          <w:rFonts w:cs="Arial"/>
          <w:b/>
          <w:szCs w:val="24"/>
        </w:rPr>
      </w:pPr>
    </w:p>
    <w:p w14:paraId="42F128ED" w14:textId="77777777" w:rsidR="00D87848" w:rsidRPr="008C30F9" w:rsidRDefault="00D87848" w:rsidP="00D87848">
      <w:pPr>
        <w:rPr>
          <w:rFonts w:eastAsiaTheme="minorHAnsi" w:cs="Arial"/>
          <w:b/>
          <w:caps/>
          <w:szCs w:val="24"/>
        </w:rPr>
      </w:pPr>
      <w:r w:rsidRPr="008C30F9">
        <w:rPr>
          <w:rFonts w:eastAsiaTheme="minorHAnsi" w:cs="Arial"/>
          <w:b/>
          <w:caps/>
          <w:szCs w:val="24"/>
          <w:u w:val="single"/>
        </w:rPr>
        <w:t>Present</w:t>
      </w:r>
      <w:r w:rsidRPr="008C30F9">
        <w:rPr>
          <w:rFonts w:eastAsiaTheme="minorHAnsi" w:cs="Arial"/>
          <w:b/>
          <w:caps/>
          <w:szCs w:val="24"/>
        </w:rPr>
        <w:t>:</w:t>
      </w:r>
      <w:r w:rsidRPr="008C30F9">
        <w:rPr>
          <w:rFonts w:eastAsiaTheme="minorHAnsi" w:cs="Arial"/>
          <w:b/>
          <w:caps/>
          <w:szCs w:val="24"/>
        </w:rPr>
        <w:tab/>
      </w:r>
      <w:r w:rsidRPr="008C30F9">
        <w:rPr>
          <w:rFonts w:eastAsiaTheme="minorHAnsi" w:cs="Arial"/>
          <w:b/>
          <w:caps/>
          <w:szCs w:val="24"/>
        </w:rPr>
        <w:tab/>
      </w:r>
    </w:p>
    <w:p w14:paraId="38BBEBEF" w14:textId="77777777" w:rsidR="00D87848" w:rsidRPr="008C30F9" w:rsidRDefault="00D87848" w:rsidP="00D87848">
      <w:pPr>
        <w:rPr>
          <w:rFonts w:eastAsiaTheme="minorHAnsi" w:cs="Arial"/>
          <w:b/>
          <w:szCs w:val="24"/>
        </w:rPr>
      </w:pPr>
    </w:p>
    <w:p w14:paraId="1C56EF84" w14:textId="77777777" w:rsidR="00D87848" w:rsidRPr="008C30F9" w:rsidRDefault="00D87848" w:rsidP="00D87848">
      <w:pPr>
        <w:tabs>
          <w:tab w:val="left" w:pos="2156"/>
        </w:tabs>
        <w:rPr>
          <w:rFonts w:eastAsiaTheme="minorHAnsi" w:cs="Arial"/>
          <w:bCs/>
          <w:szCs w:val="24"/>
        </w:rPr>
      </w:pPr>
      <w:r w:rsidRPr="008C30F9">
        <w:rPr>
          <w:rFonts w:eastAsiaTheme="minorHAnsi" w:cs="Arial"/>
          <w:b/>
          <w:szCs w:val="24"/>
        </w:rPr>
        <w:t>In the Chair:</w:t>
      </w:r>
      <w:r w:rsidRPr="008C30F9">
        <w:rPr>
          <w:rFonts w:eastAsiaTheme="minorHAnsi" w:cs="Arial"/>
          <w:b/>
          <w:szCs w:val="24"/>
        </w:rPr>
        <w:tab/>
      </w:r>
      <w:r w:rsidRPr="008C30F9">
        <w:rPr>
          <w:rFonts w:eastAsiaTheme="minorHAnsi" w:cs="Arial"/>
          <w:bCs/>
          <w:szCs w:val="24"/>
        </w:rPr>
        <w:t>Councillor Cochrane</w:t>
      </w:r>
      <w:r w:rsidRPr="008C30F9">
        <w:rPr>
          <w:rFonts w:eastAsiaTheme="minorHAnsi" w:cs="Arial"/>
          <w:b/>
          <w:szCs w:val="24"/>
        </w:rPr>
        <w:t xml:space="preserve"> </w:t>
      </w:r>
    </w:p>
    <w:p w14:paraId="4E2F5D90" w14:textId="77777777" w:rsidR="00D87848" w:rsidRPr="008C30F9" w:rsidRDefault="00D87848" w:rsidP="00D87848">
      <w:pPr>
        <w:tabs>
          <w:tab w:val="left" w:pos="2156"/>
        </w:tabs>
        <w:rPr>
          <w:rFonts w:eastAsiaTheme="minorHAnsi" w:cs="Arial"/>
          <w:b/>
          <w:szCs w:val="24"/>
        </w:rPr>
      </w:pPr>
    </w:p>
    <w:p w14:paraId="2A65B504" w14:textId="74D7E2CC" w:rsidR="00D87848" w:rsidRPr="00CA7D27" w:rsidRDefault="00D87848" w:rsidP="00D87848">
      <w:pPr>
        <w:tabs>
          <w:tab w:val="left" w:pos="2156"/>
          <w:tab w:val="left" w:pos="4536"/>
        </w:tabs>
        <w:rPr>
          <w:rFonts w:eastAsiaTheme="minorHAnsi" w:cs="Arial"/>
          <w:b/>
          <w:szCs w:val="24"/>
          <w:lang w:val="nl-NL"/>
        </w:rPr>
      </w:pPr>
      <w:r w:rsidRPr="00CA7D27">
        <w:rPr>
          <w:rFonts w:eastAsiaTheme="minorHAnsi" w:cs="Arial"/>
          <w:b/>
          <w:szCs w:val="24"/>
          <w:lang w:val="nl-NL"/>
        </w:rPr>
        <w:t>Aldermen:</w:t>
      </w:r>
      <w:r w:rsidRPr="00CA7D27">
        <w:rPr>
          <w:rFonts w:eastAsiaTheme="minorHAnsi" w:cs="Arial"/>
          <w:b/>
          <w:szCs w:val="24"/>
          <w:lang w:val="nl-NL"/>
        </w:rPr>
        <w:tab/>
      </w:r>
      <w:r w:rsidRPr="00CA7D27">
        <w:rPr>
          <w:rFonts w:eastAsiaTheme="minorHAnsi" w:cs="Arial"/>
          <w:bCs/>
          <w:szCs w:val="24"/>
          <w:lang w:val="nl-NL"/>
        </w:rPr>
        <w:t xml:space="preserve">Brooks </w:t>
      </w:r>
      <w:r w:rsidR="006A4C0A" w:rsidRPr="00CA7D27">
        <w:rPr>
          <w:rFonts w:eastAsiaTheme="minorHAnsi" w:cs="Arial"/>
          <w:bCs/>
          <w:szCs w:val="24"/>
          <w:lang w:val="nl-NL"/>
        </w:rPr>
        <w:t>(</w:t>
      </w:r>
      <w:r w:rsidR="001564DC">
        <w:rPr>
          <w:rFonts w:eastAsiaTheme="minorHAnsi" w:cs="Arial"/>
          <w:bCs/>
          <w:szCs w:val="24"/>
          <w:lang w:val="nl-NL"/>
        </w:rPr>
        <w:t>Z</w:t>
      </w:r>
      <w:r w:rsidR="006A4C0A" w:rsidRPr="00CA7D27">
        <w:rPr>
          <w:rFonts w:eastAsiaTheme="minorHAnsi" w:cs="Arial"/>
          <w:bCs/>
          <w:szCs w:val="24"/>
          <w:lang w:val="nl-NL"/>
        </w:rPr>
        <w:t>oom)</w:t>
      </w:r>
    </w:p>
    <w:p w14:paraId="0A254983" w14:textId="1ADE2562" w:rsidR="00D87848" w:rsidRPr="00CA7D27" w:rsidRDefault="00D87848" w:rsidP="00D87848">
      <w:pPr>
        <w:tabs>
          <w:tab w:val="left" w:pos="2156"/>
          <w:tab w:val="left" w:pos="4536"/>
        </w:tabs>
        <w:rPr>
          <w:rFonts w:eastAsiaTheme="minorHAnsi" w:cs="Arial"/>
          <w:bCs/>
          <w:szCs w:val="24"/>
          <w:lang w:val="nl-NL"/>
        </w:rPr>
      </w:pPr>
      <w:r w:rsidRPr="00CA7D27">
        <w:rPr>
          <w:rFonts w:eastAsiaTheme="minorHAnsi" w:cs="Arial"/>
          <w:b/>
          <w:szCs w:val="24"/>
          <w:lang w:val="nl-NL"/>
        </w:rPr>
        <w:tab/>
      </w:r>
      <w:r w:rsidRPr="00CA7D27">
        <w:rPr>
          <w:rFonts w:eastAsiaTheme="minorHAnsi" w:cs="Arial"/>
          <w:bCs/>
          <w:szCs w:val="24"/>
          <w:lang w:val="nl-NL"/>
        </w:rPr>
        <w:t xml:space="preserve">Graham </w:t>
      </w:r>
    </w:p>
    <w:p w14:paraId="5381E527" w14:textId="77777777" w:rsidR="00D87848" w:rsidRPr="00CA7D27" w:rsidRDefault="00D87848" w:rsidP="00D87848">
      <w:pPr>
        <w:tabs>
          <w:tab w:val="left" w:pos="2156"/>
          <w:tab w:val="left" w:pos="4536"/>
        </w:tabs>
        <w:rPr>
          <w:rFonts w:eastAsiaTheme="minorHAnsi" w:cs="Arial"/>
          <w:bCs/>
          <w:szCs w:val="24"/>
          <w:lang w:val="nl-NL"/>
        </w:rPr>
      </w:pPr>
      <w:r w:rsidRPr="00CA7D27">
        <w:rPr>
          <w:rFonts w:eastAsiaTheme="minorHAnsi" w:cs="Arial"/>
          <w:bCs/>
          <w:szCs w:val="24"/>
          <w:lang w:val="nl-NL"/>
        </w:rPr>
        <w:tab/>
        <w:t xml:space="preserve">McIlveen </w:t>
      </w:r>
    </w:p>
    <w:p w14:paraId="3940FCB5" w14:textId="2EAB6E1E" w:rsidR="00D87848" w:rsidRPr="00CA7D27" w:rsidRDefault="00D87848" w:rsidP="00D87848">
      <w:pPr>
        <w:tabs>
          <w:tab w:val="left" w:pos="2156"/>
          <w:tab w:val="left" w:pos="4536"/>
        </w:tabs>
        <w:rPr>
          <w:rFonts w:eastAsiaTheme="minorHAnsi" w:cs="Arial"/>
          <w:bCs/>
          <w:szCs w:val="24"/>
          <w:lang w:val="nl-NL"/>
        </w:rPr>
      </w:pPr>
      <w:r w:rsidRPr="00CA7D27">
        <w:rPr>
          <w:rFonts w:eastAsiaTheme="minorHAnsi" w:cs="Arial"/>
          <w:bCs/>
          <w:szCs w:val="24"/>
          <w:lang w:val="nl-NL"/>
        </w:rPr>
        <w:tab/>
        <w:t>Smith</w:t>
      </w:r>
      <w:r w:rsidR="006A4C0A" w:rsidRPr="00CA7D27">
        <w:rPr>
          <w:rFonts w:eastAsiaTheme="minorHAnsi" w:cs="Arial"/>
          <w:bCs/>
          <w:szCs w:val="24"/>
          <w:lang w:val="nl-NL"/>
        </w:rPr>
        <w:t xml:space="preserve"> (</w:t>
      </w:r>
      <w:r w:rsidR="001564DC">
        <w:rPr>
          <w:rFonts w:eastAsiaTheme="minorHAnsi" w:cs="Arial"/>
          <w:bCs/>
          <w:szCs w:val="24"/>
          <w:lang w:val="nl-NL"/>
        </w:rPr>
        <w:t>Z</w:t>
      </w:r>
      <w:r w:rsidR="006A4C0A" w:rsidRPr="00CA7D27">
        <w:rPr>
          <w:rFonts w:eastAsiaTheme="minorHAnsi" w:cs="Arial"/>
          <w:bCs/>
          <w:szCs w:val="24"/>
          <w:lang w:val="nl-NL"/>
        </w:rPr>
        <w:t>oom)</w:t>
      </w:r>
      <w:r w:rsidRPr="00CA7D27">
        <w:rPr>
          <w:rFonts w:eastAsiaTheme="minorHAnsi" w:cs="Arial"/>
          <w:bCs/>
          <w:szCs w:val="24"/>
          <w:lang w:val="nl-NL"/>
        </w:rPr>
        <w:tab/>
      </w:r>
    </w:p>
    <w:p w14:paraId="0D2B890B" w14:textId="77777777" w:rsidR="00D87848" w:rsidRPr="008C30F9" w:rsidRDefault="00D87848" w:rsidP="00D87848">
      <w:pPr>
        <w:tabs>
          <w:tab w:val="left" w:pos="2156"/>
          <w:tab w:val="left" w:pos="4536"/>
        </w:tabs>
        <w:rPr>
          <w:rFonts w:eastAsiaTheme="minorHAnsi" w:cs="Arial"/>
          <w:bCs/>
          <w:szCs w:val="24"/>
        </w:rPr>
      </w:pPr>
      <w:r w:rsidRPr="00CA7D27">
        <w:rPr>
          <w:rFonts w:eastAsiaTheme="minorHAnsi" w:cs="Arial"/>
          <w:bCs/>
          <w:szCs w:val="24"/>
          <w:lang w:val="nl-NL"/>
        </w:rPr>
        <w:tab/>
      </w:r>
      <w:r w:rsidRPr="008C30F9">
        <w:rPr>
          <w:rFonts w:eastAsiaTheme="minorHAnsi" w:cs="Arial"/>
          <w:bCs/>
          <w:szCs w:val="24"/>
        </w:rPr>
        <w:t xml:space="preserve">McRandal </w:t>
      </w:r>
      <w:r w:rsidRPr="008C30F9">
        <w:rPr>
          <w:rFonts w:eastAsiaTheme="minorHAnsi" w:cs="Arial"/>
          <w:bCs/>
          <w:szCs w:val="24"/>
        </w:rPr>
        <w:tab/>
      </w:r>
    </w:p>
    <w:p w14:paraId="5A3523F1" w14:textId="77777777" w:rsidR="00D87848" w:rsidRPr="008C30F9" w:rsidRDefault="00D87848" w:rsidP="00D87848">
      <w:pPr>
        <w:tabs>
          <w:tab w:val="left" w:pos="2156"/>
          <w:tab w:val="left" w:pos="4536"/>
        </w:tabs>
        <w:rPr>
          <w:rFonts w:eastAsiaTheme="minorHAnsi" w:cs="Arial"/>
          <w:bCs/>
          <w:szCs w:val="24"/>
        </w:rPr>
      </w:pPr>
    </w:p>
    <w:p w14:paraId="43B0B030" w14:textId="4A8C17E0" w:rsidR="00D87848" w:rsidRPr="008C30F9" w:rsidRDefault="00D87848" w:rsidP="00D87848">
      <w:pPr>
        <w:tabs>
          <w:tab w:val="left" w:pos="2156"/>
          <w:tab w:val="left" w:pos="4536"/>
        </w:tabs>
        <w:rPr>
          <w:rFonts w:eastAsiaTheme="minorHAnsi" w:cs="Arial"/>
          <w:bCs/>
          <w:szCs w:val="24"/>
        </w:rPr>
      </w:pPr>
      <w:r w:rsidRPr="008C30F9">
        <w:rPr>
          <w:rFonts w:eastAsiaTheme="minorHAnsi" w:cs="Arial"/>
          <w:b/>
          <w:szCs w:val="24"/>
        </w:rPr>
        <w:t>Councillors:</w:t>
      </w:r>
      <w:r w:rsidRPr="008C30F9">
        <w:rPr>
          <w:rFonts w:eastAsiaTheme="minorHAnsi" w:cs="Arial"/>
          <w:b/>
          <w:szCs w:val="24"/>
        </w:rPr>
        <w:tab/>
      </w:r>
      <w:r w:rsidRPr="008C30F9">
        <w:rPr>
          <w:rFonts w:eastAsiaTheme="minorHAnsi" w:cs="Arial"/>
          <w:bCs/>
          <w:szCs w:val="24"/>
        </w:rPr>
        <w:t xml:space="preserve">Chambers </w:t>
      </w:r>
      <w:r w:rsidR="006A4C0A">
        <w:rPr>
          <w:rFonts w:eastAsiaTheme="minorHAnsi" w:cs="Arial"/>
          <w:bCs/>
          <w:szCs w:val="24"/>
        </w:rPr>
        <w:t>(</w:t>
      </w:r>
      <w:r w:rsidR="001564DC">
        <w:rPr>
          <w:rFonts w:eastAsiaTheme="minorHAnsi" w:cs="Arial"/>
          <w:bCs/>
          <w:szCs w:val="24"/>
        </w:rPr>
        <w:t>Z</w:t>
      </w:r>
      <w:r w:rsidR="006A4C0A">
        <w:rPr>
          <w:rFonts w:eastAsiaTheme="minorHAnsi" w:cs="Arial"/>
          <w:bCs/>
          <w:szCs w:val="24"/>
        </w:rPr>
        <w:t>oom)</w:t>
      </w:r>
      <w:r w:rsidRPr="008C30F9">
        <w:rPr>
          <w:rFonts w:eastAsiaTheme="minorHAnsi" w:cs="Arial"/>
          <w:bCs/>
          <w:szCs w:val="24"/>
        </w:rPr>
        <w:tab/>
      </w:r>
      <w:r w:rsidRPr="008C30F9">
        <w:rPr>
          <w:rFonts w:eastAsiaTheme="minorHAnsi" w:cs="Arial"/>
          <w:bCs/>
          <w:szCs w:val="24"/>
        </w:rPr>
        <w:tab/>
      </w:r>
      <w:r w:rsidR="006A4C0A">
        <w:rPr>
          <w:rFonts w:eastAsiaTheme="minorHAnsi" w:cs="Arial"/>
          <w:bCs/>
          <w:szCs w:val="24"/>
        </w:rPr>
        <w:t xml:space="preserve">Thompson </w:t>
      </w:r>
    </w:p>
    <w:p w14:paraId="6C6400E5" w14:textId="5C9AAFB5" w:rsidR="00D87848" w:rsidRPr="008C30F9" w:rsidRDefault="00D87848" w:rsidP="00D87848">
      <w:pPr>
        <w:tabs>
          <w:tab w:val="left" w:pos="2156"/>
          <w:tab w:val="left" w:pos="4536"/>
        </w:tabs>
        <w:rPr>
          <w:rFonts w:eastAsiaTheme="minorHAnsi" w:cs="Arial"/>
          <w:bCs/>
          <w:szCs w:val="24"/>
        </w:rPr>
      </w:pPr>
      <w:r w:rsidRPr="008C30F9">
        <w:rPr>
          <w:rFonts w:eastAsiaTheme="minorHAnsi" w:cs="Arial"/>
          <w:bCs/>
          <w:szCs w:val="24"/>
        </w:rPr>
        <w:tab/>
        <w:t xml:space="preserve">Gilmour </w:t>
      </w:r>
      <w:r>
        <w:rPr>
          <w:rFonts w:eastAsiaTheme="minorHAnsi" w:cs="Arial"/>
          <w:bCs/>
          <w:szCs w:val="24"/>
        </w:rPr>
        <w:tab/>
      </w:r>
      <w:r>
        <w:rPr>
          <w:rFonts w:eastAsiaTheme="minorHAnsi" w:cs="Arial"/>
          <w:bCs/>
          <w:szCs w:val="24"/>
        </w:rPr>
        <w:tab/>
      </w:r>
      <w:r w:rsidR="006A4C0A">
        <w:rPr>
          <w:rFonts w:eastAsiaTheme="minorHAnsi" w:cs="Arial"/>
          <w:bCs/>
          <w:szCs w:val="24"/>
        </w:rPr>
        <w:t xml:space="preserve">McBurney </w:t>
      </w:r>
    </w:p>
    <w:p w14:paraId="53833AC4" w14:textId="4A247A65" w:rsidR="00D87848" w:rsidRPr="008C30F9" w:rsidRDefault="00D87848" w:rsidP="00D87848">
      <w:pPr>
        <w:tabs>
          <w:tab w:val="left" w:pos="2156"/>
          <w:tab w:val="left" w:pos="4536"/>
        </w:tabs>
        <w:rPr>
          <w:rFonts w:eastAsiaTheme="minorHAnsi" w:cs="Arial"/>
          <w:bCs/>
          <w:szCs w:val="24"/>
        </w:rPr>
      </w:pPr>
      <w:r w:rsidRPr="008C30F9">
        <w:rPr>
          <w:rFonts w:eastAsiaTheme="minorHAnsi" w:cs="Arial"/>
          <w:bCs/>
          <w:szCs w:val="24"/>
        </w:rPr>
        <w:tab/>
      </w:r>
      <w:r w:rsidR="006A4C0A">
        <w:rPr>
          <w:rFonts w:eastAsiaTheme="minorHAnsi" w:cs="Arial"/>
          <w:bCs/>
          <w:szCs w:val="24"/>
        </w:rPr>
        <w:t>Irvine, S</w:t>
      </w:r>
      <w:r w:rsidRPr="008C30F9">
        <w:rPr>
          <w:rFonts w:eastAsiaTheme="minorHAnsi" w:cs="Arial"/>
          <w:bCs/>
          <w:szCs w:val="24"/>
        </w:rPr>
        <w:tab/>
      </w:r>
      <w:r w:rsidR="006A4C0A">
        <w:rPr>
          <w:rFonts w:eastAsiaTheme="minorHAnsi" w:cs="Arial"/>
          <w:bCs/>
          <w:szCs w:val="24"/>
        </w:rPr>
        <w:tab/>
        <w:t xml:space="preserve">McCracken </w:t>
      </w:r>
    </w:p>
    <w:p w14:paraId="6C72487E" w14:textId="48AC59DB" w:rsidR="00D87848" w:rsidRPr="008C30F9" w:rsidRDefault="00D87848" w:rsidP="00D87848">
      <w:pPr>
        <w:tabs>
          <w:tab w:val="left" w:pos="2156"/>
          <w:tab w:val="left" w:pos="4536"/>
        </w:tabs>
        <w:rPr>
          <w:rFonts w:eastAsiaTheme="minorHAnsi" w:cs="Arial"/>
          <w:bCs/>
          <w:szCs w:val="24"/>
        </w:rPr>
      </w:pPr>
      <w:r w:rsidRPr="008C30F9">
        <w:rPr>
          <w:rFonts w:eastAsiaTheme="minorHAnsi" w:cs="Arial"/>
          <w:bCs/>
          <w:szCs w:val="24"/>
        </w:rPr>
        <w:tab/>
        <w:t xml:space="preserve">Irvine, </w:t>
      </w:r>
      <w:r w:rsidR="006A4C0A">
        <w:rPr>
          <w:rFonts w:eastAsiaTheme="minorHAnsi" w:cs="Arial"/>
          <w:bCs/>
          <w:szCs w:val="24"/>
        </w:rPr>
        <w:t>W</w:t>
      </w:r>
      <w:r w:rsidRPr="008C30F9">
        <w:rPr>
          <w:rFonts w:eastAsiaTheme="minorHAnsi" w:cs="Arial"/>
          <w:bCs/>
          <w:szCs w:val="24"/>
        </w:rPr>
        <w:t xml:space="preserve"> </w:t>
      </w:r>
      <w:r w:rsidRPr="008C30F9">
        <w:rPr>
          <w:rFonts w:eastAsiaTheme="minorHAnsi" w:cs="Arial"/>
          <w:bCs/>
          <w:szCs w:val="24"/>
        </w:rPr>
        <w:tab/>
      </w:r>
      <w:r w:rsidRPr="008C30F9">
        <w:rPr>
          <w:rFonts w:eastAsiaTheme="minorHAnsi" w:cs="Arial"/>
          <w:bCs/>
          <w:szCs w:val="24"/>
        </w:rPr>
        <w:tab/>
        <w:t>M</w:t>
      </w:r>
      <w:r w:rsidR="006A4C0A">
        <w:rPr>
          <w:rFonts w:eastAsiaTheme="minorHAnsi" w:cs="Arial"/>
          <w:bCs/>
          <w:szCs w:val="24"/>
        </w:rPr>
        <w:t xml:space="preserve">oore </w:t>
      </w:r>
    </w:p>
    <w:p w14:paraId="7753FB10" w14:textId="457C5128" w:rsidR="00D87848" w:rsidRPr="008C30F9" w:rsidRDefault="00D87848" w:rsidP="00D87848">
      <w:pPr>
        <w:tabs>
          <w:tab w:val="left" w:pos="2156"/>
          <w:tab w:val="left" w:pos="4536"/>
        </w:tabs>
        <w:rPr>
          <w:rFonts w:eastAsiaTheme="minorHAnsi" w:cs="Arial"/>
          <w:bCs/>
          <w:szCs w:val="24"/>
        </w:rPr>
      </w:pPr>
      <w:r w:rsidRPr="008C30F9">
        <w:rPr>
          <w:rFonts w:eastAsiaTheme="minorHAnsi" w:cs="Arial"/>
          <w:bCs/>
          <w:szCs w:val="24"/>
        </w:rPr>
        <w:tab/>
      </w:r>
      <w:r w:rsidR="006A4C0A">
        <w:rPr>
          <w:rFonts w:eastAsiaTheme="minorHAnsi" w:cs="Arial"/>
          <w:bCs/>
          <w:szCs w:val="24"/>
        </w:rPr>
        <w:t>Irwin</w:t>
      </w:r>
      <w:r w:rsidRPr="008C30F9">
        <w:rPr>
          <w:rFonts w:eastAsiaTheme="minorHAnsi" w:cs="Arial"/>
          <w:bCs/>
          <w:szCs w:val="24"/>
        </w:rPr>
        <w:t xml:space="preserve"> </w:t>
      </w:r>
      <w:r w:rsidRPr="008C30F9">
        <w:rPr>
          <w:rFonts w:eastAsiaTheme="minorHAnsi" w:cs="Arial"/>
          <w:bCs/>
          <w:szCs w:val="24"/>
        </w:rPr>
        <w:tab/>
      </w:r>
      <w:r w:rsidRPr="008C30F9">
        <w:rPr>
          <w:rFonts w:eastAsiaTheme="minorHAnsi" w:cs="Arial"/>
          <w:bCs/>
          <w:szCs w:val="24"/>
        </w:rPr>
        <w:tab/>
      </w:r>
      <w:r w:rsidRPr="008C30F9">
        <w:rPr>
          <w:rFonts w:eastAsiaTheme="minorHAnsi" w:cs="Arial"/>
          <w:bCs/>
          <w:szCs w:val="24"/>
        </w:rPr>
        <w:tab/>
      </w:r>
    </w:p>
    <w:p w14:paraId="6BD3873A" w14:textId="77777777" w:rsidR="00D87848" w:rsidRPr="008C30F9" w:rsidRDefault="00D87848" w:rsidP="00D87848">
      <w:pPr>
        <w:tabs>
          <w:tab w:val="left" w:pos="2156"/>
          <w:tab w:val="left" w:pos="4536"/>
        </w:tabs>
        <w:rPr>
          <w:rFonts w:eastAsiaTheme="minorHAnsi" w:cs="Arial"/>
          <w:bCs/>
          <w:szCs w:val="24"/>
        </w:rPr>
      </w:pPr>
    </w:p>
    <w:p w14:paraId="2CF7A3FF" w14:textId="63342E1D" w:rsidR="00D87848" w:rsidRPr="008C30F9" w:rsidRDefault="00D87848" w:rsidP="00D87848">
      <w:pPr>
        <w:tabs>
          <w:tab w:val="left" w:pos="2156"/>
          <w:tab w:val="left" w:pos="4536"/>
        </w:tabs>
        <w:rPr>
          <w:rFonts w:eastAsiaTheme="minorHAnsi" w:cs="Arial"/>
          <w:bCs/>
          <w:szCs w:val="24"/>
        </w:rPr>
      </w:pPr>
      <w:r w:rsidRPr="008C30F9">
        <w:rPr>
          <w:rFonts w:eastAsiaTheme="minorHAnsi" w:cs="Arial"/>
          <w:b/>
          <w:szCs w:val="24"/>
        </w:rPr>
        <w:t>Officers in Attendance:</w:t>
      </w:r>
      <w:r w:rsidRPr="008C30F9">
        <w:rPr>
          <w:rFonts w:eastAsiaTheme="minorHAnsi" w:cs="Arial"/>
          <w:bCs/>
          <w:szCs w:val="24"/>
        </w:rPr>
        <w:t xml:space="preserve"> </w:t>
      </w:r>
      <w:r w:rsidR="00A8212D">
        <w:rPr>
          <w:rFonts w:eastAsiaTheme="minorHAnsi" w:cs="Arial"/>
          <w:bCs/>
          <w:szCs w:val="24"/>
        </w:rPr>
        <w:t xml:space="preserve">Acting Director of Corporate Services (C Jackson), </w:t>
      </w:r>
      <w:r w:rsidRPr="008C30F9">
        <w:rPr>
          <w:rFonts w:eastAsiaTheme="minorHAnsi" w:cs="Arial"/>
          <w:bCs/>
          <w:szCs w:val="24"/>
        </w:rPr>
        <w:t>Head of Administration (A Curtis), Head of Finance (S Grieve)</w:t>
      </w:r>
      <w:r w:rsidR="006A4C0A">
        <w:rPr>
          <w:rFonts w:eastAsiaTheme="minorHAnsi" w:cs="Arial"/>
          <w:bCs/>
          <w:szCs w:val="24"/>
        </w:rPr>
        <w:t xml:space="preserve">, Head of Parks and Cemeteries (S Daye) </w:t>
      </w:r>
      <w:r w:rsidRPr="008C30F9">
        <w:rPr>
          <w:rFonts w:eastAsiaTheme="minorHAnsi" w:cs="Arial"/>
          <w:bCs/>
          <w:szCs w:val="24"/>
        </w:rPr>
        <w:t>and Democratic Services Officer (J Glasgow)</w:t>
      </w:r>
    </w:p>
    <w:p w14:paraId="2B394129" w14:textId="77777777" w:rsidR="00D942C5" w:rsidRPr="00D942C5" w:rsidRDefault="00D942C5" w:rsidP="00D942C5">
      <w:pPr>
        <w:rPr>
          <w:rFonts w:cs="Arial"/>
          <w:b/>
          <w:bCs/>
          <w:caps/>
          <w:color w:val="000000" w:themeColor="text1"/>
          <w:szCs w:val="24"/>
        </w:rPr>
      </w:pPr>
    </w:p>
    <w:p w14:paraId="4E858AF3" w14:textId="3D5AC5BD" w:rsidR="00D942C5" w:rsidRPr="00D942C5" w:rsidRDefault="00D942C5" w:rsidP="00D942C5">
      <w:pPr>
        <w:pStyle w:val="Heading1"/>
        <w:rPr>
          <w:b/>
          <w:bCs/>
        </w:rPr>
      </w:pPr>
      <w:r w:rsidRPr="00D942C5">
        <w:rPr>
          <w:b/>
          <w:bCs/>
        </w:rPr>
        <w:t>1.</w:t>
      </w:r>
      <w:r w:rsidRPr="00D942C5">
        <w:rPr>
          <w:b/>
          <w:bCs/>
        </w:rPr>
        <w:tab/>
      </w:r>
      <w:r w:rsidRPr="00D942C5">
        <w:rPr>
          <w:b/>
          <w:bCs/>
          <w:u w:val="single"/>
        </w:rPr>
        <w:t>Apologies</w:t>
      </w:r>
    </w:p>
    <w:p w14:paraId="743069EF" w14:textId="77777777" w:rsidR="00D942C5" w:rsidRDefault="00D942C5" w:rsidP="006A4C0A">
      <w:pPr>
        <w:rPr>
          <w:rFonts w:cs="Arial"/>
          <w:color w:val="000000" w:themeColor="text1"/>
        </w:rPr>
      </w:pPr>
    </w:p>
    <w:p w14:paraId="00109306" w14:textId="3A3E8745" w:rsidR="006A4C0A" w:rsidRPr="006A4C0A" w:rsidRDefault="006A4C0A" w:rsidP="006A4C0A">
      <w:pPr>
        <w:rPr>
          <w:rFonts w:cs="Arial"/>
          <w:color w:val="000000" w:themeColor="text1"/>
        </w:rPr>
      </w:pPr>
      <w:r>
        <w:rPr>
          <w:rFonts w:cs="Arial"/>
          <w:color w:val="000000" w:themeColor="text1"/>
        </w:rPr>
        <w:t xml:space="preserve">No apologies were received. </w:t>
      </w:r>
    </w:p>
    <w:p w14:paraId="30781FBE" w14:textId="77777777" w:rsidR="00D942C5" w:rsidRPr="006A4C0A" w:rsidRDefault="00D942C5" w:rsidP="006A4C0A">
      <w:pPr>
        <w:rPr>
          <w:rFonts w:cs="Arial"/>
          <w:color w:val="000000" w:themeColor="text1"/>
        </w:rPr>
      </w:pPr>
    </w:p>
    <w:p w14:paraId="005CF7FB" w14:textId="7B1B4394" w:rsidR="00D942C5" w:rsidRPr="00D942C5" w:rsidRDefault="00D942C5" w:rsidP="00D942C5">
      <w:pPr>
        <w:pStyle w:val="Heading1"/>
        <w:rPr>
          <w:b/>
          <w:bCs/>
        </w:rPr>
      </w:pPr>
      <w:r w:rsidRPr="00D942C5">
        <w:rPr>
          <w:b/>
          <w:bCs/>
        </w:rPr>
        <w:t>2.</w:t>
      </w:r>
      <w:r w:rsidRPr="00D942C5">
        <w:rPr>
          <w:b/>
          <w:bCs/>
        </w:rPr>
        <w:tab/>
      </w:r>
      <w:r w:rsidRPr="00D942C5">
        <w:rPr>
          <w:b/>
          <w:bCs/>
          <w:u w:val="single"/>
        </w:rPr>
        <w:t>Declarations of Interest</w:t>
      </w:r>
    </w:p>
    <w:p w14:paraId="09A1F8EE" w14:textId="77777777" w:rsidR="00D942C5" w:rsidRDefault="00D942C5" w:rsidP="00D942C5">
      <w:pPr>
        <w:rPr>
          <w:rFonts w:cs="Arial"/>
          <w:color w:val="000000" w:themeColor="text1"/>
          <w:szCs w:val="24"/>
        </w:rPr>
      </w:pPr>
    </w:p>
    <w:p w14:paraId="14099DAB" w14:textId="149FBF0F" w:rsidR="006A4C0A" w:rsidRDefault="006A4C0A" w:rsidP="00D942C5">
      <w:pPr>
        <w:rPr>
          <w:rFonts w:cs="Arial"/>
          <w:color w:val="000000" w:themeColor="text1"/>
          <w:szCs w:val="24"/>
        </w:rPr>
      </w:pPr>
      <w:r>
        <w:rPr>
          <w:rFonts w:cs="Arial"/>
          <w:color w:val="000000" w:themeColor="text1"/>
          <w:szCs w:val="24"/>
        </w:rPr>
        <w:t xml:space="preserve">No declarations of interest were notified. </w:t>
      </w:r>
    </w:p>
    <w:p w14:paraId="1F7E0F44" w14:textId="77777777" w:rsidR="006A4C0A" w:rsidRPr="00E4144A" w:rsidRDefault="006A4C0A" w:rsidP="00D942C5">
      <w:pPr>
        <w:rPr>
          <w:rFonts w:cs="Arial"/>
          <w:color w:val="000000" w:themeColor="text1"/>
          <w:szCs w:val="24"/>
        </w:rPr>
      </w:pPr>
    </w:p>
    <w:p w14:paraId="25D78467" w14:textId="5F39967F" w:rsidR="00D942C5" w:rsidRDefault="00D942C5" w:rsidP="00D942C5">
      <w:pPr>
        <w:contextualSpacing/>
        <w:rPr>
          <w:rFonts w:cs="Arial"/>
          <w:b/>
          <w:bCs/>
          <w:color w:val="000000" w:themeColor="text1"/>
          <w:szCs w:val="24"/>
          <w:u w:val="single"/>
        </w:rPr>
      </w:pPr>
      <w:r w:rsidRPr="00E4144A">
        <w:rPr>
          <w:rFonts w:cs="Arial"/>
          <w:b/>
          <w:bCs/>
          <w:color w:val="000000" w:themeColor="text1"/>
          <w:szCs w:val="24"/>
          <w:u w:val="single"/>
        </w:rPr>
        <w:t>Reports for Approval</w:t>
      </w:r>
    </w:p>
    <w:p w14:paraId="679F97C2" w14:textId="77777777" w:rsidR="00D942C5" w:rsidRPr="00E4144A" w:rsidRDefault="00D942C5" w:rsidP="00D942C5">
      <w:pPr>
        <w:contextualSpacing/>
        <w:rPr>
          <w:rFonts w:cs="Arial"/>
          <w:b/>
          <w:bCs/>
          <w:color w:val="000000" w:themeColor="text1"/>
          <w:szCs w:val="24"/>
          <w:u w:val="single"/>
        </w:rPr>
      </w:pPr>
    </w:p>
    <w:p w14:paraId="57FF1F46" w14:textId="7537BDF0" w:rsidR="00D942C5" w:rsidRPr="00D942C5" w:rsidRDefault="00D942C5" w:rsidP="00D942C5">
      <w:pPr>
        <w:pStyle w:val="Heading1"/>
        <w:rPr>
          <w:b/>
          <w:bCs/>
        </w:rPr>
      </w:pPr>
      <w:r w:rsidRPr="00D942C5">
        <w:rPr>
          <w:b/>
          <w:bCs/>
        </w:rPr>
        <w:t>3.</w:t>
      </w:r>
      <w:r w:rsidRPr="00D942C5">
        <w:rPr>
          <w:b/>
          <w:bCs/>
        </w:rPr>
        <w:tab/>
      </w:r>
      <w:r w:rsidRPr="00D942C5">
        <w:rPr>
          <w:b/>
          <w:bCs/>
          <w:u w:val="single"/>
        </w:rPr>
        <w:t xml:space="preserve">ITEM </w:t>
      </w:r>
      <w:r w:rsidRPr="00D942C5">
        <w:rPr>
          <w:rFonts w:eastAsia="Calibri"/>
          <w:b/>
          <w:bCs/>
          <w:u w:val="single"/>
        </w:rPr>
        <w:t>WITHDRAWN</w:t>
      </w:r>
    </w:p>
    <w:p w14:paraId="715FB667" w14:textId="77777777" w:rsidR="00D942C5" w:rsidRPr="00E4144A" w:rsidRDefault="00D942C5" w:rsidP="00D942C5">
      <w:pPr>
        <w:pStyle w:val="ListParagraph"/>
        <w:spacing w:after="0" w:line="240" w:lineRule="auto"/>
        <w:rPr>
          <w:rFonts w:ascii="Arial" w:hAnsi="Arial" w:cs="Arial"/>
          <w:color w:val="000000" w:themeColor="text1"/>
        </w:rPr>
      </w:pPr>
    </w:p>
    <w:p w14:paraId="7FE57A36" w14:textId="4CCCFC6F" w:rsidR="00D942C5" w:rsidRPr="00D942C5" w:rsidRDefault="00D942C5" w:rsidP="00D942C5">
      <w:pPr>
        <w:pStyle w:val="Heading1"/>
        <w:ind w:left="720" w:hanging="720"/>
        <w:rPr>
          <w:b/>
          <w:bCs/>
          <w:u w:val="single"/>
        </w:rPr>
      </w:pPr>
      <w:r w:rsidRPr="00D942C5">
        <w:rPr>
          <w:b/>
          <w:bCs/>
        </w:rPr>
        <w:t>4.</w:t>
      </w:r>
      <w:r w:rsidRPr="00D942C5">
        <w:rPr>
          <w:b/>
          <w:bCs/>
        </w:rPr>
        <w:tab/>
      </w:r>
      <w:r w:rsidRPr="00D942C5">
        <w:rPr>
          <w:b/>
          <w:bCs/>
          <w:u w:val="single"/>
        </w:rPr>
        <w:t xml:space="preserve">Request for Civic Reception for Bangor Royal British Legion </w:t>
      </w:r>
    </w:p>
    <w:p w14:paraId="7E45ACDF" w14:textId="77777777" w:rsidR="00D942C5" w:rsidRPr="00D942C5" w:rsidRDefault="00D942C5" w:rsidP="00D942C5">
      <w:pPr>
        <w:rPr>
          <w:rFonts w:cs="Arial"/>
          <w:caps/>
          <w:color w:val="000000" w:themeColor="text1"/>
        </w:rPr>
      </w:pPr>
    </w:p>
    <w:p w14:paraId="1C574BB4" w14:textId="172D9022" w:rsidR="00D942C5" w:rsidRDefault="00D942C5" w:rsidP="00D942C5">
      <w:pPr>
        <w:rPr>
          <w:rFonts w:cs="Arial"/>
          <w:szCs w:val="24"/>
        </w:rPr>
      </w:pPr>
      <w:r w:rsidRPr="00D942C5">
        <w:rPr>
          <w:rFonts w:cs="Arial"/>
          <w:caps/>
          <w:color w:val="000000" w:themeColor="text1"/>
        </w:rPr>
        <w:t xml:space="preserve">Previously </w:t>
      </w:r>
      <w:proofErr w:type="gramStart"/>
      <w:r w:rsidRPr="00D942C5">
        <w:rPr>
          <w:rFonts w:cs="Arial"/>
          <w:caps/>
          <w:color w:val="000000" w:themeColor="text1"/>
        </w:rPr>
        <w:t>circulated:-</w:t>
      </w:r>
      <w:proofErr w:type="gramEnd"/>
      <w:r>
        <w:rPr>
          <w:rFonts w:cs="Arial"/>
          <w:color w:val="000000" w:themeColor="text1"/>
        </w:rPr>
        <w:t xml:space="preserve"> Report from the Director of Corporate Services detailing that a</w:t>
      </w:r>
      <w:r>
        <w:rPr>
          <w:rFonts w:cs="Arial"/>
          <w:szCs w:val="24"/>
        </w:rPr>
        <w:t xml:space="preserve"> formal request had been received from Councillors W Irvine, </w:t>
      </w:r>
      <w:r w:rsidRPr="00ED199B">
        <w:rPr>
          <w:rFonts w:cs="Arial"/>
          <w:szCs w:val="24"/>
        </w:rPr>
        <w:t>Cathcart</w:t>
      </w:r>
      <w:r>
        <w:rPr>
          <w:rFonts w:cs="Arial"/>
          <w:szCs w:val="24"/>
        </w:rPr>
        <w:t xml:space="preserve">, </w:t>
      </w:r>
      <w:r w:rsidRPr="00ED199B">
        <w:rPr>
          <w:rFonts w:cs="Arial"/>
          <w:szCs w:val="24"/>
        </w:rPr>
        <w:t>McCracken</w:t>
      </w:r>
      <w:r>
        <w:rPr>
          <w:rFonts w:cs="Arial"/>
          <w:szCs w:val="24"/>
        </w:rPr>
        <w:t xml:space="preserve"> and </w:t>
      </w:r>
      <w:r w:rsidRPr="00ED199B">
        <w:rPr>
          <w:rFonts w:cs="Arial"/>
          <w:szCs w:val="24"/>
        </w:rPr>
        <w:t>Blaney</w:t>
      </w:r>
      <w:r>
        <w:rPr>
          <w:rFonts w:cs="Arial"/>
          <w:szCs w:val="24"/>
        </w:rPr>
        <w:t xml:space="preserve"> proposing that a civic reception be held in honour of </w:t>
      </w:r>
      <w:r w:rsidRPr="00ED199B">
        <w:rPr>
          <w:rFonts w:cs="Arial"/>
          <w:szCs w:val="24"/>
        </w:rPr>
        <w:t>the Bangor branch of the R</w:t>
      </w:r>
      <w:r>
        <w:rPr>
          <w:rFonts w:cs="Arial"/>
          <w:szCs w:val="24"/>
        </w:rPr>
        <w:t>oyal British Legion</w:t>
      </w:r>
      <w:r w:rsidRPr="00ED199B">
        <w:rPr>
          <w:rFonts w:cs="Arial"/>
          <w:szCs w:val="24"/>
        </w:rPr>
        <w:t>. </w:t>
      </w:r>
    </w:p>
    <w:p w14:paraId="5BFFF9F4" w14:textId="77777777" w:rsidR="00D942C5" w:rsidRDefault="00D942C5" w:rsidP="00D942C5">
      <w:pPr>
        <w:rPr>
          <w:rFonts w:cs="Arial"/>
          <w:szCs w:val="24"/>
        </w:rPr>
      </w:pPr>
    </w:p>
    <w:p w14:paraId="0624DD03" w14:textId="6B6704CE" w:rsidR="00D942C5" w:rsidRPr="00310BEA" w:rsidRDefault="00D942C5" w:rsidP="00D942C5">
      <w:pPr>
        <w:rPr>
          <w:rFonts w:cs="Arial"/>
          <w:szCs w:val="24"/>
        </w:rPr>
      </w:pPr>
      <w:r w:rsidRPr="00310BEA">
        <w:rPr>
          <w:rFonts w:cs="Arial"/>
          <w:szCs w:val="24"/>
        </w:rPr>
        <w:t>The proposed event would commemorate the centenary of the branch, which ha</w:t>
      </w:r>
      <w:r>
        <w:rPr>
          <w:rFonts w:cs="Arial"/>
          <w:szCs w:val="24"/>
        </w:rPr>
        <w:t>d</w:t>
      </w:r>
      <w:r w:rsidRPr="00310BEA">
        <w:rPr>
          <w:rFonts w:cs="Arial"/>
          <w:szCs w:val="24"/>
        </w:rPr>
        <w:t xml:space="preserve"> served as a cornerstone of the local community for 100 years. Throughout its history, the Bangor Branch ha</w:t>
      </w:r>
      <w:r>
        <w:rPr>
          <w:rFonts w:cs="Arial"/>
          <w:szCs w:val="24"/>
        </w:rPr>
        <w:t>d</w:t>
      </w:r>
      <w:r w:rsidRPr="00310BEA">
        <w:rPr>
          <w:rFonts w:cs="Arial"/>
          <w:szCs w:val="24"/>
        </w:rPr>
        <w:t xml:space="preserve"> demonstrated unwavering commitment to supporting </w:t>
      </w:r>
      <w:r w:rsidRPr="00310BEA">
        <w:rPr>
          <w:rFonts w:cs="Arial"/>
          <w:szCs w:val="24"/>
        </w:rPr>
        <w:lastRenderedPageBreak/>
        <w:t>veterans, serving personnel</w:t>
      </w:r>
      <w:r>
        <w:rPr>
          <w:rFonts w:cs="Arial"/>
          <w:szCs w:val="24"/>
        </w:rPr>
        <w:t xml:space="preserve"> </w:t>
      </w:r>
      <w:r w:rsidRPr="00310BEA">
        <w:rPr>
          <w:rFonts w:cs="Arial"/>
          <w:szCs w:val="24"/>
        </w:rPr>
        <w:t>and their families. Its dedication to remembrance, welfare and civic engagement exemplifies the values and traditions that underpin our society.</w:t>
      </w:r>
    </w:p>
    <w:p w14:paraId="4F3F679F" w14:textId="77777777" w:rsidR="00D942C5" w:rsidRDefault="00D942C5" w:rsidP="00D942C5">
      <w:pPr>
        <w:rPr>
          <w:rFonts w:cs="Arial"/>
          <w:szCs w:val="24"/>
        </w:rPr>
      </w:pPr>
    </w:p>
    <w:p w14:paraId="4E772D0E" w14:textId="77777777" w:rsidR="00D942C5" w:rsidRPr="00310BEA" w:rsidRDefault="00D942C5" w:rsidP="00D942C5">
      <w:pPr>
        <w:rPr>
          <w:rFonts w:cs="Arial"/>
          <w:szCs w:val="24"/>
        </w:rPr>
      </w:pPr>
      <w:r w:rsidRPr="00310BEA">
        <w:rPr>
          <w:rFonts w:cs="Arial"/>
          <w:szCs w:val="24"/>
        </w:rPr>
        <w:t>A civic reception would provide a fitting opportunity to formally recognise the exceptional contributions of the branch and its members. It would also serve as a moment of collective reflection and gratitude—honouring the sacrifices of those who have served and celebrating the enduring legacy of the Royal British Legion in Bangor.</w:t>
      </w:r>
    </w:p>
    <w:p w14:paraId="4D085A50" w14:textId="77777777" w:rsidR="00D942C5" w:rsidRPr="00ED199B" w:rsidRDefault="00D942C5" w:rsidP="00D942C5">
      <w:pPr>
        <w:rPr>
          <w:rFonts w:cs="Arial"/>
          <w:szCs w:val="24"/>
        </w:rPr>
      </w:pPr>
    </w:p>
    <w:p w14:paraId="547D7BF0" w14:textId="77777777" w:rsidR="00D942C5" w:rsidRPr="00D441A7" w:rsidRDefault="00D942C5" w:rsidP="00D942C5">
      <w:pPr>
        <w:rPr>
          <w:rFonts w:cs="Arial"/>
          <w:b/>
          <w:bCs/>
          <w:szCs w:val="24"/>
        </w:rPr>
      </w:pPr>
      <w:r w:rsidRPr="00D441A7">
        <w:rPr>
          <w:rFonts w:cs="Arial"/>
          <w:b/>
          <w:bCs/>
          <w:szCs w:val="24"/>
        </w:rPr>
        <w:t xml:space="preserve">Council Policy on Civic Receptions </w:t>
      </w:r>
    </w:p>
    <w:p w14:paraId="6D088DF6" w14:textId="58A4CD19" w:rsidR="00D942C5" w:rsidRDefault="00D942C5" w:rsidP="00D942C5">
      <w:pPr>
        <w:rPr>
          <w:rFonts w:cs="Arial"/>
          <w:szCs w:val="24"/>
        </w:rPr>
      </w:pPr>
      <w:r w:rsidRPr="00D441A7">
        <w:rPr>
          <w:rFonts w:cs="Arial"/>
          <w:szCs w:val="24"/>
        </w:rPr>
        <w:t xml:space="preserve">The Council’s Policy for Civic Receptions requires requests to be submitted in writing to the Chief Executive and signed by at least three Elected Members. The request, once received, </w:t>
      </w:r>
      <w:r w:rsidR="00000178">
        <w:rPr>
          <w:rFonts w:cs="Arial"/>
          <w:szCs w:val="24"/>
        </w:rPr>
        <w:t>was</w:t>
      </w:r>
      <w:r w:rsidRPr="00D441A7">
        <w:rPr>
          <w:rFonts w:cs="Arial"/>
          <w:szCs w:val="24"/>
        </w:rPr>
        <w:t xml:space="preserve"> assessed against set criteria and an officer’s report, with an appropriate recommendation, </w:t>
      </w:r>
      <w:r w:rsidR="00000178">
        <w:rPr>
          <w:rFonts w:cs="Arial"/>
          <w:szCs w:val="24"/>
        </w:rPr>
        <w:t>was</w:t>
      </w:r>
      <w:r w:rsidRPr="00D441A7">
        <w:rPr>
          <w:rFonts w:cs="Arial"/>
          <w:szCs w:val="24"/>
        </w:rPr>
        <w:t xml:space="preserve"> prepared for consideration by the Corporate Services Committee. </w:t>
      </w:r>
    </w:p>
    <w:p w14:paraId="7C3B0628" w14:textId="77777777" w:rsidR="00D942C5" w:rsidRDefault="00D942C5" w:rsidP="00D942C5">
      <w:pPr>
        <w:rPr>
          <w:rFonts w:cs="Arial"/>
          <w:szCs w:val="24"/>
        </w:rPr>
      </w:pPr>
    </w:p>
    <w:p w14:paraId="7F682D08" w14:textId="77777777" w:rsidR="00D942C5" w:rsidRPr="00857913" w:rsidRDefault="00D942C5" w:rsidP="00D942C5">
      <w:pPr>
        <w:rPr>
          <w:b/>
          <w:bCs/>
        </w:rPr>
      </w:pPr>
      <w:r w:rsidRPr="00535B09">
        <w:rPr>
          <w:b/>
          <w:bCs/>
        </w:rPr>
        <w:t>Assessment Criteria</w:t>
      </w:r>
      <w:r>
        <w:rPr>
          <w:b/>
          <w:bCs/>
        </w:rPr>
        <w:t xml:space="preserve"> for a Civic Reception</w:t>
      </w:r>
    </w:p>
    <w:p w14:paraId="5A947986" w14:textId="7D2C497F" w:rsidR="00D942C5" w:rsidRDefault="00D942C5" w:rsidP="00D942C5">
      <w:r>
        <w:t xml:space="preserve">The criterion against which each request </w:t>
      </w:r>
      <w:r w:rsidR="00000178">
        <w:t xml:space="preserve">would </w:t>
      </w:r>
      <w:r>
        <w:t xml:space="preserve">be assessed </w:t>
      </w:r>
      <w:r w:rsidR="00000178">
        <w:t>were</w:t>
      </w:r>
      <w:r>
        <w:t xml:space="preserve"> as </w:t>
      </w:r>
      <w:proofErr w:type="gramStart"/>
      <w:r>
        <w:t>follows:-</w:t>
      </w:r>
      <w:proofErr w:type="gramEnd"/>
    </w:p>
    <w:p w14:paraId="0D06FFFF" w14:textId="77777777" w:rsidR="00D942C5" w:rsidRDefault="00D942C5" w:rsidP="00D942C5">
      <w:pPr>
        <w:rPr>
          <w:rFonts w:eastAsiaTheme="minorHAnsi"/>
        </w:rPr>
      </w:pPr>
    </w:p>
    <w:p w14:paraId="609785D8" w14:textId="77777777" w:rsidR="00D942C5" w:rsidRPr="00052AFC" w:rsidRDefault="00D942C5" w:rsidP="00D942C5">
      <w:pPr>
        <w:numPr>
          <w:ilvl w:val="0"/>
          <w:numId w:val="2"/>
        </w:numPr>
        <w:ind w:left="426" w:hanging="426"/>
        <w:rPr>
          <w:b/>
          <w:bCs/>
        </w:rPr>
      </w:pPr>
      <w:r>
        <w:rPr>
          <w:b/>
          <w:bCs/>
        </w:rPr>
        <w:t>Exceptional Service t</w:t>
      </w:r>
      <w:r w:rsidRPr="00052AFC">
        <w:rPr>
          <w:b/>
          <w:bCs/>
        </w:rPr>
        <w:t xml:space="preserve">o the </w:t>
      </w:r>
      <w:r>
        <w:rPr>
          <w:b/>
          <w:bCs/>
        </w:rPr>
        <w:t xml:space="preserve">Borough/Local </w:t>
      </w:r>
      <w:r w:rsidRPr="00052AFC">
        <w:rPr>
          <w:b/>
          <w:bCs/>
        </w:rPr>
        <w:t xml:space="preserve">Community </w:t>
      </w:r>
      <w:r w:rsidRPr="00A24E1F">
        <w:rPr>
          <w:b/>
          <w:bCs/>
          <w:u w:val="single"/>
        </w:rPr>
        <w:t>and</w:t>
      </w:r>
      <w:r w:rsidRPr="00052AFC">
        <w:rPr>
          <w:b/>
          <w:bCs/>
        </w:rPr>
        <w:t xml:space="preserve"> a Significant Anniversary</w:t>
      </w:r>
    </w:p>
    <w:p w14:paraId="2FF68FC1" w14:textId="77777777" w:rsidR="00D942C5" w:rsidRDefault="00D942C5" w:rsidP="00D942C5">
      <w:pPr>
        <w:ind w:left="426"/>
      </w:pPr>
      <w:r>
        <w:t>The exceptional service should be in the areas of Voluntary or Charitable work AND th</w:t>
      </w:r>
      <w:r>
        <w:rPr>
          <w:bCs/>
        </w:rPr>
        <w:t xml:space="preserve">e anniversary should be a milestone of </w:t>
      </w:r>
      <w:proofErr w:type="gramStart"/>
      <w:r>
        <w:rPr>
          <w:bCs/>
        </w:rPr>
        <w:t>25 year</w:t>
      </w:r>
      <w:proofErr w:type="gramEnd"/>
      <w:r>
        <w:rPr>
          <w:bCs/>
        </w:rPr>
        <w:t xml:space="preserve"> increment anniversaries.  </w:t>
      </w:r>
    </w:p>
    <w:p w14:paraId="20F5A240" w14:textId="77777777" w:rsidR="00D942C5" w:rsidRPr="00030878" w:rsidRDefault="00D942C5" w:rsidP="00D942C5">
      <w:pPr>
        <w:rPr>
          <w:bCs/>
          <w:u w:val="single"/>
        </w:rPr>
      </w:pPr>
      <w:r w:rsidRPr="00A24E1F">
        <w:rPr>
          <w:bCs/>
          <w:u w:val="single"/>
        </w:rPr>
        <w:t>OR</w:t>
      </w:r>
    </w:p>
    <w:p w14:paraId="0A5E4180" w14:textId="77777777" w:rsidR="00D942C5" w:rsidRPr="00052AFC" w:rsidRDefault="00D942C5" w:rsidP="00D942C5">
      <w:pPr>
        <w:numPr>
          <w:ilvl w:val="0"/>
          <w:numId w:val="2"/>
        </w:numPr>
        <w:ind w:left="426" w:hanging="426"/>
        <w:rPr>
          <w:b/>
          <w:bCs/>
        </w:rPr>
      </w:pPr>
      <w:r>
        <w:rPr>
          <w:b/>
          <w:bCs/>
        </w:rPr>
        <w:t xml:space="preserve">A </w:t>
      </w:r>
      <w:r w:rsidRPr="00052AFC">
        <w:rPr>
          <w:b/>
          <w:bCs/>
        </w:rPr>
        <w:t xml:space="preserve">Very Significant </w:t>
      </w:r>
      <w:r>
        <w:rPr>
          <w:b/>
          <w:bCs/>
        </w:rPr>
        <w:t xml:space="preserve">or Unique </w:t>
      </w:r>
      <w:r w:rsidRPr="00052AFC">
        <w:rPr>
          <w:b/>
          <w:bCs/>
        </w:rPr>
        <w:t xml:space="preserve">Achievement </w:t>
      </w:r>
    </w:p>
    <w:p w14:paraId="5D039394" w14:textId="77777777" w:rsidR="00D942C5" w:rsidRDefault="00D942C5" w:rsidP="00D942C5">
      <w:pPr>
        <w:ind w:left="426"/>
        <w:rPr>
          <w:rFonts w:cs="Arial"/>
          <w:b/>
          <w:bCs/>
          <w:szCs w:val="24"/>
        </w:rPr>
      </w:pPr>
      <w:r>
        <w:rPr>
          <w:bCs/>
        </w:rPr>
        <w:t>An achievement which would be recognised throughout Northern Ireland and beyond and the recipient has a strong association with the Borough.</w:t>
      </w:r>
    </w:p>
    <w:p w14:paraId="6D418AED" w14:textId="77777777" w:rsidR="00D942C5" w:rsidRPr="003B5647" w:rsidRDefault="00D942C5" w:rsidP="00D942C5">
      <w:pPr>
        <w:rPr>
          <w:rFonts w:cs="Arial"/>
          <w:szCs w:val="24"/>
        </w:rPr>
      </w:pPr>
    </w:p>
    <w:p w14:paraId="634CE945" w14:textId="08A25A41" w:rsidR="00D942C5" w:rsidRDefault="00D942C5" w:rsidP="00000178">
      <w:pPr>
        <w:rPr>
          <w:rFonts w:cs="Arial"/>
          <w:szCs w:val="24"/>
        </w:rPr>
      </w:pPr>
      <w:r w:rsidRPr="003B5647">
        <w:rPr>
          <w:rFonts w:cs="Arial"/>
          <w:szCs w:val="24"/>
        </w:rPr>
        <w:t>This request ha</w:t>
      </w:r>
      <w:r w:rsidR="00000178">
        <w:rPr>
          <w:rFonts w:cs="Arial"/>
          <w:szCs w:val="24"/>
        </w:rPr>
        <w:t>d</w:t>
      </w:r>
      <w:r w:rsidRPr="003B5647">
        <w:rPr>
          <w:rFonts w:cs="Arial"/>
          <w:szCs w:val="24"/>
        </w:rPr>
        <w:t xml:space="preserve"> been submitted in line with agreed procedures </w:t>
      </w:r>
      <w:r>
        <w:rPr>
          <w:rFonts w:cs="Arial"/>
          <w:szCs w:val="24"/>
        </w:rPr>
        <w:t xml:space="preserve">and </w:t>
      </w:r>
      <w:r w:rsidRPr="003B5647">
        <w:rPr>
          <w:rFonts w:cs="Arial"/>
          <w:szCs w:val="24"/>
        </w:rPr>
        <w:t>meet</w:t>
      </w:r>
      <w:r>
        <w:rPr>
          <w:rFonts w:cs="Arial"/>
          <w:szCs w:val="24"/>
        </w:rPr>
        <w:t>s</w:t>
      </w:r>
      <w:r w:rsidRPr="003B5647">
        <w:rPr>
          <w:rFonts w:cs="Arial"/>
          <w:szCs w:val="24"/>
        </w:rPr>
        <w:t xml:space="preserve"> the criteria for a civic reception as stated in point 1 above</w:t>
      </w:r>
      <w:r>
        <w:rPr>
          <w:rFonts w:cs="Arial"/>
          <w:szCs w:val="24"/>
        </w:rPr>
        <w:t xml:space="preserve"> - </w:t>
      </w:r>
      <w:r w:rsidRPr="004F1954">
        <w:t>Exceptional Service to the Borough/Local Community and a Significant Anniversary</w:t>
      </w:r>
      <w:r w:rsidRPr="003B5647">
        <w:rPr>
          <w:rFonts w:cs="Arial"/>
          <w:szCs w:val="24"/>
        </w:rPr>
        <w:t xml:space="preserve">. The cost </w:t>
      </w:r>
      <w:r w:rsidR="00000178">
        <w:rPr>
          <w:rFonts w:cs="Arial"/>
          <w:szCs w:val="24"/>
        </w:rPr>
        <w:t>could</w:t>
      </w:r>
      <w:r w:rsidRPr="003B5647">
        <w:rPr>
          <w:rFonts w:cs="Arial"/>
          <w:szCs w:val="24"/>
        </w:rPr>
        <w:t xml:space="preserve"> be met from the 202</w:t>
      </w:r>
      <w:r>
        <w:rPr>
          <w:rFonts w:cs="Arial"/>
          <w:szCs w:val="24"/>
        </w:rPr>
        <w:t>5/26</w:t>
      </w:r>
      <w:r w:rsidRPr="003B5647">
        <w:rPr>
          <w:rFonts w:cs="Arial"/>
          <w:szCs w:val="24"/>
        </w:rPr>
        <w:t xml:space="preserve"> civic budget.</w:t>
      </w:r>
    </w:p>
    <w:p w14:paraId="11103938" w14:textId="77777777" w:rsidR="00000178" w:rsidRPr="00000178" w:rsidRDefault="00000178" w:rsidP="00000178">
      <w:pPr>
        <w:rPr>
          <w:rFonts w:cs="Arial"/>
          <w:szCs w:val="24"/>
        </w:rPr>
      </w:pPr>
    </w:p>
    <w:p w14:paraId="189DF9B9" w14:textId="775A061B" w:rsidR="00D942C5" w:rsidRPr="00543B06" w:rsidRDefault="00D942C5" w:rsidP="00D942C5">
      <w:pPr>
        <w:pStyle w:val="Heading1"/>
        <w:rPr>
          <w:b/>
          <w:bCs/>
          <w:sz w:val="24"/>
          <w:szCs w:val="24"/>
        </w:rPr>
      </w:pPr>
      <w:r w:rsidRPr="00543B06">
        <w:rPr>
          <w:rFonts w:cs="Arial"/>
          <w:bCs/>
          <w:sz w:val="24"/>
          <w:szCs w:val="24"/>
        </w:rPr>
        <w:t xml:space="preserve">recommended </w:t>
      </w:r>
      <w:r w:rsidRPr="00000178">
        <w:rPr>
          <w:rFonts w:cs="Arial"/>
          <w:bCs/>
          <w:caps w:val="0"/>
          <w:sz w:val="24"/>
          <w:szCs w:val="24"/>
        </w:rPr>
        <w:t>that Council proceeds to offer the Bangor Branch of the Royal British Legion a Civic Reception to acknowledge 100 years since its formation and should the offer be accepted, proceeds to arrange same on a date to be agreed by relevant parties.</w:t>
      </w:r>
    </w:p>
    <w:p w14:paraId="7F81F922" w14:textId="77777777" w:rsidR="00D942C5" w:rsidRDefault="00D942C5" w:rsidP="00D942C5">
      <w:pPr>
        <w:tabs>
          <w:tab w:val="left" w:pos="435"/>
        </w:tabs>
      </w:pPr>
    </w:p>
    <w:p w14:paraId="383F7FC5" w14:textId="582CE1E3" w:rsidR="00D942C5" w:rsidRDefault="006A4C0A" w:rsidP="00D942C5">
      <w:pPr>
        <w:tabs>
          <w:tab w:val="left" w:pos="435"/>
        </w:tabs>
      </w:pPr>
      <w:r>
        <w:t xml:space="preserve">Proposed by Councillor W Irvine, seconded by Councillor McCracken, that the recommendation be adopted. </w:t>
      </w:r>
    </w:p>
    <w:p w14:paraId="478F7A36" w14:textId="77156A20" w:rsidR="00D942C5" w:rsidRDefault="00D942C5" w:rsidP="00D942C5">
      <w:pPr>
        <w:rPr>
          <w:rFonts w:cs="Arial"/>
          <w:color w:val="000000" w:themeColor="text1"/>
        </w:rPr>
      </w:pPr>
    </w:p>
    <w:p w14:paraId="1467EFE1" w14:textId="24F5DB6A" w:rsidR="00D942C5" w:rsidRDefault="00CC2007" w:rsidP="00D942C5">
      <w:pPr>
        <w:rPr>
          <w:rFonts w:cs="Arial"/>
          <w:color w:val="000000" w:themeColor="text1"/>
        </w:rPr>
      </w:pPr>
      <w:r>
        <w:rPr>
          <w:rFonts w:cs="Arial"/>
          <w:color w:val="000000" w:themeColor="text1"/>
        </w:rPr>
        <w:t xml:space="preserve">Councillor W Irvine stated that the </w:t>
      </w:r>
      <w:r w:rsidRPr="00000178">
        <w:rPr>
          <w:rFonts w:cs="Arial"/>
          <w:bCs/>
          <w:szCs w:val="24"/>
        </w:rPr>
        <w:t>Bangor Branch of the Royal British Legion</w:t>
      </w:r>
      <w:r>
        <w:rPr>
          <w:rFonts w:cs="Arial"/>
          <w:bCs/>
          <w:szCs w:val="24"/>
        </w:rPr>
        <w:t xml:space="preserve"> was a worthy recipient</w:t>
      </w:r>
      <w:r w:rsidR="002A5067">
        <w:rPr>
          <w:rFonts w:cs="Arial"/>
          <w:bCs/>
          <w:szCs w:val="24"/>
        </w:rPr>
        <w:t xml:space="preserve">. </w:t>
      </w:r>
      <w:proofErr w:type="gramStart"/>
      <w:r w:rsidR="002A5067">
        <w:rPr>
          <w:rFonts w:cs="Arial"/>
          <w:bCs/>
          <w:szCs w:val="24"/>
        </w:rPr>
        <w:t>He</w:t>
      </w:r>
      <w:proofErr w:type="gramEnd"/>
      <w:r w:rsidR="002A5067">
        <w:rPr>
          <w:rFonts w:cs="Arial"/>
          <w:bCs/>
          <w:szCs w:val="24"/>
        </w:rPr>
        <w:t xml:space="preserve"> spoke </w:t>
      </w:r>
      <w:r w:rsidR="001873C4">
        <w:rPr>
          <w:rFonts w:cs="Arial"/>
          <w:bCs/>
          <w:szCs w:val="24"/>
        </w:rPr>
        <w:t>of</w:t>
      </w:r>
      <w:r w:rsidR="002A5067">
        <w:rPr>
          <w:rFonts w:cs="Arial"/>
          <w:bCs/>
          <w:szCs w:val="24"/>
        </w:rPr>
        <w:t xml:space="preserve"> their service and dedication over the past century including the</w:t>
      </w:r>
      <w:r w:rsidR="000D4B28">
        <w:rPr>
          <w:rFonts w:cs="Arial"/>
          <w:bCs/>
          <w:szCs w:val="24"/>
        </w:rPr>
        <w:t>ir</w:t>
      </w:r>
      <w:r w:rsidR="002A5067">
        <w:rPr>
          <w:rFonts w:cs="Arial"/>
          <w:bCs/>
          <w:szCs w:val="24"/>
        </w:rPr>
        <w:t xml:space="preserve"> commitment to veterans, serving personnel and their families.  Councillor W Irvine also highlighted the RBL dedication to </w:t>
      </w:r>
      <w:r w:rsidR="00784A1E">
        <w:rPr>
          <w:rFonts w:cs="Arial"/>
          <w:bCs/>
          <w:szCs w:val="24"/>
        </w:rPr>
        <w:t>R</w:t>
      </w:r>
      <w:r w:rsidR="002A5067">
        <w:rPr>
          <w:rFonts w:cs="Arial"/>
          <w:bCs/>
          <w:szCs w:val="24"/>
        </w:rPr>
        <w:t xml:space="preserve">emembrance. The Bangor service had seen a tremendous </w:t>
      </w:r>
      <w:proofErr w:type="gramStart"/>
      <w:r w:rsidR="002A5067">
        <w:rPr>
          <w:rFonts w:cs="Arial"/>
          <w:bCs/>
          <w:szCs w:val="24"/>
        </w:rPr>
        <w:t>crowd</w:t>
      </w:r>
      <w:proofErr w:type="gramEnd"/>
      <w:r w:rsidR="002A5067">
        <w:rPr>
          <w:rFonts w:cs="Arial"/>
          <w:bCs/>
          <w:szCs w:val="24"/>
        </w:rPr>
        <w:t xml:space="preserve"> and he stated that it was great to see the growth in numbers from the public watching and those taking part.  Although the </w:t>
      </w:r>
      <w:proofErr w:type="gramStart"/>
      <w:r w:rsidR="0045070D">
        <w:rPr>
          <w:rFonts w:cs="Arial"/>
          <w:bCs/>
          <w:szCs w:val="24"/>
        </w:rPr>
        <w:t>L</w:t>
      </w:r>
      <w:r w:rsidR="002A5067">
        <w:rPr>
          <w:rFonts w:cs="Arial"/>
          <w:bCs/>
          <w:szCs w:val="24"/>
        </w:rPr>
        <w:t>egion hall</w:t>
      </w:r>
      <w:proofErr w:type="gramEnd"/>
      <w:r w:rsidR="002A5067">
        <w:rPr>
          <w:rFonts w:cs="Arial"/>
          <w:bCs/>
          <w:szCs w:val="24"/>
        </w:rPr>
        <w:t xml:space="preserve"> was no longer there, the Bangor branch continued to </w:t>
      </w:r>
      <w:proofErr w:type="gramStart"/>
      <w:r w:rsidR="002A5067">
        <w:rPr>
          <w:rFonts w:cs="Arial"/>
          <w:bCs/>
          <w:szCs w:val="24"/>
        </w:rPr>
        <w:t>thrive</w:t>
      </w:r>
      <w:proofErr w:type="gramEnd"/>
      <w:r w:rsidR="002A5067">
        <w:rPr>
          <w:rFonts w:cs="Arial"/>
          <w:bCs/>
          <w:szCs w:val="24"/>
        </w:rPr>
        <w:t xml:space="preserve"> and they </w:t>
      </w:r>
      <w:r w:rsidR="002A5067">
        <w:rPr>
          <w:rFonts w:cs="Arial"/>
          <w:bCs/>
          <w:szCs w:val="24"/>
        </w:rPr>
        <w:lastRenderedPageBreak/>
        <w:t xml:space="preserve">presently operated from the Civil Defence Club in Bangor.  Councillor W Irvine appreciated efforts to have the reception in 2025 or early 2026.   </w:t>
      </w:r>
    </w:p>
    <w:p w14:paraId="74796C44" w14:textId="77777777" w:rsidR="00D942C5" w:rsidRDefault="00D942C5" w:rsidP="00D942C5">
      <w:pPr>
        <w:rPr>
          <w:rFonts w:cs="Arial"/>
          <w:color w:val="000000" w:themeColor="text1"/>
        </w:rPr>
      </w:pPr>
    </w:p>
    <w:p w14:paraId="1AD2700B" w14:textId="38F5A2F8" w:rsidR="002A5067" w:rsidRDefault="002A5067" w:rsidP="00D942C5">
      <w:pPr>
        <w:rPr>
          <w:rFonts w:cs="Arial"/>
          <w:color w:val="000000" w:themeColor="text1"/>
        </w:rPr>
      </w:pPr>
      <w:r>
        <w:rPr>
          <w:rFonts w:cs="Arial"/>
          <w:color w:val="000000" w:themeColor="text1"/>
        </w:rPr>
        <w:t xml:space="preserve">Councillor McCracken </w:t>
      </w:r>
      <w:r w:rsidR="00015865">
        <w:rPr>
          <w:rFonts w:cs="Arial"/>
          <w:color w:val="000000" w:themeColor="text1"/>
        </w:rPr>
        <w:t xml:space="preserve">echoed those comments and remarked that the </w:t>
      </w:r>
      <w:r w:rsidR="00784A1E">
        <w:rPr>
          <w:rFonts w:cs="Arial"/>
          <w:color w:val="000000" w:themeColor="text1"/>
        </w:rPr>
        <w:t>R</w:t>
      </w:r>
      <w:r w:rsidR="00015865">
        <w:rPr>
          <w:rFonts w:cs="Arial"/>
          <w:color w:val="000000" w:themeColor="text1"/>
        </w:rPr>
        <w:t xml:space="preserve">emembrance service held the previous Sunday had been a special day with a huge crowd and support. He hoped that a reception could be arranged before the end of the year to commemorate a century of service and recognition for their continued work. </w:t>
      </w:r>
    </w:p>
    <w:p w14:paraId="69AE5778" w14:textId="77777777" w:rsidR="00CC2007" w:rsidRDefault="00CC2007" w:rsidP="00D942C5">
      <w:pPr>
        <w:rPr>
          <w:rFonts w:cs="Arial"/>
          <w:color w:val="000000" w:themeColor="text1"/>
        </w:rPr>
      </w:pPr>
    </w:p>
    <w:p w14:paraId="51FCAC4B" w14:textId="62BC5CDB" w:rsidR="00CC2007" w:rsidRDefault="00CC2007" w:rsidP="00D942C5">
      <w:pPr>
        <w:rPr>
          <w:rFonts w:cs="Arial"/>
          <w:color w:val="000000" w:themeColor="text1"/>
        </w:rPr>
      </w:pPr>
      <w:r>
        <w:rPr>
          <w:rFonts w:cs="Arial"/>
          <w:color w:val="000000" w:themeColor="text1"/>
        </w:rPr>
        <w:t xml:space="preserve">Councillor </w:t>
      </w:r>
      <w:r w:rsidR="00015865">
        <w:rPr>
          <w:rFonts w:cs="Arial"/>
          <w:color w:val="000000" w:themeColor="text1"/>
        </w:rPr>
        <w:t xml:space="preserve">Gilmour </w:t>
      </w:r>
      <w:r w:rsidR="00960DDA">
        <w:rPr>
          <w:rFonts w:cs="Arial"/>
          <w:color w:val="000000" w:themeColor="text1"/>
        </w:rPr>
        <w:t>was happy to support the proposal. The Bangor Branch of the R</w:t>
      </w:r>
      <w:r w:rsidR="006D344A">
        <w:rPr>
          <w:rFonts w:cs="Arial"/>
          <w:color w:val="000000" w:themeColor="text1"/>
        </w:rPr>
        <w:t xml:space="preserve">oyal </w:t>
      </w:r>
      <w:r w:rsidR="00960DDA">
        <w:rPr>
          <w:rFonts w:cs="Arial"/>
          <w:color w:val="000000" w:themeColor="text1"/>
        </w:rPr>
        <w:t>B</w:t>
      </w:r>
      <w:r w:rsidR="006D344A">
        <w:rPr>
          <w:rFonts w:cs="Arial"/>
          <w:color w:val="000000" w:themeColor="text1"/>
        </w:rPr>
        <w:t xml:space="preserve">ritish </w:t>
      </w:r>
      <w:r w:rsidR="00960DDA">
        <w:rPr>
          <w:rFonts w:cs="Arial"/>
          <w:color w:val="000000" w:themeColor="text1"/>
        </w:rPr>
        <w:t>L</w:t>
      </w:r>
      <w:r w:rsidR="006D344A">
        <w:rPr>
          <w:rFonts w:cs="Arial"/>
          <w:color w:val="000000" w:themeColor="text1"/>
        </w:rPr>
        <w:t>egion</w:t>
      </w:r>
      <w:r w:rsidR="00960DDA">
        <w:rPr>
          <w:rFonts w:cs="Arial"/>
          <w:color w:val="000000" w:themeColor="text1"/>
        </w:rPr>
        <w:t xml:space="preserve"> had done a lot of work in Bangor over the last 100 years. When Councillor Gilmour was </w:t>
      </w:r>
      <w:proofErr w:type="gramStart"/>
      <w:r w:rsidR="00960DDA">
        <w:rPr>
          <w:rFonts w:cs="Arial"/>
          <w:color w:val="000000" w:themeColor="text1"/>
        </w:rPr>
        <w:t>Mayor</w:t>
      </w:r>
      <w:proofErr w:type="gramEnd"/>
      <w:r w:rsidR="00960DDA">
        <w:rPr>
          <w:rFonts w:cs="Arial"/>
          <w:color w:val="000000" w:themeColor="text1"/>
        </w:rPr>
        <w:t xml:space="preserve"> they had been one of her charities and she had the opportunity to have an insight in</w:t>
      </w:r>
      <w:r w:rsidR="001873C4">
        <w:rPr>
          <w:rFonts w:cs="Arial"/>
          <w:color w:val="000000" w:themeColor="text1"/>
        </w:rPr>
        <w:t>to</w:t>
      </w:r>
      <w:r w:rsidR="00960DDA">
        <w:rPr>
          <w:rFonts w:cs="Arial"/>
          <w:color w:val="000000" w:themeColor="text1"/>
        </w:rPr>
        <w:t xml:space="preserve"> the workings and the support they provided for veterans and their families. The poppy appeal volunteers worked hard throughout the year selling the poppies and </w:t>
      </w:r>
      <w:proofErr w:type="gramStart"/>
      <w:r w:rsidR="00960DDA">
        <w:rPr>
          <w:rFonts w:cs="Arial"/>
          <w:color w:val="000000" w:themeColor="text1"/>
        </w:rPr>
        <w:t>making preparations</w:t>
      </w:r>
      <w:proofErr w:type="gramEnd"/>
      <w:r w:rsidR="00960DDA">
        <w:rPr>
          <w:rFonts w:cs="Arial"/>
          <w:color w:val="000000" w:themeColor="text1"/>
        </w:rPr>
        <w:t xml:space="preserve"> for the following year. The branch was always on the look out for volunteers and she felt the celebration would also raise awareness.   Councillor Gilmour knew that a civic dinner was outside of the budgetary constraints </w:t>
      </w:r>
      <w:r w:rsidR="006D344A">
        <w:rPr>
          <w:rFonts w:cs="Arial"/>
          <w:color w:val="000000" w:themeColor="text1"/>
        </w:rPr>
        <w:t xml:space="preserve">of the Council </w:t>
      </w:r>
      <w:r w:rsidR="00960DDA">
        <w:rPr>
          <w:rFonts w:cs="Arial"/>
          <w:color w:val="000000" w:themeColor="text1"/>
        </w:rPr>
        <w:t xml:space="preserve">and she thanked the </w:t>
      </w:r>
      <w:proofErr w:type="gramStart"/>
      <w:r w:rsidR="00960DDA">
        <w:rPr>
          <w:rFonts w:cs="Arial"/>
          <w:color w:val="000000" w:themeColor="text1"/>
        </w:rPr>
        <w:t>Mayor</w:t>
      </w:r>
      <w:proofErr w:type="gramEnd"/>
      <w:r w:rsidR="00960DDA">
        <w:rPr>
          <w:rFonts w:cs="Arial"/>
          <w:color w:val="000000" w:themeColor="text1"/>
        </w:rPr>
        <w:t xml:space="preserve"> for the offer of a mayoral reception. </w:t>
      </w:r>
      <w:proofErr w:type="gramStart"/>
      <w:r w:rsidR="00960DDA">
        <w:rPr>
          <w:rFonts w:cs="Arial"/>
          <w:color w:val="000000" w:themeColor="text1"/>
        </w:rPr>
        <w:t>However</w:t>
      </w:r>
      <w:proofErr w:type="gramEnd"/>
      <w:r w:rsidR="00960DDA">
        <w:rPr>
          <w:rFonts w:cs="Arial"/>
          <w:color w:val="000000" w:themeColor="text1"/>
        </w:rPr>
        <w:t xml:space="preserve"> she felt it was important that the significance of the 100 years be marked and the full civic list be invited to attend.  </w:t>
      </w:r>
    </w:p>
    <w:p w14:paraId="36125F81" w14:textId="77777777" w:rsidR="00000178" w:rsidRDefault="00000178" w:rsidP="00D942C5">
      <w:pPr>
        <w:rPr>
          <w:rFonts w:cs="Arial"/>
          <w:color w:val="000000" w:themeColor="text1"/>
        </w:rPr>
      </w:pPr>
    </w:p>
    <w:p w14:paraId="1EEEFE16" w14:textId="4FC37974" w:rsidR="00000178" w:rsidRPr="0049471F" w:rsidRDefault="0049471F" w:rsidP="00D942C5">
      <w:pPr>
        <w:rPr>
          <w:rFonts w:cs="Arial"/>
          <w:b/>
          <w:bCs/>
          <w:color w:val="000000" w:themeColor="text1"/>
        </w:rPr>
      </w:pPr>
      <w:r w:rsidRPr="0049471F">
        <w:rPr>
          <w:rFonts w:cs="Arial"/>
          <w:b/>
          <w:bCs/>
          <w:color w:val="000000" w:themeColor="text1"/>
        </w:rPr>
        <w:t>AGREED TO RECOMMEND, on the proposal of</w:t>
      </w:r>
      <w:r w:rsidR="006A4C0A">
        <w:rPr>
          <w:rFonts w:cs="Arial"/>
          <w:b/>
          <w:bCs/>
          <w:color w:val="000000" w:themeColor="text1"/>
        </w:rPr>
        <w:t xml:space="preserve"> Councillor W Irvine</w:t>
      </w:r>
      <w:r w:rsidRPr="0049471F">
        <w:rPr>
          <w:rFonts w:cs="Arial"/>
          <w:b/>
          <w:bCs/>
          <w:color w:val="000000" w:themeColor="text1"/>
        </w:rPr>
        <w:t xml:space="preserve">, seconded by </w:t>
      </w:r>
      <w:r w:rsidR="006A4C0A">
        <w:rPr>
          <w:rFonts w:cs="Arial"/>
          <w:b/>
          <w:bCs/>
          <w:color w:val="000000" w:themeColor="text1"/>
        </w:rPr>
        <w:t>Councillor McCracken</w:t>
      </w:r>
      <w:r w:rsidRPr="0049471F">
        <w:rPr>
          <w:rFonts w:cs="Arial"/>
          <w:b/>
          <w:bCs/>
          <w:color w:val="000000" w:themeColor="text1"/>
        </w:rPr>
        <w:t xml:space="preserve">, that the recommendation be adopted. </w:t>
      </w:r>
    </w:p>
    <w:p w14:paraId="218E5FEE" w14:textId="77777777" w:rsidR="00D942C5" w:rsidRPr="00960DDA" w:rsidRDefault="00D942C5" w:rsidP="00960DDA">
      <w:pPr>
        <w:rPr>
          <w:rFonts w:cs="Arial"/>
          <w:color w:val="000000" w:themeColor="text1"/>
        </w:rPr>
      </w:pPr>
    </w:p>
    <w:p w14:paraId="6E03001B" w14:textId="77370AD8" w:rsidR="00D942C5" w:rsidRPr="00000178" w:rsidRDefault="00000178" w:rsidP="00000178">
      <w:pPr>
        <w:pStyle w:val="Heading1"/>
        <w:rPr>
          <w:b/>
          <w:bCs/>
        </w:rPr>
      </w:pPr>
      <w:r w:rsidRPr="00000178">
        <w:rPr>
          <w:b/>
          <w:bCs/>
        </w:rPr>
        <w:t>5.</w:t>
      </w:r>
      <w:r w:rsidRPr="00000178">
        <w:rPr>
          <w:b/>
          <w:bCs/>
        </w:rPr>
        <w:tab/>
      </w:r>
      <w:r w:rsidR="00D942C5" w:rsidRPr="00000178">
        <w:rPr>
          <w:b/>
          <w:bCs/>
          <w:u w:val="single"/>
        </w:rPr>
        <w:t>Scheme of Allowances</w:t>
      </w:r>
      <w:r w:rsidR="00D942C5" w:rsidRPr="00000178">
        <w:rPr>
          <w:b/>
          <w:bCs/>
        </w:rPr>
        <w:t xml:space="preserve"> </w:t>
      </w:r>
    </w:p>
    <w:p w14:paraId="67FDE5F0" w14:textId="31AD351C" w:rsidR="00000178" w:rsidRDefault="00000178" w:rsidP="00000178">
      <w:pPr>
        <w:rPr>
          <w:rFonts w:cs="Arial"/>
          <w:color w:val="000000" w:themeColor="text1"/>
        </w:rPr>
      </w:pPr>
      <w:r>
        <w:rPr>
          <w:rFonts w:cs="Arial"/>
          <w:color w:val="000000" w:themeColor="text1"/>
        </w:rPr>
        <w:tab/>
        <w:t xml:space="preserve">(Appendices </w:t>
      </w:r>
      <w:r w:rsidR="004F04ED">
        <w:rPr>
          <w:rFonts w:cs="Arial"/>
          <w:color w:val="000000" w:themeColor="text1"/>
        </w:rPr>
        <w:t>I- II</w:t>
      </w:r>
      <w:r>
        <w:rPr>
          <w:rFonts w:cs="Arial"/>
          <w:color w:val="000000" w:themeColor="text1"/>
        </w:rPr>
        <w:t>)</w:t>
      </w:r>
    </w:p>
    <w:p w14:paraId="5EF17956" w14:textId="77777777" w:rsidR="00000178" w:rsidRPr="00000178" w:rsidRDefault="00000178" w:rsidP="00000178">
      <w:pPr>
        <w:rPr>
          <w:rFonts w:cs="Arial"/>
          <w:color w:val="000000" w:themeColor="text1"/>
          <w:szCs w:val="24"/>
        </w:rPr>
      </w:pPr>
    </w:p>
    <w:p w14:paraId="3FF6C02E" w14:textId="4434130A" w:rsidR="00000178" w:rsidRPr="00000178" w:rsidRDefault="00000178" w:rsidP="00000178">
      <w:pPr>
        <w:rPr>
          <w:rFonts w:cs="Arial"/>
          <w:szCs w:val="24"/>
        </w:rPr>
      </w:pPr>
      <w:r w:rsidRPr="00000178">
        <w:rPr>
          <w:rFonts w:cs="Arial"/>
          <w:caps/>
          <w:color w:val="000000" w:themeColor="text1"/>
          <w:szCs w:val="24"/>
        </w:rPr>
        <w:t xml:space="preserve">Previously </w:t>
      </w:r>
      <w:proofErr w:type="gramStart"/>
      <w:r w:rsidRPr="00000178">
        <w:rPr>
          <w:rFonts w:cs="Arial"/>
          <w:caps/>
          <w:color w:val="000000" w:themeColor="text1"/>
          <w:szCs w:val="24"/>
        </w:rPr>
        <w:t>circulated:-</w:t>
      </w:r>
      <w:proofErr w:type="gramEnd"/>
      <w:r w:rsidRPr="00000178">
        <w:rPr>
          <w:rFonts w:cs="Arial"/>
          <w:color w:val="000000" w:themeColor="text1"/>
          <w:szCs w:val="24"/>
        </w:rPr>
        <w:t xml:space="preserve"> Report from the Director of Corporate Services attaching </w:t>
      </w:r>
      <w:r w:rsidRPr="00000178">
        <w:rPr>
          <w:rFonts w:cs="Arial"/>
          <w:noProof/>
          <w:szCs w:val="24"/>
        </w:rPr>
        <w:t xml:space="preserve">DfC Determination and Scheme of Allowances v13.2 (tracked). The report detailed </w:t>
      </w:r>
      <w:r>
        <w:rPr>
          <w:rFonts w:cs="Arial"/>
          <w:noProof/>
          <w:szCs w:val="24"/>
        </w:rPr>
        <w:t>that e</w:t>
      </w:r>
      <w:r w:rsidRPr="00000178">
        <w:rPr>
          <w:rFonts w:cs="Arial"/>
          <w:szCs w:val="24"/>
        </w:rPr>
        <w:t xml:space="preserve">ach year the Council must approve a Scheme of Allowances for Councillors before any payments </w:t>
      </w:r>
      <w:r>
        <w:rPr>
          <w:rFonts w:cs="Arial"/>
          <w:szCs w:val="24"/>
        </w:rPr>
        <w:t xml:space="preserve">could </w:t>
      </w:r>
      <w:r w:rsidRPr="00000178">
        <w:rPr>
          <w:rFonts w:cs="Arial"/>
          <w:szCs w:val="24"/>
        </w:rPr>
        <w:t>be made to Elected Members.</w:t>
      </w:r>
    </w:p>
    <w:p w14:paraId="7837752E" w14:textId="77777777" w:rsidR="00000178" w:rsidRPr="00000178" w:rsidRDefault="00000178" w:rsidP="00000178">
      <w:pPr>
        <w:rPr>
          <w:rFonts w:cs="Arial"/>
          <w:szCs w:val="24"/>
        </w:rPr>
      </w:pPr>
    </w:p>
    <w:p w14:paraId="02976910" w14:textId="6496C13E" w:rsidR="00000178" w:rsidRPr="00000178" w:rsidRDefault="00000178" w:rsidP="00000178">
      <w:pPr>
        <w:rPr>
          <w:rFonts w:cs="Arial"/>
          <w:szCs w:val="24"/>
        </w:rPr>
      </w:pPr>
      <w:r w:rsidRPr="00000178">
        <w:rPr>
          <w:rFonts w:cs="Arial"/>
          <w:szCs w:val="24"/>
        </w:rPr>
        <w:t>This latest version, 13.2, ha</w:t>
      </w:r>
      <w:r>
        <w:rPr>
          <w:rFonts w:cs="Arial"/>
          <w:szCs w:val="24"/>
        </w:rPr>
        <w:t>d</w:t>
      </w:r>
      <w:r w:rsidRPr="00000178">
        <w:rPr>
          <w:rFonts w:cs="Arial"/>
          <w:szCs w:val="24"/>
        </w:rPr>
        <w:t xml:space="preserve"> been prepared following the recent Department for Communities’ (DfC) determination on the maximum </w:t>
      </w:r>
      <w:proofErr w:type="gramStart"/>
      <w:r w:rsidRPr="00000178">
        <w:rPr>
          <w:rFonts w:cs="Arial"/>
          <w:szCs w:val="24"/>
        </w:rPr>
        <w:t>allowances</w:t>
      </w:r>
      <w:proofErr w:type="gramEnd"/>
      <w:r w:rsidRPr="00000178">
        <w:rPr>
          <w:rFonts w:cs="Arial"/>
          <w:szCs w:val="24"/>
        </w:rPr>
        <w:t xml:space="preserve"> payable to Members In line with previous practice the Scheme ha</w:t>
      </w:r>
      <w:r>
        <w:rPr>
          <w:rFonts w:cs="Arial"/>
          <w:szCs w:val="24"/>
        </w:rPr>
        <w:t>d</w:t>
      </w:r>
      <w:r w:rsidRPr="00000178">
        <w:rPr>
          <w:rFonts w:cs="Arial"/>
          <w:szCs w:val="24"/>
        </w:rPr>
        <w:t xml:space="preserve"> maintained the budgeted figure. </w:t>
      </w:r>
      <w:proofErr w:type="gramStart"/>
      <w:r w:rsidRPr="00000178">
        <w:rPr>
          <w:rFonts w:cs="Arial"/>
          <w:szCs w:val="24"/>
        </w:rPr>
        <w:t>However</w:t>
      </w:r>
      <w:proofErr w:type="gramEnd"/>
      <w:r w:rsidRPr="00000178">
        <w:rPr>
          <w:rFonts w:cs="Arial"/>
          <w:szCs w:val="24"/>
        </w:rPr>
        <w:t xml:space="preserve"> paragraphs 3 and 4.1 ha</w:t>
      </w:r>
      <w:r>
        <w:rPr>
          <w:rFonts w:cs="Arial"/>
          <w:szCs w:val="24"/>
        </w:rPr>
        <w:t>d</w:t>
      </w:r>
      <w:r w:rsidRPr="00000178">
        <w:rPr>
          <w:rFonts w:cs="Arial"/>
          <w:szCs w:val="24"/>
        </w:rPr>
        <w:t xml:space="preserve"> been reformatted to show the maximum allowances permitted. </w:t>
      </w:r>
    </w:p>
    <w:p w14:paraId="05A64E54" w14:textId="77777777" w:rsidR="00000178" w:rsidRPr="00000178" w:rsidRDefault="00000178" w:rsidP="00000178">
      <w:pPr>
        <w:rPr>
          <w:rFonts w:cs="Arial"/>
          <w:szCs w:val="24"/>
        </w:rPr>
      </w:pPr>
    </w:p>
    <w:p w14:paraId="581792E1" w14:textId="6A60881E" w:rsidR="00000178" w:rsidRPr="00000178" w:rsidRDefault="00000178" w:rsidP="00000178">
      <w:pPr>
        <w:rPr>
          <w:rFonts w:cs="Arial"/>
          <w:szCs w:val="24"/>
        </w:rPr>
      </w:pPr>
      <w:r w:rsidRPr="00000178">
        <w:rPr>
          <w:rFonts w:cs="Arial"/>
          <w:szCs w:val="24"/>
        </w:rPr>
        <w:t>All changes from version 13.1 ha</w:t>
      </w:r>
      <w:r>
        <w:rPr>
          <w:rFonts w:cs="Arial"/>
          <w:szCs w:val="24"/>
        </w:rPr>
        <w:t>d</w:t>
      </w:r>
      <w:r w:rsidRPr="00000178">
        <w:rPr>
          <w:rFonts w:cs="Arial"/>
          <w:szCs w:val="24"/>
        </w:rPr>
        <w:t xml:space="preserve"> been highlighted in the proposed scheme</w:t>
      </w:r>
      <w:r>
        <w:rPr>
          <w:rFonts w:cs="Arial"/>
          <w:szCs w:val="24"/>
        </w:rPr>
        <w:t xml:space="preserve">.  </w:t>
      </w:r>
    </w:p>
    <w:p w14:paraId="1B6AB293" w14:textId="77777777" w:rsidR="00000178" w:rsidRPr="00000178" w:rsidRDefault="00000178" w:rsidP="00000178">
      <w:pPr>
        <w:rPr>
          <w:rFonts w:cs="Arial"/>
          <w:szCs w:val="24"/>
        </w:rPr>
      </w:pPr>
    </w:p>
    <w:p w14:paraId="67516AB8" w14:textId="136DC87E" w:rsidR="00000178" w:rsidRPr="00000178" w:rsidRDefault="00000178" w:rsidP="00000178">
      <w:pPr>
        <w:rPr>
          <w:rFonts w:cs="Arial"/>
          <w:szCs w:val="24"/>
        </w:rPr>
      </w:pPr>
      <w:r w:rsidRPr="00000178">
        <w:rPr>
          <w:rFonts w:cs="Arial"/>
          <w:szCs w:val="24"/>
        </w:rPr>
        <w:t>Members should also note that a clause has been included within the Administrative and Financial Provisions Bill, currently before the Northern Ireland Assembly, to allow DfC to set councillors’ basic allowances. Special responsibility allowances</w:t>
      </w:r>
      <w:r>
        <w:rPr>
          <w:rFonts w:cs="Arial"/>
          <w:szCs w:val="24"/>
        </w:rPr>
        <w:t xml:space="preserve"> would</w:t>
      </w:r>
      <w:r w:rsidRPr="00000178">
        <w:rPr>
          <w:rFonts w:cs="Arial"/>
          <w:szCs w:val="24"/>
        </w:rPr>
        <w:t xml:space="preserve"> continue to be set by Council within the maximum determined by the Department. Th</w:t>
      </w:r>
      <w:r>
        <w:rPr>
          <w:rFonts w:cs="Arial"/>
          <w:szCs w:val="24"/>
        </w:rPr>
        <w:t>at</w:t>
      </w:r>
      <w:r w:rsidRPr="00000178">
        <w:rPr>
          <w:rFonts w:cs="Arial"/>
          <w:szCs w:val="24"/>
        </w:rPr>
        <w:t xml:space="preserve"> change w</w:t>
      </w:r>
      <w:r>
        <w:rPr>
          <w:rFonts w:cs="Arial"/>
          <w:szCs w:val="24"/>
        </w:rPr>
        <w:t>ould</w:t>
      </w:r>
      <w:r w:rsidRPr="00000178">
        <w:rPr>
          <w:rFonts w:cs="Arial"/>
          <w:szCs w:val="24"/>
        </w:rPr>
        <w:t xml:space="preserve"> not come into effect until a future date.</w:t>
      </w:r>
    </w:p>
    <w:p w14:paraId="62FFD02B" w14:textId="77777777" w:rsidR="00000178" w:rsidRPr="00000178" w:rsidRDefault="00000178" w:rsidP="00000178">
      <w:pPr>
        <w:rPr>
          <w:rFonts w:cs="Arial"/>
          <w:szCs w:val="24"/>
        </w:rPr>
      </w:pPr>
    </w:p>
    <w:p w14:paraId="0AE1F803" w14:textId="31C7B4B9" w:rsidR="00000178" w:rsidRPr="00000178" w:rsidRDefault="00000178" w:rsidP="00000178">
      <w:pPr>
        <w:rPr>
          <w:rFonts w:cs="Arial"/>
          <w:szCs w:val="24"/>
        </w:rPr>
      </w:pPr>
      <w:r w:rsidRPr="00000178">
        <w:rPr>
          <w:rFonts w:cs="Arial"/>
          <w:caps/>
          <w:szCs w:val="24"/>
        </w:rPr>
        <w:t>Recommended</w:t>
      </w:r>
      <w:r w:rsidRPr="00000178">
        <w:rPr>
          <w:rFonts w:cs="Arial"/>
          <w:szCs w:val="24"/>
        </w:rPr>
        <w:t xml:space="preserve"> that Council approves the scheme of allowances v13.2 for 2025/26.</w:t>
      </w:r>
    </w:p>
    <w:p w14:paraId="19F43E45" w14:textId="77777777" w:rsidR="00000178" w:rsidRDefault="00000178" w:rsidP="00000178">
      <w:pPr>
        <w:rPr>
          <w:rFonts w:cs="Arial"/>
          <w:b/>
          <w:bCs/>
          <w:szCs w:val="24"/>
        </w:rPr>
      </w:pPr>
    </w:p>
    <w:p w14:paraId="02081520" w14:textId="218EC4EE" w:rsidR="00960DDA" w:rsidRDefault="00960DDA" w:rsidP="00000178">
      <w:pPr>
        <w:rPr>
          <w:rFonts w:cs="Arial"/>
          <w:szCs w:val="24"/>
        </w:rPr>
      </w:pPr>
      <w:r>
        <w:rPr>
          <w:rFonts w:cs="Arial"/>
          <w:szCs w:val="24"/>
        </w:rPr>
        <w:lastRenderedPageBreak/>
        <w:t xml:space="preserve">Alderman McIlveen noted that this was the second scheme received within the </w:t>
      </w:r>
      <w:proofErr w:type="gramStart"/>
      <w:r>
        <w:rPr>
          <w:rFonts w:cs="Arial"/>
          <w:szCs w:val="24"/>
        </w:rPr>
        <w:t>year</w:t>
      </w:r>
      <w:proofErr w:type="gramEnd"/>
      <w:r>
        <w:rPr>
          <w:rFonts w:cs="Arial"/>
          <w:szCs w:val="24"/>
        </w:rPr>
        <w:t xml:space="preserve"> and the last one</w:t>
      </w:r>
      <w:r w:rsidR="00767C56">
        <w:rPr>
          <w:rFonts w:cs="Arial"/>
          <w:szCs w:val="24"/>
        </w:rPr>
        <w:t xml:space="preserve"> was</w:t>
      </w:r>
      <w:r>
        <w:rPr>
          <w:rFonts w:cs="Arial"/>
          <w:szCs w:val="24"/>
        </w:rPr>
        <w:t xml:space="preserve"> deferred to the rate setting process. He did not feel that it was appropriate to make the additions during the course of the </w:t>
      </w:r>
      <w:proofErr w:type="gramStart"/>
      <w:r>
        <w:rPr>
          <w:rFonts w:cs="Arial"/>
          <w:szCs w:val="24"/>
        </w:rPr>
        <w:t>year</w:t>
      </w:r>
      <w:proofErr w:type="gramEnd"/>
      <w:r>
        <w:rPr>
          <w:rFonts w:cs="Arial"/>
          <w:szCs w:val="24"/>
        </w:rPr>
        <w:t xml:space="preserve"> and the scheme should be again deferred to the rate setting process to deal with the matter at the most appropriate time. </w:t>
      </w:r>
    </w:p>
    <w:p w14:paraId="54FEDFD0" w14:textId="77777777" w:rsidR="00960DDA" w:rsidRPr="00960DDA" w:rsidRDefault="00960DDA" w:rsidP="00000178">
      <w:pPr>
        <w:rPr>
          <w:rFonts w:cs="Arial"/>
          <w:szCs w:val="24"/>
        </w:rPr>
      </w:pPr>
    </w:p>
    <w:p w14:paraId="1712BA03" w14:textId="58E16200" w:rsidR="00960DDA" w:rsidRPr="00960DDA" w:rsidRDefault="00960DDA" w:rsidP="00960DDA">
      <w:pPr>
        <w:rPr>
          <w:rFonts w:cs="Arial"/>
          <w:szCs w:val="24"/>
        </w:rPr>
      </w:pPr>
      <w:r w:rsidRPr="00960DDA">
        <w:rPr>
          <w:rFonts w:cs="Arial"/>
          <w:szCs w:val="24"/>
        </w:rPr>
        <w:t xml:space="preserve">Proposed by Alderman McIlveen, seconded by Councillor Gilmour, that the report be deferred and considered as part of the rate setting process. </w:t>
      </w:r>
    </w:p>
    <w:p w14:paraId="65F0BEDD" w14:textId="4476C574" w:rsidR="00960DDA" w:rsidRPr="00960DDA" w:rsidRDefault="00960DDA" w:rsidP="00BB5F0A">
      <w:pPr>
        <w:rPr>
          <w:rFonts w:cs="Arial"/>
          <w:szCs w:val="24"/>
        </w:rPr>
      </w:pPr>
    </w:p>
    <w:p w14:paraId="4A0592DD" w14:textId="2A305B26" w:rsidR="00000178" w:rsidRPr="00BB5F0A" w:rsidRDefault="00BB5F0A" w:rsidP="00BB5F0A">
      <w:pPr>
        <w:rPr>
          <w:rFonts w:cs="Arial"/>
          <w:szCs w:val="24"/>
        </w:rPr>
      </w:pPr>
      <w:r>
        <w:rPr>
          <w:rFonts w:cs="Arial"/>
          <w:szCs w:val="24"/>
        </w:rPr>
        <w:t xml:space="preserve">The Head of Finance stated that the scheme of allowances did not increase the allowances in line with the determination of the DfC. He explained that the scheme had been amended, as required however that did not mean a change in the budgetary impact. </w:t>
      </w:r>
    </w:p>
    <w:p w14:paraId="59CF0618" w14:textId="77777777" w:rsidR="0049471F" w:rsidRDefault="0049471F" w:rsidP="0049471F">
      <w:pPr>
        <w:rPr>
          <w:rFonts w:cs="Arial"/>
          <w:color w:val="000000" w:themeColor="text1"/>
        </w:rPr>
      </w:pPr>
    </w:p>
    <w:p w14:paraId="7629B071" w14:textId="1617009F" w:rsidR="0049471F" w:rsidRPr="00960DDA" w:rsidRDefault="0049471F" w:rsidP="0049471F">
      <w:pPr>
        <w:rPr>
          <w:rFonts w:cs="Arial"/>
          <w:b/>
          <w:bCs/>
          <w:color w:val="000000" w:themeColor="text1"/>
        </w:rPr>
      </w:pPr>
      <w:r w:rsidRPr="00960DDA">
        <w:rPr>
          <w:rFonts w:cs="Arial"/>
          <w:b/>
          <w:bCs/>
          <w:color w:val="000000" w:themeColor="text1"/>
        </w:rPr>
        <w:t xml:space="preserve">AGREED TO RECOMMEND, on the proposal of </w:t>
      </w:r>
      <w:r w:rsidR="00960DDA" w:rsidRPr="00960DDA">
        <w:rPr>
          <w:rFonts w:cs="Arial"/>
          <w:b/>
          <w:bCs/>
          <w:color w:val="000000" w:themeColor="text1"/>
        </w:rPr>
        <w:t>Alderman McIlveen</w:t>
      </w:r>
      <w:r w:rsidRPr="00960DDA">
        <w:rPr>
          <w:rFonts w:cs="Arial"/>
          <w:b/>
          <w:bCs/>
          <w:color w:val="000000" w:themeColor="text1"/>
        </w:rPr>
        <w:t xml:space="preserve">, seconded by </w:t>
      </w:r>
      <w:r w:rsidR="00960DDA" w:rsidRPr="00960DDA">
        <w:rPr>
          <w:rFonts w:cs="Arial"/>
          <w:b/>
          <w:bCs/>
          <w:color w:val="000000" w:themeColor="text1"/>
        </w:rPr>
        <w:t>Councillor Gilmour</w:t>
      </w:r>
      <w:r w:rsidRPr="00960DDA">
        <w:rPr>
          <w:rFonts w:cs="Arial"/>
          <w:b/>
          <w:bCs/>
          <w:color w:val="000000" w:themeColor="text1"/>
        </w:rPr>
        <w:t xml:space="preserve">, that </w:t>
      </w:r>
      <w:r w:rsidR="00960DDA" w:rsidRPr="00960DDA">
        <w:rPr>
          <w:rFonts w:cs="Arial"/>
          <w:b/>
          <w:bCs/>
          <w:szCs w:val="24"/>
        </w:rPr>
        <w:t>the report be deferred and considered as part of the rate setting process.</w:t>
      </w:r>
    </w:p>
    <w:p w14:paraId="0427F310" w14:textId="77777777" w:rsidR="00D942C5" w:rsidRPr="0049471F" w:rsidRDefault="00D942C5" w:rsidP="0049471F">
      <w:pPr>
        <w:rPr>
          <w:rFonts w:cs="Arial"/>
          <w:color w:val="000000" w:themeColor="text1"/>
        </w:rPr>
      </w:pPr>
    </w:p>
    <w:p w14:paraId="0BA46BFB" w14:textId="6F1EEFE8" w:rsidR="00D942C5" w:rsidRDefault="00D942C5" w:rsidP="00D942C5">
      <w:pPr>
        <w:contextualSpacing/>
        <w:rPr>
          <w:rFonts w:cs="Arial"/>
          <w:b/>
          <w:color w:val="000000" w:themeColor="text1"/>
          <w:szCs w:val="24"/>
          <w:u w:val="single"/>
        </w:rPr>
      </w:pPr>
      <w:r w:rsidRPr="00E4144A">
        <w:rPr>
          <w:rFonts w:cs="Arial"/>
          <w:b/>
          <w:color w:val="000000" w:themeColor="text1"/>
          <w:szCs w:val="24"/>
          <w:u w:val="single"/>
        </w:rPr>
        <w:t>Reports for Noting</w:t>
      </w:r>
    </w:p>
    <w:p w14:paraId="76ADA00E" w14:textId="77777777" w:rsidR="00000178" w:rsidRPr="00E4144A" w:rsidRDefault="00000178" w:rsidP="00D942C5">
      <w:pPr>
        <w:contextualSpacing/>
        <w:rPr>
          <w:rFonts w:cs="Arial"/>
          <w:color w:val="000000" w:themeColor="text1"/>
          <w:szCs w:val="24"/>
        </w:rPr>
      </w:pPr>
    </w:p>
    <w:p w14:paraId="3DCF3461" w14:textId="34B57D47" w:rsidR="00D942C5" w:rsidRPr="00E239F8" w:rsidRDefault="00000178" w:rsidP="00E239F8">
      <w:pPr>
        <w:pStyle w:val="Heading1"/>
        <w:rPr>
          <w:b/>
          <w:bCs/>
        </w:rPr>
      </w:pPr>
      <w:r w:rsidRPr="00E239F8">
        <w:rPr>
          <w:b/>
          <w:bCs/>
        </w:rPr>
        <w:t>6.</w:t>
      </w:r>
      <w:r w:rsidRPr="00E239F8">
        <w:rPr>
          <w:b/>
          <w:bCs/>
        </w:rPr>
        <w:tab/>
      </w:r>
      <w:r w:rsidR="00D942C5" w:rsidRPr="00E239F8">
        <w:rPr>
          <w:b/>
          <w:bCs/>
          <w:u w:val="single"/>
        </w:rPr>
        <w:t>Strategic Budget Report – September 2025</w:t>
      </w:r>
      <w:r w:rsidR="00D942C5" w:rsidRPr="00E239F8">
        <w:rPr>
          <w:b/>
          <w:bCs/>
        </w:rPr>
        <w:t xml:space="preserve"> </w:t>
      </w:r>
    </w:p>
    <w:p w14:paraId="0F93E297" w14:textId="25EA8D61" w:rsidR="00E239F8" w:rsidRDefault="00E239F8" w:rsidP="00000178">
      <w:pPr>
        <w:rPr>
          <w:rFonts w:cs="Arial"/>
          <w:color w:val="000000" w:themeColor="text1"/>
        </w:rPr>
      </w:pPr>
      <w:r>
        <w:rPr>
          <w:rFonts w:cs="Arial"/>
          <w:color w:val="000000" w:themeColor="text1"/>
        </w:rPr>
        <w:tab/>
        <w:t xml:space="preserve">(Appendix </w:t>
      </w:r>
      <w:r w:rsidR="004F04ED">
        <w:rPr>
          <w:rFonts w:cs="Arial"/>
          <w:color w:val="000000" w:themeColor="text1"/>
        </w:rPr>
        <w:t>III</w:t>
      </w:r>
      <w:r>
        <w:rPr>
          <w:rFonts w:cs="Arial"/>
          <w:color w:val="000000" w:themeColor="text1"/>
        </w:rPr>
        <w:t>)</w:t>
      </w:r>
    </w:p>
    <w:p w14:paraId="3D7551EE" w14:textId="77777777" w:rsidR="00E239F8" w:rsidRDefault="00E239F8" w:rsidP="00000178">
      <w:pPr>
        <w:rPr>
          <w:rFonts w:cs="Arial"/>
          <w:color w:val="000000" w:themeColor="text1"/>
        </w:rPr>
      </w:pPr>
    </w:p>
    <w:p w14:paraId="40E4D2C4" w14:textId="4A1EF021" w:rsidR="00E239F8" w:rsidRDefault="00E239F8" w:rsidP="00E239F8">
      <w:pPr>
        <w:pStyle w:val="BodyText"/>
      </w:pPr>
      <w:r w:rsidRPr="00E239F8">
        <w:rPr>
          <w:caps/>
          <w:color w:val="000000" w:themeColor="text1"/>
        </w:rPr>
        <w:t xml:space="preserve">Previously </w:t>
      </w:r>
      <w:proofErr w:type="gramStart"/>
      <w:r w:rsidRPr="00E239F8">
        <w:rPr>
          <w:caps/>
          <w:color w:val="000000" w:themeColor="text1"/>
        </w:rPr>
        <w:t>circulated</w:t>
      </w:r>
      <w:r>
        <w:rPr>
          <w:color w:val="000000" w:themeColor="text1"/>
        </w:rPr>
        <w:t>:-</w:t>
      </w:r>
      <w:proofErr w:type="gramEnd"/>
      <w:r>
        <w:rPr>
          <w:color w:val="000000" w:themeColor="text1"/>
        </w:rPr>
        <w:t xml:space="preserve"> Report from Director of Corporate Services attaching strategic budget report. </w:t>
      </w:r>
      <w:r>
        <w:t>This was the</w:t>
      </w:r>
      <w:r>
        <w:rPr>
          <w:spacing w:val="24"/>
        </w:rPr>
        <w:t xml:space="preserve"> </w:t>
      </w:r>
      <w:r>
        <w:t>second budget report</w:t>
      </w:r>
      <w:r>
        <w:rPr>
          <w:spacing w:val="22"/>
        </w:rPr>
        <w:t xml:space="preserve"> </w:t>
      </w:r>
      <w:r>
        <w:t>for the financial</w:t>
      </w:r>
      <w:r>
        <w:rPr>
          <w:spacing w:val="22"/>
        </w:rPr>
        <w:t xml:space="preserve"> </w:t>
      </w:r>
      <w:r>
        <w:t>year. It</w:t>
      </w:r>
      <w:r>
        <w:rPr>
          <w:spacing w:val="23"/>
        </w:rPr>
        <w:t xml:space="preserve"> </w:t>
      </w:r>
      <w:r>
        <w:t>sets out the</w:t>
      </w:r>
      <w:r>
        <w:rPr>
          <w:spacing w:val="22"/>
        </w:rPr>
        <w:t xml:space="preserve"> </w:t>
      </w:r>
      <w:r>
        <w:t>variances for expenditure</w:t>
      </w:r>
      <w:r>
        <w:rPr>
          <w:spacing w:val="27"/>
        </w:rPr>
        <w:t xml:space="preserve"> </w:t>
      </w:r>
      <w:r>
        <w:t>and</w:t>
      </w:r>
      <w:r>
        <w:rPr>
          <w:spacing w:val="30"/>
        </w:rPr>
        <w:t xml:space="preserve"> </w:t>
      </w:r>
      <w:r>
        <w:t>income</w:t>
      </w:r>
      <w:r>
        <w:rPr>
          <w:spacing w:val="30"/>
        </w:rPr>
        <w:t xml:space="preserve"> </w:t>
      </w:r>
      <w:r>
        <w:t>for</w:t>
      </w:r>
      <w:r>
        <w:rPr>
          <w:spacing w:val="28"/>
        </w:rPr>
        <w:t xml:space="preserve"> </w:t>
      </w:r>
      <w:r>
        <w:t>the</w:t>
      </w:r>
      <w:r>
        <w:rPr>
          <w:spacing w:val="31"/>
        </w:rPr>
        <w:t xml:space="preserve"> </w:t>
      </w:r>
      <w:r>
        <w:t>first</w:t>
      </w:r>
      <w:r>
        <w:rPr>
          <w:spacing w:val="33"/>
        </w:rPr>
        <w:t xml:space="preserve"> </w:t>
      </w:r>
      <w:r>
        <w:t>four</w:t>
      </w:r>
      <w:r>
        <w:rPr>
          <w:spacing w:val="29"/>
        </w:rPr>
        <w:t xml:space="preserve"> </w:t>
      </w:r>
      <w:r>
        <w:t>months</w:t>
      </w:r>
      <w:r>
        <w:rPr>
          <w:spacing w:val="29"/>
        </w:rPr>
        <w:t xml:space="preserve"> </w:t>
      </w:r>
      <w:r>
        <w:t>and</w:t>
      </w:r>
      <w:r>
        <w:rPr>
          <w:spacing w:val="31"/>
        </w:rPr>
        <w:t xml:space="preserve"> </w:t>
      </w:r>
      <w:r>
        <w:t>shows</w:t>
      </w:r>
      <w:r>
        <w:rPr>
          <w:spacing w:val="29"/>
        </w:rPr>
        <w:t xml:space="preserve"> </w:t>
      </w:r>
      <w:r>
        <w:t>a</w:t>
      </w:r>
      <w:r>
        <w:rPr>
          <w:spacing w:val="30"/>
        </w:rPr>
        <w:t xml:space="preserve"> </w:t>
      </w:r>
      <w:r>
        <w:t>budgetary</w:t>
      </w:r>
      <w:r>
        <w:rPr>
          <w:spacing w:val="32"/>
        </w:rPr>
        <w:t xml:space="preserve"> </w:t>
      </w:r>
      <w:r>
        <w:t>deficit</w:t>
      </w:r>
      <w:r>
        <w:rPr>
          <w:spacing w:val="31"/>
        </w:rPr>
        <w:t xml:space="preserve"> </w:t>
      </w:r>
      <w:r>
        <w:rPr>
          <w:spacing w:val="-5"/>
        </w:rPr>
        <w:t>of</w:t>
      </w:r>
      <w:r>
        <w:t xml:space="preserve"> £70k,</w:t>
      </w:r>
      <w:r>
        <w:rPr>
          <w:spacing w:val="-3"/>
        </w:rPr>
        <w:t xml:space="preserve"> </w:t>
      </w:r>
      <w:r>
        <w:t>thus</w:t>
      </w:r>
      <w:r>
        <w:rPr>
          <w:spacing w:val="-1"/>
        </w:rPr>
        <w:t xml:space="preserve"> </w:t>
      </w:r>
      <w:r>
        <w:rPr>
          <w:spacing w:val="-4"/>
        </w:rPr>
        <w:t>far.</w:t>
      </w:r>
    </w:p>
    <w:p w14:paraId="25768704" w14:textId="77777777" w:rsidR="00E239F8" w:rsidRDefault="00E239F8" w:rsidP="00E239F8">
      <w:pPr>
        <w:pStyle w:val="BodyText"/>
      </w:pPr>
    </w:p>
    <w:p w14:paraId="4F2667D0" w14:textId="2BD6FAC4" w:rsidR="00E239F8" w:rsidRDefault="00E239F8" w:rsidP="00E239F8">
      <w:pPr>
        <w:pStyle w:val="BodyText"/>
        <w:spacing w:before="1"/>
        <w:ind w:right="532"/>
      </w:pPr>
      <w:r>
        <w:t>The</w:t>
      </w:r>
      <w:r>
        <w:rPr>
          <w:spacing w:val="-4"/>
        </w:rPr>
        <w:t xml:space="preserve"> </w:t>
      </w:r>
      <w:r>
        <w:t>budgeting</w:t>
      </w:r>
      <w:r>
        <w:rPr>
          <w:spacing w:val="-4"/>
        </w:rPr>
        <w:t xml:space="preserve"> </w:t>
      </w:r>
      <w:r>
        <w:t>policy</w:t>
      </w:r>
      <w:r>
        <w:rPr>
          <w:spacing w:val="-4"/>
        </w:rPr>
        <w:t xml:space="preserve"> </w:t>
      </w:r>
      <w:r>
        <w:t>required</w:t>
      </w:r>
      <w:r>
        <w:rPr>
          <w:spacing w:val="-6"/>
        </w:rPr>
        <w:t xml:space="preserve"> </w:t>
      </w:r>
      <w:r>
        <w:t>officers</w:t>
      </w:r>
      <w:r>
        <w:rPr>
          <w:spacing w:val="-4"/>
        </w:rPr>
        <w:t xml:space="preserve"> </w:t>
      </w:r>
      <w:r>
        <w:t>to</w:t>
      </w:r>
      <w:r>
        <w:rPr>
          <w:spacing w:val="-4"/>
        </w:rPr>
        <w:t xml:space="preserve"> </w:t>
      </w:r>
      <w:r>
        <w:t>forecast</w:t>
      </w:r>
      <w:r>
        <w:rPr>
          <w:spacing w:val="-4"/>
        </w:rPr>
        <w:t xml:space="preserve"> </w:t>
      </w:r>
      <w:r>
        <w:t>potential</w:t>
      </w:r>
      <w:r>
        <w:rPr>
          <w:spacing w:val="-4"/>
        </w:rPr>
        <w:t xml:space="preserve"> </w:t>
      </w:r>
      <w:r>
        <w:t>outturn</w:t>
      </w:r>
      <w:r>
        <w:rPr>
          <w:spacing w:val="-4"/>
        </w:rPr>
        <w:t xml:space="preserve"> </w:t>
      </w:r>
      <w:r>
        <w:t>on</w:t>
      </w:r>
      <w:r>
        <w:rPr>
          <w:spacing w:val="-4"/>
        </w:rPr>
        <w:t xml:space="preserve"> </w:t>
      </w:r>
      <w:r>
        <w:t>four</w:t>
      </w:r>
      <w:r>
        <w:rPr>
          <w:spacing w:val="-4"/>
        </w:rPr>
        <w:t xml:space="preserve"> </w:t>
      </w:r>
      <w:r>
        <w:t>occasions during the financial year – those would occur at the end of June, August, November and January. The final column on page 2 of the report showed that management were forecasting a potential deficit of around £853k, which was mainly due to storm repair work at Aurora. This forecast and the next one would feed into the estimates process and allow judgements to be made in respect of potential reserves positions at the year end.</w:t>
      </w:r>
    </w:p>
    <w:p w14:paraId="5CBBFD8F" w14:textId="77777777" w:rsidR="00E239F8" w:rsidRDefault="00E239F8" w:rsidP="00E239F8">
      <w:pPr>
        <w:pStyle w:val="BodyText"/>
        <w:rPr>
          <w:b/>
        </w:rPr>
      </w:pPr>
    </w:p>
    <w:p w14:paraId="32FB4E3C" w14:textId="7BF3AFBC" w:rsidR="00E239F8" w:rsidRDefault="00E239F8" w:rsidP="00E239F8">
      <w:pPr>
        <w:pStyle w:val="BodyText"/>
      </w:pPr>
      <w:r w:rsidRPr="00E239F8">
        <w:rPr>
          <w:caps/>
        </w:rPr>
        <w:t>Recommended</w:t>
      </w:r>
      <w:r w:rsidRPr="00E239F8">
        <w:rPr>
          <w:caps/>
          <w:spacing w:val="-4"/>
        </w:rPr>
        <w:t xml:space="preserve"> </w:t>
      </w:r>
      <w:r>
        <w:t>that</w:t>
      </w:r>
      <w:r>
        <w:rPr>
          <w:spacing w:val="-3"/>
        </w:rPr>
        <w:t xml:space="preserve"> </w:t>
      </w:r>
      <w:r>
        <w:t>Council</w:t>
      </w:r>
      <w:r>
        <w:rPr>
          <w:spacing w:val="-3"/>
        </w:rPr>
        <w:t xml:space="preserve"> </w:t>
      </w:r>
      <w:r>
        <w:t>notes</w:t>
      </w:r>
      <w:r>
        <w:rPr>
          <w:spacing w:val="-4"/>
        </w:rPr>
        <w:t xml:space="preserve"> </w:t>
      </w:r>
      <w:r>
        <w:t>this</w:t>
      </w:r>
      <w:r>
        <w:rPr>
          <w:spacing w:val="-1"/>
        </w:rPr>
        <w:t xml:space="preserve"> </w:t>
      </w:r>
      <w:r>
        <w:rPr>
          <w:spacing w:val="-2"/>
        </w:rPr>
        <w:t>report.</w:t>
      </w:r>
    </w:p>
    <w:p w14:paraId="3E1550C4" w14:textId="6DF5343A" w:rsidR="00E239F8" w:rsidRPr="00E239F8" w:rsidRDefault="00E239F8" w:rsidP="00000178">
      <w:pPr>
        <w:rPr>
          <w:rFonts w:cs="Arial"/>
          <w:color w:val="000000" w:themeColor="text1"/>
          <w:lang w:val="en-US"/>
        </w:rPr>
      </w:pPr>
    </w:p>
    <w:p w14:paraId="721E32FE" w14:textId="30CA8A7E" w:rsidR="00E239F8" w:rsidRDefault="006A4C0A" w:rsidP="00000178">
      <w:pPr>
        <w:rPr>
          <w:rFonts w:cs="Arial"/>
          <w:color w:val="000000" w:themeColor="text1"/>
        </w:rPr>
      </w:pPr>
      <w:r>
        <w:rPr>
          <w:rFonts w:cs="Arial"/>
          <w:color w:val="000000" w:themeColor="text1"/>
        </w:rPr>
        <w:t xml:space="preserve">Proposed by Alderman Graham, seconded by Councillor Thompson, that the recommendation be adopted. </w:t>
      </w:r>
    </w:p>
    <w:p w14:paraId="412A28D5" w14:textId="77777777" w:rsidR="00E239F8" w:rsidRDefault="00E239F8" w:rsidP="00000178">
      <w:pPr>
        <w:rPr>
          <w:rFonts w:cs="Arial"/>
          <w:color w:val="000000" w:themeColor="text1"/>
        </w:rPr>
      </w:pPr>
    </w:p>
    <w:p w14:paraId="7A2D72D0" w14:textId="6050E680" w:rsidR="006A4C0A" w:rsidRDefault="006A4C0A" w:rsidP="00000178">
      <w:pPr>
        <w:rPr>
          <w:rFonts w:cs="Arial"/>
          <w:color w:val="000000" w:themeColor="text1"/>
        </w:rPr>
      </w:pPr>
      <w:r>
        <w:rPr>
          <w:rFonts w:cs="Arial"/>
          <w:color w:val="000000" w:themeColor="text1"/>
        </w:rPr>
        <w:t xml:space="preserve">Alderman McRandal referred to the figures included for the repairs following the storm damage at Aurora and requested an update </w:t>
      </w:r>
      <w:r w:rsidR="00767C56">
        <w:rPr>
          <w:rFonts w:cs="Arial"/>
          <w:color w:val="000000" w:themeColor="text1"/>
        </w:rPr>
        <w:t xml:space="preserve">on </w:t>
      </w:r>
      <w:r>
        <w:rPr>
          <w:rFonts w:cs="Arial"/>
          <w:color w:val="000000" w:themeColor="text1"/>
        </w:rPr>
        <w:t>the latest position</w:t>
      </w:r>
      <w:r w:rsidR="00BB5F0A">
        <w:rPr>
          <w:rFonts w:cs="Arial"/>
          <w:color w:val="000000" w:themeColor="text1"/>
        </w:rPr>
        <w:t xml:space="preserve"> as to indemnity under insurance. </w:t>
      </w:r>
      <w:r>
        <w:rPr>
          <w:rFonts w:cs="Arial"/>
          <w:color w:val="000000" w:themeColor="text1"/>
        </w:rPr>
        <w:t xml:space="preserve"> </w:t>
      </w:r>
    </w:p>
    <w:p w14:paraId="789A9E9A" w14:textId="77777777" w:rsidR="006A4C0A" w:rsidRDefault="006A4C0A" w:rsidP="00000178">
      <w:pPr>
        <w:rPr>
          <w:rFonts w:cs="Arial"/>
          <w:color w:val="000000" w:themeColor="text1"/>
        </w:rPr>
      </w:pPr>
    </w:p>
    <w:p w14:paraId="08CDBC9D" w14:textId="270429BD" w:rsidR="006A4C0A" w:rsidRPr="00000178" w:rsidRDefault="006A4C0A" w:rsidP="00000178">
      <w:pPr>
        <w:rPr>
          <w:rFonts w:cs="Arial"/>
          <w:color w:val="000000" w:themeColor="text1"/>
        </w:rPr>
      </w:pPr>
      <w:r>
        <w:rPr>
          <w:rFonts w:cs="Arial"/>
          <w:color w:val="000000" w:themeColor="text1"/>
        </w:rPr>
        <w:t xml:space="preserve">The Head of Finance advised that work was continuing with the Insurance </w:t>
      </w:r>
      <w:proofErr w:type="gramStart"/>
      <w:r>
        <w:rPr>
          <w:rFonts w:cs="Arial"/>
          <w:color w:val="000000" w:themeColor="text1"/>
        </w:rPr>
        <w:t>company</w:t>
      </w:r>
      <w:proofErr w:type="gramEnd"/>
      <w:r>
        <w:rPr>
          <w:rFonts w:cs="Arial"/>
          <w:color w:val="000000" w:themeColor="text1"/>
        </w:rPr>
        <w:t xml:space="preserve"> and he could provide further comment if required in the exclusion of the public/press. </w:t>
      </w:r>
    </w:p>
    <w:p w14:paraId="544B8BA3" w14:textId="77777777" w:rsidR="0049471F" w:rsidRDefault="0049471F" w:rsidP="0049471F">
      <w:pPr>
        <w:rPr>
          <w:rFonts w:cs="Arial"/>
          <w:color w:val="000000" w:themeColor="text1"/>
        </w:rPr>
      </w:pPr>
    </w:p>
    <w:p w14:paraId="207DA84B" w14:textId="60152463" w:rsidR="0049471F" w:rsidRPr="0049471F" w:rsidRDefault="0049471F" w:rsidP="0049471F">
      <w:pPr>
        <w:rPr>
          <w:rFonts w:cs="Arial"/>
          <w:b/>
          <w:bCs/>
          <w:color w:val="000000" w:themeColor="text1"/>
        </w:rPr>
      </w:pPr>
      <w:r w:rsidRPr="0049471F">
        <w:rPr>
          <w:rFonts w:cs="Arial"/>
          <w:b/>
          <w:bCs/>
          <w:color w:val="000000" w:themeColor="text1"/>
        </w:rPr>
        <w:t xml:space="preserve">AGREED TO RECOMMEND, on the proposal of </w:t>
      </w:r>
      <w:r w:rsidR="006A4C0A">
        <w:rPr>
          <w:rFonts w:cs="Arial"/>
          <w:b/>
          <w:bCs/>
          <w:color w:val="000000" w:themeColor="text1"/>
        </w:rPr>
        <w:t>Alderman Graham</w:t>
      </w:r>
      <w:r w:rsidRPr="0049471F">
        <w:rPr>
          <w:rFonts w:cs="Arial"/>
          <w:b/>
          <w:bCs/>
          <w:color w:val="000000" w:themeColor="text1"/>
        </w:rPr>
        <w:t xml:space="preserve">, seconded by </w:t>
      </w:r>
      <w:r w:rsidR="006A4C0A">
        <w:rPr>
          <w:rFonts w:cs="Arial"/>
          <w:b/>
          <w:bCs/>
          <w:color w:val="000000" w:themeColor="text1"/>
        </w:rPr>
        <w:t>Councillor Thompson</w:t>
      </w:r>
      <w:r w:rsidRPr="0049471F">
        <w:rPr>
          <w:rFonts w:cs="Arial"/>
          <w:b/>
          <w:bCs/>
          <w:color w:val="000000" w:themeColor="text1"/>
        </w:rPr>
        <w:t xml:space="preserve">, that the recommendation be adopted. </w:t>
      </w:r>
    </w:p>
    <w:p w14:paraId="23677DA3" w14:textId="77777777" w:rsidR="0049471F" w:rsidRPr="0049471F" w:rsidRDefault="0049471F" w:rsidP="0049471F">
      <w:pPr>
        <w:rPr>
          <w:rFonts w:cs="Arial"/>
          <w:color w:val="000000" w:themeColor="text1"/>
        </w:rPr>
      </w:pPr>
    </w:p>
    <w:p w14:paraId="1EB26CC6" w14:textId="179654B2" w:rsidR="00E239F8" w:rsidRPr="004F04ED" w:rsidRDefault="00E239F8" w:rsidP="004F04ED">
      <w:pPr>
        <w:pStyle w:val="Heading1"/>
        <w:ind w:left="720" w:hanging="720"/>
        <w:rPr>
          <w:b/>
          <w:bCs/>
        </w:rPr>
      </w:pPr>
      <w:r w:rsidRPr="0072384D">
        <w:rPr>
          <w:b/>
          <w:bCs/>
        </w:rPr>
        <w:t>7.</w:t>
      </w:r>
      <w:r w:rsidRPr="0072384D">
        <w:rPr>
          <w:b/>
          <w:bCs/>
        </w:rPr>
        <w:tab/>
      </w:r>
      <w:r w:rsidR="00D942C5" w:rsidRPr="0072384D">
        <w:rPr>
          <w:b/>
          <w:bCs/>
          <w:u w:val="single"/>
        </w:rPr>
        <w:t>Prudential Indicators and Treasury Management – 2025/26 Qtr 2 Report</w:t>
      </w:r>
      <w:r w:rsidR="00D942C5" w:rsidRPr="0072384D">
        <w:rPr>
          <w:b/>
          <w:bCs/>
        </w:rPr>
        <w:t xml:space="preserve"> </w:t>
      </w:r>
    </w:p>
    <w:p w14:paraId="2527B1C3" w14:textId="77777777" w:rsidR="004F04ED" w:rsidRDefault="004F04ED" w:rsidP="001D3250">
      <w:pPr>
        <w:rPr>
          <w:rFonts w:cs="Arial"/>
          <w:color w:val="000000" w:themeColor="text1"/>
        </w:rPr>
      </w:pPr>
    </w:p>
    <w:p w14:paraId="4FCBE191" w14:textId="1960B3B6" w:rsidR="001D3250" w:rsidRPr="00340E30" w:rsidRDefault="00E239F8" w:rsidP="001D3250">
      <w:pPr>
        <w:tabs>
          <w:tab w:val="center" w:pos="4513"/>
          <w:tab w:val="right" w:pos="9026"/>
        </w:tabs>
        <w:rPr>
          <w:rFonts w:cs="Arial"/>
          <w:color w:val="000000"/>
          <w:sz w:val="12"/>
          <w:szCs w:val="12"/>
        </w:rPr>
      </w:pPr>
      <w:r w:rsidRPr="0072384D">
        <w:rPr>
          <w:rFonts w:cs="Arial"/>
          <w:caps/>
          <w:color w:val="000000" w:themeColor="text1"/>
        </w:rPr>
        <w:t xml:space="preserve">Previously </w:t>
      </w:r>
      <w:proofErr w:type="gramStart"/>
      <w:r w:rsidRPr="0072384D">
        <w:rPr>
          <w:rFonts w:cs="Arial"/>
          <w:caps/>
          <w:color w:val="000000" w:themeColor="text1"/>
        </w:rPr>
        <w:t>circulated:-</w:t>
      </w:r>
      <w:proofErr w:type="gramEnd"/>
      <w:r>
        <w:rPr>
          <w:rFonts w:cs="Arial"/>
          <w:color w:val="000000" w:themeColor="text1"/>
        </w:rPr>
        <w:t xml:space="preserve"> </w:t>
      </w:r>
      <w:r w:rsidR="0072384D">
        <w:rPr>
          <w:rFonts w:cs="Arial"/>
          <w:color w:val="000000" w:themeColor="text1"/>
        </w:rPr>
        <w:t xml:space="preserve">Report from the Director of Corporate Services </w:t>
      </w:r>
      <w:r w:rsidR="001D3250">
        <w:rPr>
          <w:rFonts w:cs="Arial"/>
          <w:color w:val="000000" w:themeColor="text1"/>
        </w:rPr>
        <w:t xml:space="preserve">detailing that </w:t>
      </w:r>
      <w:r w:rsidR="001D3250" w:rsidRPr="00340E30">
        <w:rPr>
          <w:rFonts w:cs="Arial"/>
        </w:rPr>
        <w:t>In February 2025, Council approved its annual Capital and Treasury Management Strategies, including the setting of Prudential Indicators (PIs) for the current financial year ending 31 March 2026.  Th</w:t>
      </w:r>
      <w:r w:rsidR="001D3250">
        <w:rPr>
          <w:rFonts w:cs="Arial"/>
        </w:rPr>
        <w:t>o</w:t>
      </w:r>
      <w:r w:rsidR="001D3250" w:rsidRPr="00340E30">
        <w:rPr>
          <w:rFonts w:cs="Arial"/>
        </w:rPr>
        <w:t xml:space="preserve">se </w:t>
      </w:r>
      <w:r w:rsidR="001D3250">
        <w:rPr>
          <w:rFonts w:cs="Arial"/>
        </w:rPr>
        <w:t xml:space="preserve">were </w:t>
      </w:r>
      <w:r w:rsidR="001D3250" w:rsidRPr="00340E30">
        <w:rPr>
          <w:rFonts w:cs="Arial"/>
        </w:rPr>
        <w:t xml:space="preserve">statutory requirements in accordance with the Local Government Finance Act (NI) 2011, the CIPFA Prudential Code and the CIPFA Treasury Management Code.  </w:t>
      </w:r>
    </w:p>
    <w:p w14:paraId="5B995350" w14:textId="77777777" w:rsidR="001D3250" w:rsidRPr="00340E30" w:rsidRDefault="001D3250" w:rsidP="001D3250">
      <w:pPr>
        <w:rPr>
          <w:rFonts w:cs="Arial"/>
          <w:color w:val="000000"/>
          <w:sz w:val="12"/>
          <w:szCs w:val="12"/>
        </w:rPr>
      </w:pPr>
    </w:p>
    <w:p w14:paraId="241E0386" w14:textId="61D1B1B2" w:rsidR="001D3250" w:rsidRPr="00340E30" w:rsidRDefault="001D3250" w:rsidP="001D3250">
      <w:pPr>
        <w:tabs>
          <w:tab w:val="center" w:pos="4513"/>
          <w:tab w:val="right" w:pos="9026"/>
        </w:tabs>
        <w:rPr>
          <w:rFonts w:cs="Arial"/>
          <w:bCs/>
        </w:rPr>
      </w:pPr>
      <w:r w:rsidRPr="00340E30">
        <w:rPr>
          <w:rFonts w:cs="Arial"/>
          <w:bCs/>
        </w:rPr>
        <w:t>The purpose of this report</w:t>
      </w:r>
      <w:r>
        <w:rPr>
          <w:rFonts w:cs="Arial"/>
          <w:bCs/>
        </w:rPr>
        <w:t xml:space="preserve"> was </w:t>
      </w:r>
      <w:r w:rsidRPr="00340E30">
        <w:rPr>
          <w:rFonts w:cs="Arial"/>
          <w:bCs/>
        </w:rPr>
        <w:t>to provide Members with an update on the PIs and treasury management activity as required by the CIPFA Codes, at the end of September 2025 (Quarter 2).</w:t>
      </w:r>
    </w:p>
    <w:p w14:paraId="1D23CF77" w14:textId="77777777" w:rsidR="001D3250" w:rsidRPr="00340E30" w:rsidRDefault="001D3250" w:rsidP="001D3250">
      <w:pPr>
        <w:tabs>
          <w:tab w:val="center" w:pos="4513"/>
          <w:tab w:val="right" w:pos="9026"/>
        </w:tabs>
        <w:rPr>
          <w:rFonts w:cs="Arial"/>
          <w:b/>
          <w:bCs/>
          <w:u w:val="single"/>
        </w:rPr>
      </w:pPr>
    </w:p>
    <w:p w14:paraId="01DAD376" w14:textId="77777777" w:rsidR="001D3250" w:rsidRPr="00CB5B5D" w:rsidRDefault="001D3250" w:rsidP="001D3250">
      <w:pPr>
        <w:tabs>
          <w:tab w:val="center" w:pos="4513"/>
          <w:tab w:val="right" w:pos="9026"/>
        </w:tabs>
        <w:rPr>
          <w:rFonts w:cs="Arial"/>
          <w:b/>
          <w:bCs/>
        </w:rPr>
      </w:pPr>
      <w:r w:rsidRPr="00340E30">
        <w:rPr>
          <w:rFonts w:cs="Arial"/>
          <w:b/>
          <w:bCs/>
        </w:rPr>
        <w:t>Capital - Expenditure &amp; Financing</w:t>
      </w:r>
    </w:p>
    <w:p w14:paraId="42EF176E" w14:textId="7354696A" w:rsidR="001D3250" w:rsidRPr="00340E30" w:rsidRDefault="001D3250" w:rsidP="001D3250">
      <w:pPr>
        <w:tabs>
          <w:tab w:val="center" w:pos="4513"/>
          <w:tab w:val="right" w:pos="9026"/>
        </w:tabs>
        <w:rPr>
          <w:rFonts w:cs="Arial"/>
          <w:bCs/>
        </w:rPr>
      </w:pPr>
      <w:r w:rsidRPr="00340E30">
        <w:rPr>
          <w:rFonts w:cs="Arial"/>
          <w:bCs/>
        </w:rPr>
        <w:t xml:space="preserve">The PIs for capital expenditure and financing should ensure that, within a clear framework, the capital investment plans of the Council </w:t>
      </w:r>
      <w:r>
        <w:rPr>
          <w:rFonts w:cs="Arial"/>
          <w:bCs/>
        </w:rPr>
        <w:t xml:space="preserve">were </w:t>
      </w:r>
      <w:r w:rsidRPr="00340E30">
        <w:rPr>
          <w:rFonts w:cs="Arial"/>
          <w:bCs/>
        </w:rPr>
        <w:t xml:space="preserve">affordable, prudent and sustainable.  Updates to these PIs </w:t>
      </w:r>
      <w:r>
        <w:rPr>
          <w:rFonts w:cs="Arial"/>
          <w:bCs/>
        </w:rPr>
        <w:t xml:space="preserve">were </w:t>
      </w:r>
      <w:r w:rsidRPr="00340E30">
        <w:rPr>
          <w:rFonts w:cs="Arial"/>
          <w:bCs/>
        </w:rPr>
        <w:t>set out below.</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1418"/>
        <w:gridCol w:w="1417"/>
      </w:tblGrid>
      <w:tr w:rsidR="001D3250" w:rsidRPr="00340E30" w14:paraId="25CC7D59" w14:textId="77777777" w:rsidTr="005342B6">
        <w:trPr>
          <w:trHeight w:val="567"/>
        </w:trPr>
        <w:tc>
          <w:tcPr>
            <w:tcW w:w="5670" w:type="dxa"/>
            <w:tcBorders>
              <w:top w:val="nil"/>
              <w:left w:val="nil"/>
              <w:bottom w:val="single" w:sz="4" w:space="0" w:color="auto"/>
              <w:right w:val="nil"/>
            </w:tcBorders>
            <w:vAlign w:val="center"/>
          </w:tcPr>
          <w:p w14:paraId="6962AE54" w14:textId="77777777" w:rsidR="001D3250" w:rsidRPr="00340E30" w:rsidRDefault="001D3250" w:rsidP="005342B6">
            <w:pPr>
              <w:contextualSpacing/>
              <w:rPr>
                <w:rFonts w:cs="Arial"/>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0070C0"/>
            <w:vAlign w:val="center"/>
          </w:tcPr>
          <w:p w14:paraId="09C6B56B" w14:textId="77777777" w:rsidR="001D3250" w:rsidRPr="00340E30" w:rsidRDefault="001D3250" w:rsidP="005342B6">
            <w:pPr>
              <w:contextualSpacing/>
              <w:jc w:val="center"/>
              <w:rPr>
                <w:rFonts w:cs="Arial"/>
                <w:b/>
                <w:color w:val="FFFFFF" w:themeColor="background1"/>
                <w:sz w:val="22"/>
              </w:rPr>
            </w:pPr>
            <w:r w:rsidRPr="00340E30">
              <w:rPr>
                <w:rFonts w:cs="Arial"/>
                <w:b/>
                <w:color w:val="FFFFFF" w:themeColor="background1"/>
                <w:sz w:val="22"/>
              </w:rPr>
              <w:t>Original Forecast</w:t>
            </w:r>
          </w:p>
        </w:tc>
        <w:tc>
          <w:tcPr>
            <w:tcW w:w="1417" w:type="dxa"/>
            <w:tcBorders>
              <w:top w:val="single" w:sz="4" w:space="0" w:color="auto"/>
              <w:left w:val="single" w:sz="4" w:space="0" w:color="auto"/>
              <w:bottom w:val="single" w:sz="4" w:space="0" w:color="auto"/>
              <w:right w:val="single" w:sz="4" w:space="0" w:color="auto"/>
            </w:tcBorders>
            <w:shd w:val="clear" w:color="auto" w:fill="0070C0"/>
            <w:vAlign w:val="center"/>
          </w:tcPr>
          <w:p w14:paraId="272A88BD" w14:textId="77777777" w:rsidR="001D3250" w:rsidRPr="00340E30" w:rsidRDefault="001D3250" w:rsidP="005342B6">
            <w:pPr>
              <w:contextualSpacing/>
              <w:jc w:val="center"/>
              <w:rPr>
                <w:rFonts w:cs="Arial"/>
                <w:b/>
                <w:color w:val="FFFFFF" w:themeColor="background1"/>
                <w:sz w:val="22"/>
              </w:rPr>
            </w:pPr>
            <w:r w:rsidRPr="00340E30">
              <w:rPr>
                <w:rFonts w:cs="Arial"/>
                <w:b/>
                <w:color w:val="FFFFFF" w:themeColor="background1"/>
                <w:sz w:val="22"/>
              </w:rPr>
              <w:t>Revised Forecast</w:t>
            </w:r>
          </w:p>
        </w:tc>
      </w:tr>
      <w:tr w:rsidR="001D3250" w:rsidRPr="00340E30" w14:paraId="1BF5162E" w14:textId="77777777" w:rsidTr="005342B6">
        <w:trPr>
          <w:trHeight w:val="383"/>
        </w:trPr>
        <w:tc>
          <w:tcPr>
            <w:tcW w:w="5670" w:type="dxa"/>
            <w:tcBorders>
              <w:top w:val="single" w:sz="4" w:space="0" w:color="auto"/>
              <w:left w:val="single" w:sz="4" w:space="0" w:color="auto"/>
              <w:bottom w:val="single" w:sz="4" w:space="0" w:color="auto"/>
              <w:right w:val="single" w:sz="4" w:space="0" w:color="auto"/>
            </w:tcBorders>
            <w:shd w:val="clear" w:color="auto" w:fill="0070C0"/>
            <w:vAlign w:val="center"/>
          </w:tcPr>
          <w:p w14:paraId="30F18C23" w14:textId="77777777" w:rsidR="001D3250" w:rsidRPr="00340E30" w:rsidRDefault="001D3250" w:rsidP="005342B6">
            <w:pPr>
              <w:contextualSpacing/>
              <w:rPr>
                <w:rFonts w:cs="Arial"/>
                <w:b/>
                <w:color w:val="FFFFFF" w:themeColor="background1"/>
                <w:szCs w:val="24"/>
              </w:rPr>
            </w:pPr>
            <w:r w:rsidRPr="00340E30">
              <w:rPr>
                <w:rFonts w:cs="Arial"/>
                <w:b/>
                <w:color w:val="FFFFFF" w:themeColor="background1"/>
                <w:sz w:val="22"/>
              </w:rPr>
              <w:t>Table 1.11</w:t>
            </w:r>
          </w:p>
        </w:tc>
        <w:tc>
          <w:tcPr>
            <w:tcW w:w="1418" w:type="dxa"/>
            <w:tcBorders>
              <w:top w:val="single" w:sz="4" w:space="0" w:color="auto"/>
              <w:left w:val="single" w:sz="4" w:space="0" w:color="auto"/>
              <w:right w:val="single" w:sz="4" w:space="0" w:color="auto"/>
            </w:tcBorders>
            <w:shd w:val="clear" w:color="auto" w:fill="0070C0"/>
            <w:vAlign w:val="center"/>
          </w:tcPr>
          <w:p w14:paraId="3D99D529" w14:textId="77777777" w:rsidR="001D3250" w:rsidRPr="00340E30" w:rsidRDefault="001D3250" w:rsidP="005342B6">
            <w:pPr>
              <w:contextualSpacing/>
              <w:jc w:val="center"/>
              <w:rPr>
                <w:rFonts w:cs="Arial"/>
                <w:b/>
                <w:color w:val="FFFFFF" w:themeColor="background1"/>
                <w:sz w:val="22"/>
              </w:rPr>
            </w:pPr>
            <w:r w:rsidRPr="00340E30">
              <w:rPr>
                <w:rFonts w:cs="Arial"/>
                <w:b/>
                <w:color w:val="FFFFFF" w:themeColor="background1"/>
                <w:sz w:val="22"/>
              </w:rPr>
              <w:t>£m</w:t>
            </w:r>
          </w:p>
        </w:tc>
        <w:tc>
          <w:tcPr>
            <w:tcW w:w="1417" w:type="dxa"/>
            <w:tcBorders>
              <w:top w:val="single" w:sz="4" w:space="0" w:color="auto"/>
              <w:left w:val="single" w:sz="4" w:space="0" w:color="auto"/>
            </w:tcBorders>
            <w:shd w:val="clear" w:color="auto" w:fill="0070C0"/>
            <w:vAlign w:val="center"/>
          </w:tcPr>
          <w:p w14:paraId="51935372" w14:textId="77777777" w:rsidR="001D3250" w:rsidRPr="00340E30" w:rsidRDefault="001D3250" w:rsidP="005342B6">
            <w:pPr>
              <w:contextualSpacing/>
              <w:jc w:val="center"/>
              <w:rPr>
                <w:rFonts w:cs="Arial"/>
                <w:b/>
                <w:color w:val="FFFFFF" w:themeColor="background1"/>
                <w:sz w:val="22"/>
              </w:rPr>
            </w:pPr>
            <w:r w:rsidRPr="00340E30">
              <w:rPr>
                <w:rFonts w:cs="Arial"/>
                <w:b/>
                <w:color w:val="FFFFFF" w:themeColor="background1"/>
                <w:sz w:val="22"/>
              </w:rPr>
              <w:t>£m</w:t>
            </w:r>
          </w:p>
        </w:tc>
      </w:tr>
      <w:tr w:rsidR="001D3250" w:rsidRPr="00340E30" w14:paraId="095EC966" w14:textId="77777777" w:rsidTr="005342B6">
        <w:trPr>
          <w:trHeight w:val="454"/>
        </w:trPr>
        <w:tc>
          <w:tcPr>
            <w:tcW w:w="5670" w:type="dxa"/>
            <w:tcBorders>
              <w:top w:val="single" w:sz="4" w:space="0" w:color="auto"/>
              <w:bottom w:val="single" w:sz="4" w:space="0" w:color="auto"/>
            </w:tcBorders>
            <w:vAlign w:val="center"/>
          </w:tcPr>
          <w:p w14:paraId="2460AD6B" w14:textId="77777777" w:rsidR="001D3250" w:rsidRPr="00340E30" w:rsidRDefault="001D3250" w:rsidP="005342B6">
            <w:pPr>
              <w:contextualSpacing/>
              <w:rPr>
                <w:rFonts w:cs="Arial"/>
                <w:szCs w:val="24"/>
              </w:rPr>
            </w:pPr>
            <w:r w:rsidRPr="00340E30">
              <w:rPr>
                <w:rFonts w:cs="Arial"/>
                <w:szCs w:val="24"/>
              </w:rPr>
              <w:t>Capital Expenditure 2025/26 (Current Year)</w:t>
            </w:r>
          </w:p>
        </w:tc>
        <w:tc>
          <w:tcPr>
            <w:tcW w:w="1418" w:type="dxa"/>
            <w:vAlign w:val="center"/>
          </w:tcPr>
          <w:p w14:paraId="2BE99905" w14:textId="77777777" w:rsidR="001D3250" w:rsidRPr="00340E30" w:rsidRDefault="001D3250" w:rsidP="005342B6">
            <w:pPr>
              <w:contextualSpacing/>
              <w:jc w:val="right"/>
              <w:rPr>
                <w:rFonts w:cs="Arial"/>
                <w:szCs w:val="24"/>
              </w:rPr>
            </w:pPr>
            <w:r w:rsidRPr="00340E30">
              <w:rPr>
                <w:rFonts w:cs="Arial"/>
                <w:szCs w:val="24"/>
              </w:rPr>
              <w:t>26.264</w:t>
            </w:r>
          </w:p>
        </w:tc>
        <w:tc>
          <w:tcPr>
            <w:tcW w:w="1417" w:type="dxa"/>
            <w:shd w:val="clear" w:color="auto" w:fill="F2CEED" w:themeFill="accent5" w:themeFillTint="33"/>
            <w:vAlign w:val="center"/>
          </w:tcPr>
          <w:p w14:paraId="3BA022AB" w14:textId="77777777" w:rsidR="001D3250" w:rsidRPr="00340E30" w:rsidRDefault="001D3250" w:rsidP="005342B6">
            <w:pPr>
              <w:contextualSpacing/>
              <w:jc w:val="right"/>
              <w:rPr>
                <w:rFonts w:cs="Arial"/>
                <w:szCs w:val="24"/>
              </w:rPr>
            </w:pPr>
            <w:r w:rsidRPr="00340E30">
              <w:rPr>
                <w:rFonts w:cs="Arial"/>
                <w:szCs w:val="24"/>
              </w:rPr>
              <w:t>14.611</w:t>
            </w:r>
          </w:p>
        </w:tc>
      </w:tr>
    </w:tbl>
    <w:p w14:paraId="14610847" w14:textId="77777777" w:rsidR="001D3250" w:rsidRPr="00340E30" w:rsidRDefault="001D3250" w:rsidP="001D3250">
      <w:pPr>
        <w:tabs>
          <w:tab w:val="center" w:pos="4513"/>
          <w:tab w:val="right" w:pos="9026"/>
        </w:tabs>
        <w:rPr>
          <w:rFonts w:cs="Arial"/>
          <w:bCs/>
        </w:rPr>
      </w:pPr>
    </w:p>
    <w:p w14:paraId="69874470" w14:textId="0BC72A3F" w:rsidR="001D3250" w:rsidRPr="00340E30" w:rsidRDefault="001D3250" w:rsidP="001D3250">
      <w:pPr>
        <w:tabs>
          <w:tab w:val="center" w:pos="4513"/>
          <w:tab w:val="right" w:pos="9026"/>
        </w:tabs>
        <w:rPr>
          <w:rFonts w:cs="Arial"/>
          <w:bCs/>
        </w:rPr>
      </w:pPr>
      <w:r w:rsidRPr="00340E30">
        <w:rPr>
          <w:rFonts w:cs="Arial"/>
          <w:bCs/>
        </w:rPr>
        <w:t>The original estimate of £26.264m ha</w:t>
      </w:r>
      <w:r>
        <w:rPr>
          <w:rFonts w:cs="Arial"/>
          <w:bCs/>
        </w:rPr>
        <w:t>d</w:t>
      </w:r>
      <w:r w:rsidRPr="00340E30">
        <w:rPr>
          <w:rFonts w:cs="Arial"/>
          <w:bCs/>
        </w:rPr>
        <w:t xml:space="preserve"> been revised down to £14.611m, reflecting the capital spend that </w:t>
      </w:r>
      <w:r>
        <w:rPr>
          <w:rFonts w:cs="Arial"/>
          <w:bCs/>
        </w:rPr>
        <w:t xml:space="preserve">was </w:t>
      </w:r>
      <w:r w:rsidRPr="00340E30">
        <w:rPr>
          <w:rFonts w:cs="Arial"/>
          <w:bCs/>
        </w:rPr>
        <w:t>now expected to be incurred by 31 March 2026. Th</w:t>
      </w:r>
      <w:r>
        <w:rPr>
          <w:rFonts w:cs="Arial"/>
          <w:bCs/>
        </w:rPr>
        <w:t>at was</w:t>
      </w:r>
      <w:r w:rsidRPr="00340E30">
        <w:rPr>
          <w:rFonts w:cs="Arial"/>
          <w:bCs/>
        </w:rPr>
        <w:t xml:space="preserve"> consistent with the deliverability risks outlined in the 2025/26 budget strategy, where it was reported that capital ambition </w:t>
      </w:r>
      <w:r>
        <w:rPr>
          <w:rFonts w:cs="Arial"/>
          <w:bCs/>
        </w:rPr>
        <w:t>was</w:t>
      </w:r>
      <w:r w:rsidRPr="00340E30">
        <w:rPr>
          <w:rFonts w:cs="Arial"/>
          <w:bCs/>
        </w:rPr>
        <w:t xml:space="preserve"> not being matched by delivery due to reasons including </w:t>
      </w:r>
      <w:r>
        <w:rPr>
          <w:rFonts w:cs="Arial"/>
          <w:bCs/>
        </w:rPr>
        <w:t>o</w:t>
      </w:r>
      <w:r w:rsidRPr="00340E30">
        <w:rPr>
          <w:rFonts w:cs="Arial"/>
          <w:bCs/>
        </w:rPr>
        <w:t xml:space="preserve">fficer resource, business readiness and planning and/or funding delays. </w:t>
      </w:r>
    </w:p>
    <w:p w14:paraId="055962D2" w14:textId="77777777" w:rsidR="001D3250" w:rsidRPr="00340E30" w:rsidRDefault="001D3250" w:rsidP="001D3250">
      <w:pPr>
        <w:tabs>
          <w:tab w:val="center" w:pos="4513"/>
          <w:tab w:val="right" w:pos="9026"/>
        </w:tabs>
        <w:rPr>
          <w:rFonts w:cs="Arial"/>
          <w:bCs/>
        </w:rPr>
      </w:pPr>
    </w:p>
    <w:p w14:paraId="54AFFDF0" w14:textId="6727EE06" w:rsidR="001D3250" w:rsidRPr="00340E30" w:rsidRDefault="001D3250" w:rsidP="001D3250">
      <w:pPr>
        <w:tabs>
          <w:tab w:val="center" w:pos="4513"/>
          <w:tab w:val="right" w:pos="9026"/>
        </w:tabs>
        <w:rPr>
          <w:rFonts w:cs="Arial"/>
          <w:bCs/>
        </w:rPr>
      </w:pPr>
      <w:r w:rsidRPr="00340E30">
        <w:rPr>
          <w:rFonts w:cs="Arial"/>
          <w:bCs/>
        </w:rPr>
        <w:t xml:space="preserve">The main schemes impacted by such risks for this reporting period </w:t>
      </w:r>
      <w:r>
        <w:rPr>
          <w:rFonts w:cs="Arial"/>
          <w:bCs/>
        </w:rPr>
        <w:t>were</w:t>
      </w:r>
      <w:r w:rsidRPr="00340E30">
        <w:rPr>
          <w:rFonts w:cs="Arial"/>
          <w:bCs/>
        </w:rPr>
        <w:t xml:space="preserve"> Portavogie 3G pitch (£1.6m costs reassigned to 2027/28), Ward Park (£2.2m works deferred to 2027/28) and the Digital Innovation Hub (£3.7m works postponed to 2027/28). The</w:t>
      </w:r>
      <w:r>
        <w:rPr>
          <w:rFonts w:cs="Arial"/>
          <w:bCs/>
        </w:rPr>
        <w:t xml:space="preserve"> </w:t>
      </w:r>
      <w:r w:rsidRPr="00340E30">
        <w:rPr>
          <w:rFonts w:cs="Arial"/>
          <w:bCs/>
        </w:rPr>
        <w:t xml:space="preserve">uncertainties </w:t>
      </w:r>
      <w:r>
        <w:rPr>
          <w:rFonts w:cs="Arial"/>
          <w:bCs/>
        </w:rPr>
        <w:t xml:space="preserve">around </w:t>
      </w:r>
      <w:r w:rsidRPr="00340E30">
        <w:rPr>
          <w:rFonts w:cs="Arial"/>
          <w:bCs/>
        </w:rPr>
        <w:t xml:space="preserve">land purchases for the </w:t>
      </w:r>
      <w:r>
        <w:rPr>
          <w:rFonts w:cs="Arial"/>
          <w:bCs/>
        </w:rPr>
        <w:t>T</w:t>
      </w:r>
      <w:r w:rsidRPr="00340E30">
        <w:rPr>
          <w:rFonts w:cs="Arial"/>
          <w:bCs/>
        </w:rPr>
        <w:t xml:space="preserve">ree and </w:t>
      </w:r>
      <w:r>
        <w:rPr>
          <w:rFonts w:cs="Arial"/>
          <w:bCs/>
        </w:rPr>
        <w:t>W</w:t>
      </w:r>
      <w:r w:rsidRPr="00340E30">
        <w:rPr>
          <w:rFonts w:cs="Arial"/>
          <w:bCs/>
        </w:rPr>
        <w:t xml:space="preserve">oodland </w:t>
      </w:r>
      <w:r>
        <w:rPr>
          <w:rFonts w:cs="Arial"/>
          <w:bCs/>
        </w:rPr>
        <w:t>S</w:t>
      </w:r>
      <w:r w:rsidRPr="00340E30">
        <w:rPr>
          <w:rFonts w:cs="Arial"/>
          <w:bCs/>
        </w:rPr>
        <w:t xml:space="preserve">trategy and the </w:t>
      </w:r>
      <w:proofErr w:type="spellStart"/>
      <w:r w:rsidRPr="00340E30">
        <w:rPr>
          <w:rFonts w:cs="Arial"/>
          <w:bCs/>
        </w:rPr>
        <w:t>Movilla</w:t>
      </w:r>
      <w:proofErr w:type="spellEnd"/>
      <w:r w:rsidRPr="00340E30">
        <w:rPr>
          <w:rFonts w:cs="Arial"/>
          <w:bCs/>
        </w:rPr>
        <w:t xml:space="preserve"> Cemetery extension</w:t>
      </w:r>
      <w:r>
        <w:rPr>
          <w:rFonts w:cs="Arial"/>
          <w:bCs/>
        </w:rPr>
        <w:t xml:space="preserve"> would </w:t>
      </w:r>
      <w:r w:rsidRPr="00340E30">
        <w:rPr>
          <w:rFonts w:cs="Arial"/>
          <w:bCs/>
        </w:rPr>
        <w:t>be concluded this year, and their budgets have been straddled over two years. On the other hand, the Greenways projects continue</w:t>
      </w:r>
      <w:r>
        <w:rPr>
          <w:rFonts w:cs="Arial"/>
          <w:bCs/>
        </w:rPr>
        <w:t>d</w:t>
      </w:r>
      <w:r w:rsidRPr="00340E30">
        <w:rPr>
          <w:rFonts w:cs="Arial"/>
          <w:bCs/>
        </w:rPr>
        <w:t xml:space="preserve"> to gather </w:t>
      </w:r>
      <w:r>
        <w:rPr>
          <w:rFonts w:cs="Arial"/>
          <w:bCs/>
        </w:rPr>
        <w:t xml:space="preserve">momentum </w:t>
      </w:r>
      <w:r w:rsidRPr="00340E30">
        <w:rPr>
          <w:rFonts w:cs="Arial"/>
          <w:bCs/>
        </w:rPr>
        <w:t>and spend ha</w:t>
      </w:r>
      <w:r>
        <w:rPr>
          <w:rFonts w:cs="Arial"/>
          <w:bCs/>
        </w:rPr>
        <w:t>d</w:t>
      </w:r>
      <w:r w:rsidRPr="00340E30">
        <w:rPr>
          <w:rFonts w:cs="Arial"/>
          <w:bCs/>
        </w:rPr>
        <w:t xml:space="preserve"> been increased by £1.8m for this financial year.</w:t>
      </w:r>
    </w:p>
    <w:p w14:paraId="6B7E3C6D" w14:textId="3C4F9046" w:rsidR="001D3250" w:rsidRPr="00340E30" w:rsidRDefault="001D3250" w:rsidP="001D3250">
      <w:pPr>
        <w:tabs>
          <w:tab w:val="center" w:pos="4513"/>
          <w:tab w:val="right" w:pos="9026"/>
        </w:tabs>
        <w:rPr>
          <w:rFonts w:cs="Arial"/>
          <w:bCs/>
        </w:rPr>
      </w:pPr>
      <w:r w:rsidRPr="00340E30">
        <w:rPr>
          <w:rFonts w:cs="Arial"/>
          <w:bCs/>
        </w:rPr>
        <w:t>The revised capital expenditure forecasts for the three-year plan, together with the capital financing implications and previous year activity</w:t>
      </w:r>
      <w:r>
        <w:rPr>
          <w:rFonts w:cs="Arial"/>
          <w:bCs/>
        </w:rPr>
        <w:t>,</w:t>
      </w:r>
      <w:r w:rsidRPr="00340E30">
        <w:rPr>
          <w:rFonts w:cs="Arial"/>
          <w:bCs/>
        </w:rPr>
        <w:t xml:space="preserve"> </w:t>
      </w:r>
      <w:r>
        <w:rPr>
          <w:rFonts w:cs="Arial"/>
          <w:bCs/>
        </w:rPr>
        <w:t>were</w:t>
      </w:r>
      <w:r w:rsidR="00BE16C5">
        <w:rPr>
          <w:rFonts w:cs="Arial"/>
          <w:bCs/>
        </w:rPr>
        <w:t xml:space="preserve"> </w:t>
      </w:r>
      <w:r w:rsidRPr="00340E30">
        <w:rPr>
          <w:rFonts w:cs="Arial"/>
          <w:bCs/>
        </w:rPr>
        <w:t>summarised below.</w:t>
      </w:r>
    </w:p>
    <w:p w14:paraId="64E110B7" w14:textId="77777777" w:rsidR="001D3250" w:rsidRPr="00340E30" w:rsidRDefault="001D3250" w:rsidP="001D3250">
      <w:pPr>
        <w:tabs>
          <w:tab w:val="center" w:pos="4513"/>
          <w:tab w:val="right" w:pos="9026"/>
        </w:tabs>
        <w:rPr>
          <w:rFonts w:cs="Arial"/>
          <w:bCs/>
          <w:sz w:val="20"/>
        </w:rPr>
      </w:pPr>
    </w:p>
    <w:tbl>
      <w:tblPr>
        <w:tblW w:w="861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2"/>
        <w:gridCol w:w="1562"/>
        <w:gridCol w:w="1276"/>
        <w:gridCol w:w="1417"/>
        <w:gridCol w:w="1276"/>
      </w:tblGrid>
      <w:tr w:rsidR="001D3250" w:rsidRPr="00340E30" w14:paraId="04E6E223" w14:textId="77777777" w:rsidTr="005342B6">
        <w:trPr>
          <w:trHeight w:val="340"/>
        </w:trPr>
        <w:tc>
          <w:tcPr>
            <w:tcW w:w="3082" w:type="dxa"/>
            <w:tcBorders>
              <w:top w:val="nil"/>
              <w:left w:val="nil"/>
              <w:bottom w:val="nil"/>
              <w:right w:val="nil"/>
            </w:tcBorders>
            <w:vAlign w:val="center"/>
          </w:tcPr>
          <w:p w14:paraId="294B24B5" w14:textId="77777777" w:rsidR="001D3250" w:rsidRPr="00340E30" w:rsidRDefault="001D3250" w:rsidP="001D3250">
            <w:pPr>
              <w:contextualSpacing/>
              <w:rPr>
                <w:rFonts w:cs="Arial"/>
                <w:szCs w:val="24"/>
              </w:rPr>
            </w:pPr>
          </w:p>
        </w:tc>
        <w:tc>
          <w:tcPr>
            <w:tcW w:w="1562" w:type="dxa"/>
            <w:tcBorders>
              <w:top w:val="single" w:sz="4" w:space="0" w:color="auto"/>
              <w:left w:val="single" w:sz="4" w:space="0" w:color="auto"/>
              <w:bottom w:val="single" w:sz="4" w:space="0" w:color="auto"/>
            </w:tcBorders>
            <w:shd w:val="clear" w:color="auto" w:fill="0070C0"/>
            <w:vAlign w:val="center"/>
          </w:tcPr>
          <w:p w14:paraId="42CC00A1"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Actual</w:t>
            </w:r>
          </w:p>
        </w:tc>
        <w:tc>
          <w:tcPr>
            <w:tcW w:w="3969" w:type="dxa"/>
            <w:gridSpan w:val="3"/>
            <w:tcBorders>
              <w:top w:val="single" w:sz="4" w:space="0" w:color="auto"/>
              <w:left w:val="single" w:sz="4" w:space="0" w:color="auto"/>
              <w:bottom w:val="single" w:sz="4" w:space="0" w:color="auto"/>
            </w:tcBorders>
            <w:shd w:val="clear" w:color="auto" w:fill="0070C0"/>
            <w:vAlign w:val="center"/>
          </w:tcPr>
          <w:p w14:paraId="27410844"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Revised Forecast</w:t>
            </w:r>
          </w:p>
        </w:tc>
      </w:tr>
      <w:tr w:rsidR="001D3250" w:rsidRPr="00340E30" w14:paraId="46E84612" w14:textId="77777777" w:rsidTr="005342B6">
        <w:trPr>
          <w:trHeight w:val="340"/>
        </w:trPr>
        <w:tc>
          <w:tcPr>
            <w:tcW w:w="3082" w:type="dxa"/>
            <w:tcBorders>
              <w:top w:val="nil"/>
              <w:left w:val="nil"/>
              <w:bottom w:val="nil"/>
              <w:right w:val="single" w:sz="4" w:space="0" w:color="auto"/>
            </w:tcBorders>
            <w:vAlign w:val="center"/>
          </w:tcPr>
          <w:p w14:paraId="287E0C7E" w14:textId="77777777" w:rsidR="001D3250" w:rsidRPr="00340E30" w:rsidRDefault="001D3250" w:rsidP="001D3250">
            <w:pPr>
              <w:contextualSpacing/>
              <w:rPr>
                <w:rFonts w:cs="Arial"/>
                <w:b/>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0070C0"/>
            <w:vAlign w:val="center"/>
          </w:tcPr>
          <w:p w14:paraId="06B204F6"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2024/25</w:t>
            </w:r>
          </w:p>
        </w:tc>
        <w:tc>
          <w:tcPr>
            <w:tcW w:w="1276" w:type="dxa"/>
            <w:tcBorders>
              <w:top w:val="single" w:sz="4" w:space="0" w:color="auto"/>
              <w:left w:val="single" w:sz="4" w:space="0" w:color="auto"/>
            </w:tcBorders>
            <w:shd w:val="clear" w:color="auto" w:fill="0070C0"/>
            <w:vAlign w:val="center"/>
          </w:tcPr>
          <w:p w14:paraId="7674F3E8"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2025/26</w:t>
            </w:r>
          </w:p>
        </w:tc>
        <w:tc>
          <w:tcPr>
            <w:tcW w:w="1417" w:type="dxa"/>
            <w:shd w:val="clear" w:color="auto" w:fill="0070C0"/>
            <w:vAlign w:val="center"/>
          </w:tcPr>
          <w:p w14:paraId="7FBE015D"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2026/27</w:t>
            </w:r>
          </w:p>
        </w:tc>
        <w:tc>
          <w:tcPr>
            <w:tcW w:w="1276" w:type="dxa"/>
            <w:shd w:val="clear" w:color="auto" w:fill="0070C0"/>
            <w:vAlign w:val="center"/>
          </w:tcPr>
          <w:p w14:paraId="3747572E"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2027/28</w:t>
            </w:r>
          </w:p>
        </w:tc>
      </w:tr>
      <w:tr w:rsidR="001D3250" w:rsidRPr="00340E30" w14:paraId="42742F02" w14:textId="77777777" w:rsidTr="005342B6">
        <w:trPr>
          <w:trHeight w:val="340"/>
        </w:trPr>
        <w:tc>
          <w:tcPr>
            <w:tcW w:w="3082" w:type="dxa"/>
            <w:tcBorders>
              <w:top w:val="nil"/>
              <w:left w:val="single" w:sz="4" w:space="0" w:color="auto"/>
              <w:bottom w:val="single" w:sz="4" w:space="0" w:color="auto"/>
              <w:right w:val="single" w:sz="4" w:space="0" w:color="auto"/>
            </w:tcBorders>
            <w:shd w:val="clear" w:color="auto" w:fill="0070C0"/>
            <w:vAlign w:val="center"/>
          </w:tcPr>
          <w:p w14:paraId="57D4E985" w14:textId="77777777" w:rsidR="001D3250" w:rsidRPr="00340E30" w:rsidRDefault="001D3250" w:rsidP="001D3250">
            <w:pPr>
              <w:contextualSpacing/>
              <w:rPr>
                <w:rFonts w:cs="Arial"/>
                <w:b/>
                <w:szCs w:val="24"/>
              </w:rPr>
            </w:pPr>
            <w:r w:rsidRPr="00340E30">
              <w:rPr>
                <w:rFonts w:cs="Arial"/>
                <w:b/>
                <w:color w:val="FFFFFF" w:themeColor="background1"/>
                <w:sz w:val="22"/>
              </w:rPr>
              <w:t>Table 1.12</w:t>
            </w:r>
          </w:p>
        </w:tc>
        <w:tc>
          <w:tcPr>
            <w:tcW w:w="1562" w:type="dxa"/>
            <w:tcBorders>
              <w:top w:val="single" w:sz="4" w:space="0" w:color="auto"/>
              <w:left w:val="single" w:sz="4" w:space="0" w:color="auto"/>
              <w:right w:val="single" w:sz="4" w:space="0" w:color="auto"/>
            </w:tcBorders>
            <w:shd w:val="clear" w:color="auto" w:fill="0070C0"/>
            <w:vAlign w:val="center"/>
          </w:tcPr>
          <w:p w14:paraId="1E0F6A03"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£m</w:t>
            </w:r>
          </w:p>
        </w:tc>
        <w:tc>
          <w:tcPr>
            <w:tcW w:w="1276" w:type="dxa"/>
            <w:tcBorders>
              <w:top w:val="single" w:sz="4" w:space="0" w:color="auto"/>
              <w:left w:val="single" w:sz="4" w:space="0" w:color="auto"/>
            </w:tcBorders>
            <w:shd w:val="clear" w:color="auto" w:fill="0070C0"/>
            <w:vAlign w:val="center"/>
          </w:tcPr>
          <w:p w14:paraId="5062AEA2"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£m</w:t>
            </w:r>
          </w:p>
        </w:tc>
        <w:tc>
          <w:tcPr>
            <w:tcW w:w="1417" w:type="dxa"/>
            <w:shd w:val="clear" w:color="auto" w:fill="0070C0"/>
            <w:vAlign w:val="center"/>
          </w:tcPr>
          <w:p w14:paraId="74D269DF"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£m</w:t>
            </w:r>
          </w:p>
        </w:tc>
        <w:tc>
          <w:tcPr>
            <w:tcW w:w="1276" w:type="dxa"/>
            <w:shd w:val="clear" w:color="auto" w:fill="0070C0"/>
            <w:vAlign w:val="center"/>
          </w:tcPr>
          <w:p w14:paraId="473474DD"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£m</w:t>
            </w:r>
          </w:p>
        </w:tc>
      </w:tr>
      <w:tr w:rsidR="001D3250" w:rsidRPr="00340E30" w14:paraId="485D3E7F" w14:textId="77777777" w:rsidTr="005342B6">
        <w:trPr>
          <w:trHeight w:val="397"/>
        </w:trPr>
        <w:tc>
          <w:tcPr>
            <w:tcW w:w="3082" w:type="dxa"/>
            <w:tcBorders>
              <w:top w:val="single" w:sz="4" w:space="0" w:color="auto"/>
              <w:bottom w:val="single" w:sz="4" w:space="0" w:color="auto"/>
            </w:tcBorders>
            <w:vAlign w:val="center"/>
          </w:tcPr>
          <w:p w14:paraId="7E3C28B4" w14:textId="77777777" w:rsidR="001D3250" w:rsidRPr="00340E30" w:rsidRDefault="001D3250" w:rsidP="001D3250">
            <w:pPr>
              <w:contextualSpacing/>
              <w:rPr>
                <w:rFonts w:cs="Arial"/>
                <w:szCs w:val="24"/>
              </w:rPr>
            </w:pPr>
            <w:r w:rsidRPr="00340E30">
              <w:rPr>
                <w:rFonts w:cs="Arial"/>
                <w:szCs w:val="24"/>
              </w:rPr>
              <w:t>Capital Expenditure</w:t>
            </w:r>
          </w:p>
        </w:tc>
        <w:tc>
          <w:tcPr>
            <w:tcW w:w="1562" w:type="dxa"/>
            <w:vAlign w:val="center"/>
          </w:tcPr>
          <w:p w14:paraId="64F27E72" w14:textId="77777777" w:rsidR="001D3250" w:rsidRPr="00340E30" w:rsidRDefault="001D3250" w:rsidP="001D3250">
            <w:pPr>
              <w:contextualSpacing/>
              <w:rPr>
                <w:rFonts w:cs="Arial"/>
                <w:szCs w:val="24"/>
              </w:rPr>
            </w:pPr>
            <w:r w:rsidRPr="00340E30">
              <w:rPr>
                <w:rFonts w:cs="Arial"/>
                <w:szCs w:val="24"/>
              </w:rPr>
              <w:t>15.453</w:t>
            </w:r>
          </w:p>
        </w:tc>
        <w:tc>
          <w:tcPr>
            <w:tcW w:w="1276" w:type="dxa"/>
            <w:shd w:val="clear" w:color="auto" w:fill="F2CEED" w:themeFill="accent5" w:themeFillTint="33"/>
            <w:vAlign w:val="center"/>
          </w:tcPr>
          <w:p w14:paraId="45E9BB66" w14:textId="77777777" w:rsidR="001D3250" w:rsidRPr="00340E30" w:rsidRDefault="001D3250" w:rsidP="001D3250">
            <w:pPr>
              <w:contextualSpacing/>
              <w:rPr>
                <w:rFonts w:cs="Arial"/>
                <w:szCs w:val="24"/>
              </w:rPr>
            </w:pPr>
            <w:r w:rsidRPr="00340E30">
              <w:rPr>
                <w:rFonts w:cs="Arial"/>
                <w:szCs w:val="24"/>
              </w:rPr>
              <w:t>14.611</w:t>
            </w:r>
          </w:p>
        </w:tc>
        <w:tc>
          <w:tcPr>
            <w:tcW w:w="1417" w:type="dxa"/>
            <w:vAlign w:val="center"/>
          </w:tcPr>
          <w:p w14:paraId="32C705AE" w14:textId="77777777" w:rsidR="001D3250" w:rsidRPr="00340E30" w:rsidRDefault="001D3250" w:rsidP="001D3250">
            <w:pPr>
              <w:contextualSpacing/>
              <w:rPr>
                <w:rFonts w:cs="Arial"/>
                <w:szCs w:val="24"/>
              </w:rPr>
            </w:pPr>
            <w:r w:rsidRPr="00340E30">
              <w:rPr>
                <w:rFonts w:cs="Arial"/>
                <w:szCs w:val="24"/>
              </w:rPr>
              <w:t>30.242</w:t>
            </w:r>
          </w:p>
        </w:tc>
        <w:tc>
          <w:tcPr>
            <w:tcW w:w="1276" w:type="dxa"/>
            <w:vAlign w:val="center"/>
          </w:tcPr>
          <w:p w14:paraId="1831C4F2" w14:textId="77777777" w:rsidR="001D3250" w:rsidRPr="00340E30" w:rsidRDefault="001D3250" w:rsidP="001D3250">
            <w:pPr>
              <w:contextualSpacing/>
              <w:rPr>
                <w:rFonts w:cs="Arial"/>
                <w:bCs/>
                <w:szCs w:val="24"/>
              </w:rPr>
            </w:pPr>
            <w:r w:rsidRPr="00340E30">
              <w:rPr>
                <w:rFonts w:cs="Arial"/>
                <w:bCs/>
                <w:szCs w:val="24"/>
              </w:rPr>
              <w:t>49.772</w:t>
            </w:r>
          </w:p>
        </w:tc>
      </w:tr>
      <w:tr w:rsidR="001D3250" w:rsidRPr="00340E30" w14:paraId="44CCEC66" w14:textId="77777777" w:rsidTr="005342B6">
        <w:trPr>
          <w:trHeight w:val="340"/>
        </w:trPr>
        <w:tc>
          <w:tcPr>
            <w:tcW w:w="3082" w:type="dxa"/>
            <w:tcBorders>
              <w:top w:val="single" w:sz="4" w:space="0" w:color="auto"/>
              <w:bottom w:val="single" w:sz="4" w:space="0" w:color="auto"/>
            </w:tcBorders>
            <w:shd w:val="clear" w:color="auto" w:fill="D9D9D9" w:themeFill="background1" w:themeFillShade="D9"/>
            <w:vAlign w:val="center"/>
          </w:tcPr>
          <w:p w14:paraId="3C336C06" w14:textId="77777777" w:rsidR="001D3250" w:rsidRPr="00340E30" w:rsidRDefault="001D3250" w:rsidP="001D3250">
            <w:pPr>
              <w:contextualSpacing/>
              <w:rPr>
                <w:rFonts w:cs="Arial"/>
                <w:b/>
                <w:szCs w:val="24"/>
              </w:rPr>
            </w:pPr>
            <w:r w:rsidRPr="00340E30">
              <w:rPr>
                <w:rFonts w:cs="Arial"/>
                <w:b/>
                <w:szCs w:val="24"/>
              </w:rPr>
              <w:t>Financed by:</w:t>
            </w:r>
          </w:p>
        </w:tc>
        <w:tc>
          <w:tcPr>
            <w:tcW w:w="1562" w:type="dxa"/>
            <w:shd w:val="clear" w:color="auto" w:fill="D9D9D9" w:themeFill="background1" w:themeFillShade="D9"/>
            <w:vAlign w:val="center"/>
          </w:tcPr>
          <w:p w14:paraId="1BC3EC83" w14:textId="77777777" w:rsidR="001D3250" w:rsidRPr="00340E30" w:rsidRDefault="001D3250" w:rsidP="001D3250">
            <w:pPr>
              <w:contextualSpacing/>
              <w:rPr>
                <w:rFonts w:cs="Arial"/>
                <w:szCs w:val="24"/>
              </w:rPr>
            </w:pPr>
          </w:p>
        </w:tc>
        <w:tc>
          <w:tcPr>
            <w:tcW w:w="1276" w:type="dxa"/>
            <w:shd w:val="clear" w:color="auto" w:fill="D9D9D9" w:themeFill="background1" w:themeFillShade="D9"/>
            <w:vAlign w:val="center"/>
          </w:tcPr>
          <w:p w14:paraId="46551842" w14:textId="77777777" w:rsidR="001D3250" w:rsidRPr="00340E30" w:rsidRDefault="001D3250" w:rsidP="001D3250">
            <w:pPr>
              <w:contextualSpacing/>
              <w:rPr>
                <w:rFonts w:cs="Arial"/>
                <w:szCs w:val="24"/>
              </w:rPr>
            </w:pPr>
          </w:p>
        </w:tc>
        <w:tc>
          <w:tcPr>
            <w:tcW w:w="1417" w:type="dxa"/>
            <w:shd w:val="clear" w:color="auto" w:fill="D9D9D9" w:themeFill="background1" w:themeFillShade="D9"/>
            <w:vAlign w:val="center"/>
          </w:tcPr>
          <w:p w14:paraId="49907E6F" w14:textId="77777777" w:rsidR="001D3250" w:rsidRPr="00340E30" w:rsidRDefault="001D3250" w:rsidP="001D3250">
            <w:pPr>
              <w:contextualSpacing/>
              <w:rPr>
                <w:rFonts w:cs="Arial"/>
                <w:szCs w:val="24"/>
              </w:rPr>
            </w:pPr>
          </w:p>
        </w:tc>
        <w:tc>
          <w:tcPr>
            <w:tcW w:w="1276" w:type="dxa"/>
            <w:shd w:val="clear" w:color="auto" w:fill="D9D9D9" w:themeFill="background1" w:themeFillShade="D9"/>
            <w:vAlign w:val="center"/>
          </w:tcPr>
          <w:p w14:paraId="474F35BA" w14:textId="77777777" w:rsidR="001D3250" w:rsidRPr="00340E30" w:rsidRDefault="001D3250" w:rsidP="001D3250">
            <w:pPr>
              <w:contextualSpacing/>
              <w:rPr>
                <w:rFonts w:cs="Arial"/>
                <w:bCs/>
                <w:szCs w:val="24"/>
              </w:rPr>
            </w:pPr>
          </w:p>
        </w:tc>
      </w:tr>
      <w:tr w:rsidR="001D3250" w:rsidRPr="00340E30" w14:paraId="4BB16F9E" w14:textId="77777777" w:rsidTr="005342B6">
        <w:trPr>
          <w:trHeight w:val="397"/>
        </w:trPr>
        <w:tc>
          <w:tcPr>
            <w:tcW w:w="3082" w:type="dxa"/>
            <w:tcBorders>
              <w:top w:val="single" w:sz="4" w:space="0" w:color="auto"/>
              <w:bottom w:val="single" w:sz="4" w:space="0" w:color="auto"/>
            </w:tcBorders>
            <w:vAlign w:val="center"/>
          </w:tcPr>
          <w:p w14:paraId="0495D801" w14:textId="77777777" w:rsidR="001D3250" w:rsidRPr="00340E30" w:rsidRDefault="001D3250" w:rsidP="001D3250">
            <w:pPr>
              <w:contextualSpacing/>
              <w:rPr>
                <w:rFonts w:cs="Arial"/>
                <w:szCs w:val="24"/>
              </w:rPr>
            </w:pPr>
            <w:r w:rsidRPr="00340E30">
              <w:rPr>
                <w:rFonts w:cs="Arial"/>
                <w:szCs w:val="24"/>
              </w:rPr>
              <w:lastRenderedPageBreak/>
              <w:t>Loans</w:t>
            </w:r>
          </w:p>
        </w:tc>
        <w:tc>
          <w:tcPr>
            <w:tcW w:w="1562" w:type="dxa"/>
            <w:vAlign w:val="center"/>
          </w:tcPr>
          <w:p w14:paraId="038C54C4" w14:textId="77777777" w:rsidR="001D3250" w:rsidRPr="00340E30" w:rsidRDefault="001D3250" w:rsidP="001D3250">
            <w:pPr>
              <w:contextualSpacing/>
              <w:rPr>
                <w:rFonts w:cs="Arial"/>
                <w:szCs w:val="24"/>
              </w:rPr>
            </w:pPr>
            <w:r w:rsidRPr="00340E30">
              <w:rPr>
                <w:rFonts w:cs="Arial"/>
                <w:szCs w:val="24"/>
              </w:rPr>
              <w:t>3.462</w:t>
            </w:r>
          </w:p>
        </w:tc>
        <w:tc>
          <w:tcPr>
            <w:tcW w:w="1276" w:type="dxa"/>
            <w:shd w:val="clear" w:color="auto" w:fill="F2CEED" w:themeFill="accent5" w:themeFillTint="33"/>
            <w:vAlign w:val="center"/>
          </w:tcPr>
          <w:p w14:paraId="399C91BC" w14:textId="77777777" w:rsidR="001D3250" w:rsidRPr="00340E30" w:rsidRDefault="001D3250" w:rsidP="001D3250">
            <w:pPr>
              <w:contextualSpacing/>
              <w:rPr>
                <w:rFonts w:cs="Arial"/>
                <w:szCs w:val="24"/>
              </w:rPr>
            </w:pPr>
            <w:r w:rsidRPr="00340E30">
              <w:rPr>
                <w:rFonts w:cs="Arial"/>
                <w:szCs w:val="24"/>
              </w:rPr>
              <w:t>7.388</w:t>
            </w:r>
          </w:p>
        </w:tc>
        <w:tc>
          <w:tcPr>
            <w:tcW w:w="1417" w:type="dxa"/>
            <w:vAlign w:val="center"/>
          </w:tcPr>
          <w:p w14:paraId="468FAB6B" w14:textId="77777777" w:rsidR="001D3250" w:rsidRPr="00340E30" w:rsidRDefault="001D3250" w:rsidP="001D3250">
            <w:pPr>
              <w:contextualSpacing/>
              <w:rPr>
                <w:rFonts w:cs="Arial"/>
                <w:szCs w:val="24"/>
              </w:rPr>
            </w:pPr>
            <w:r w:rsidRPr="00340E30">
              <w:rPr>
                <w:rFonts w:cs="Arial"/>
                <w:szCs w:val="24"/>
              </w:rPr>
              <w:t>20.185</w:t>
            </w:r>
          </w:p>
        </w:tc>
        <w:tc>
          <w:tcPr>
            <w:tcW w:w="1276" w:type="dxa"/>
            <w:vAlign w:val="center"/>
          </w:tcPr>
          <w:p w14:paraId="10B004B6" w14:textId="77777777" w:rsidR="001D3250" w:rsidRPr="00340E30" w:rsidRDefault="001D3250" w:rsidP="001D3250">
            <w:pPr>
              <w:contextualSpacing/>
              <w:rPr>
                <w:rFonts w:cs="Arial"/>
                <w:bCs/>
                <w:szCs w:val="24"/>
              </w:rPr>
            </w:pPr>
            <w:r w:rsidRPr="00340E30">
              <w:rPr>
                <w:rFonts w:cs="Arial"/>
                <w:bCs/>
                <w:szCs w:val="24"/>
              </w:rPr>
              <w:t>29.764</w:t>
            </w:r>
          </w:p>
        </w:tc>
      </w:tr>
      <w:tr w:rsidR="001D3250" w:rsidRPr="00340E30" w14:paraId="445A8042" w14:textId="77777777" w:rsidTr="005342B6">
        <w:trPr>
          <w:trHeight w:val="397"/>
        </w:trPr>
        <w:tc>
          <w:tcPr>
            <w:tcW w:w="3082" w:type="dxa"/>
            <w:tcBorders>
              <w:top w:val="single" w:sz="4" w:space="0" w:color="auto"/>
              <w:bottom w:val="single" w:sz="4" w:space="0" w:color="auto"/>
            </w:tcBorders>
            <w:vAlign w:val="center"/>
          </w:tcPr>
          <w:p w14:paraId="7113CE65" w14:textId="77777777" w:rsidR="001D3250" w:rsidRPr="00340E30" w:rsidRDefault="001D3250" w:rsidP="001D3250">
            <w:pPr>
              <w:contextualSpacing/>
              <w:rPr>
                <w:rFonts w:cs="Arial"/>
                <w:szCs w:val="24"/>
              </w:rPr>
            </w:pPr>
            <w:r w:rsidRPr="00340E30">
              <w:rPr>
                <w:rFonts w:cs="Arial"/>
                <w:szCs w:val="24"/>
              </w:rPr>
              <w:t>Leasing</w:t>
            </w:r>
          </w:p>
        </w:tc>
        <w:tc>
          <w:tcPr>
            <w:tcW w:w="1562" w:type="dxa"/>
            <w:vAlign w:val="center"/>
          </w:tcPr>
          <w:p w14:paraId="1FE1FC45" w14:textId="77777777" w:rsidR="001D3250" w:rsidRPr="00340E30" w:rsidRDefault="001D3250" w:rsidP="001D3250">
            <w:pPr>
              <w:contextualSpacing/>
              <w:rPr>
                <w:rFonts w:cs="Arial"/>
                <w:szCs w:val="24"/>
              </w:rPr>
            </w:pPr>
            <w:r w:rsidRPr="00340E30">
              <w:rPr>
                <w:rFonts w:cs="Arial"/>
                <w:szCs w:val="24"/>
              </w:rPr>
              <w:t xml:space="preserve">           5.928</w:t>
            </w:r>
          </w:p>
        </w:tc>
        <w:tc>
          <w:tcPr>
            <w:tcW w:w="1276" w:type="dxa"/>
            <w:shd w:val="clear" w:color="auto" w:fill="F2CEED" w:themeFill="accent5" w:themeFillTint="33"/>
            <w:vAlign w:val="center"/>
          </w:tcPr>
          <w:p w14:paraId="3B97950B" w14:textId="77777777" w:rsidR="001D3250" w:rsidRPr="00340E30" w:rsidRDefault="001D3250" w:rsidP="001D3250">
            <w:pPr>
              <w:contextualSpacing/>
              <w:rPr>
                <w:rFonts w:cs="Arial"/>
                <w:szCs w:val="24"/>
              </w:rPr>
            </w:pPr>
            <w:r w:rsidRPr="00340E30">
              <w:rPr>
                <w:rFonts w:cs="Arial"/>
                <w:szCs w:val="24"/>
              </w:rPr>
              <w:t>-</w:t>
            </w:r>
          </w:p>
        </w:tc>
        <w:tc>
          <w:tcPr>
            <w:tcW w:w="1417" w:type="dxa"/>
            <w:vAlign w:val="center"/>
          </w:tcPr>
          <w:p w14:paraId="413DA6C1" w14:textId="77777777" w:rsidR="001D3250" w:rsidRPr="00340E30" w:rsidRDefault="001D3250" w:rsidP="001D3250">
            <w:pPr>
              <w:contextualSpacing/>
              <w:rPr>
                <w:rFonts w:cs="Arial"/>
                <w:szCs w:val="24"/>
              </w:rPr>
            </w:pPr>
            <w:r w:rsidRPr="00340E30">
              <w:rPr>
                <w:rFonts w:cs="Arial"/>
                <w:szCs w:val="24"/>
              </w:rPr>
              <w:t>-</w:t>
            </w:r>
          </w:p>
        </w:tc>
        <w:tc>
          <w:tcPr>
            <w:tcW w:w="1276" w:type="dxa"/>
            <w:vAlign w:val="center"/>
          </w:tcPr>
          <w:p w14:paraId="75331932" w14:textId="77777777" w:rsidR="001D3250" w:rsidRPr="00340E30" w:rsidRDefault="001D3250" w:rsidP="001D3250">
            <w:pPr>
              <w:contextualSpacing/>
              <w:rPr>
                <w:rFonts w:cs="Arial"/>
                <w:bCs/>
                <w:szCs w:val="24"/>
              </w:rPr>
            </w:pPr>
            <w:r w:rsidRPr="00340E30">
              <w:rPr>
                <w:rFonts w:cs="Arial"/>
                <w:bCs/>
                <w:szCs w:val="24"/>
              </w:rPr>
              <w:t>-</w:t>
            </w:r>
          </w:p>
        </w:tc>
      </w:tr>
      <w:tr w:rsidR="001D3250" w:rsidRPr="00340E30" w14:paraId="4E92650A" w14:textId="77777777" w:rsidTr="005342B6">
        <w:trPr>
          <w:trHeight w:val="397"/>
        </w:trPr>
        <w:tc>
          <w:tcPr>
            <w:tcW w:w="3082" w:type="dxa"/>
            <w:tcBorders>
              <w:top w:val="single" w:sz="4" w:space="0" w:color="auto"/>
              <w:bottom w:val="single" w:sz="4" w:space="0" w:color="auto"/>
            </w:tcBorders>
            <w:vAlign w:val="center"/>
          </w:tcPr>
          <w:p w14:paraId="5EF74FCC" w14:textId="77777777" w:rsidR="001D3250" w:rsidRPr="00340E30" w:rsidRDefault="001D3250" w:rsidP="001D3250">
            <w:pPr>
              <w:contextualSpacing/>
              <w:rPr>
                <w:rFonts w:cs="Arial"/>
                <w:szCs w:val="24"/>
              </w:rPr>
            </w:pPr>
            <w:r w:rsidRPr="00340E30">
              <w:rPr>
                <w:rFonts w:cs="Arial"/>
                <w:szCs w:val="24"/>
              </w:rPr>
              <w:t>Grants</w:t>
            </w:r>
          </w:p>
        </w:tc>
        <w:tc>
          <w:tcPr>
            <w:tcW w:w="1562" w:type="dxa"/>
            <w:vAlign w:val="center"/>
          </w:tcPr>
          <w:p w14:paraId="50BD2D8F" w14:textId="77777777" w:rsidR="001D3250" w:rsidRPr="00340E30" w:rsidRDefault="001D3250" w:rsidP="001D3250">
            <w:pPr>
              <w:contextualSpacing/>
              <w:rPr>
                <w:rFonts w:cs="Arial"/>
                <w:szCs w:val="24"/>
              </w:rPr>
            </w:pPr>
            <w:r w:rsidRPr="00340E30">
              <w:rPr>
                <w:rFonts w:cs="Arial"/>
                <w:szCs w:val="24"/>
              </w:rPr>
              <w:t xml:space="preserve">           4.751</w:t>
            </w:r>
          </w:p>
        </w:tc>
        <w:tc>
          <w:tcPr>
            <w:tcW w:w="1276" w:type="dxa"/>
            <w:shd w:val="clear" w:color="auto" w:fill="F2CEED" w:themeFill="accent5" w:themeFillTint="33"/>
            <w:vAlign w:val="center"/>
          </w:tcPr>
          <w:p w14:paraId="0489A8BC" w14:textId="77777777" w:rsidR="001D3250" w:rsidRPr="00340E30" w:rsidRDefault="001D3250" w:rsidP="001D3250">
            <w:pPr>
              <w:contextualSpacing/>
              <w:rPr>
                <w:rFonts w:cs="Arial"/>
                <w:szCs w:val="24"/>
              </w:rPr>
            </w:pPr>
            <w:r w:rsidRPr="00340E30">
              <w:rPr>
                <w:rFonts w:cs="Arial"/>
                <w:szCs w:val="24"/>
              </w:rPr>
              <w:t>5.429</w:t>
            </w:r>
          </w:p>
        </w:tc>
        <w:tc>
          <w:tcPr>
            <w:tcW w:w="1417" w:type="dxa"/>
            <w:vAlign w:val="center"/>
          </w:tcPr>
          <w:p w14:paraId="301AE959" w14:textId="77777777" w:rsidR="001D3250" w:rsidRPr="00340E30" w:rsidRDefault="001D3250" w:rsidP="001D3250">
            <w:pPr>
              <w:contextualSpacing/>
              <w:rPr>
                <w:rFonts w:cs="Arial"/>
                <w:szCs w:val="24"/>
              </w:rPr>
            </w:pPr>
            <w:r w:rsidRPr="00340E30">
              <w:rPr>
                <w:rFonts w:cs="Arial"/>
                <w:szCs w:val="24"/>
              </w:rPr>
              <w:t>9.283</w:t>
            </w:r>
          </w:p>
        </w:tc>
        <w:tc>
          <w:tcPr>
            <w:tcW w:w="1276" w:type="dxa"/>
            <w:vAlign w:val="center"/>
          </w:tcPr>
          <w:p w14:paraId="1376C5E4" w14:textId="77777777" w:rsidR="001D3250" w:rsidRPr="00340E30" w:rsidRDefault="001D3250" w:rsidP="001D3250">
            <w:pPr>
              <w:contextualSpacing/>
              <w:rPr>
                <w:rFonts w:cs="Arial"/>
                <w:bCs/>
                <w:szCs w:val="24"/>
              </w:rPr>
            </w:pPr>
            <w:r w:rsidRPr="00340E30">
              <w:rPr>
                <w:rFonts w:cs="Arial"/>
                <w:bCs/>
                <w:szCs w:val="24"/>
              </w:rPr>
              <w:t>19.797</w:t>
            </w:r>
          </w:p>
        </w:tc>
      </w:tr>
      <w:tr w:rsidR="001D3250" w:rsidRPr="00340E30" w14:paraId="6FFA71B3" w14:textId="77777777" w:rsidTr="005342B6">
        <w:trPr>
          <w:trHeight w:val="397"/>
        </w:trPr>
        <w:tc>
          <w:tcPr>
            <w:tcW w:w="3082" w:type="dxa"/>
            <w:tcBorders>
              <w:top w:val="single" w:sz="4" w:space="0" w:color="auto"/>
              <w:bottom w:val="single" w:sz="4" w:space="0" w:color="auto"/>
            </w:tcBorders>
            <w:vAlign w:val="center"/>
          </w:tcPr>
          <w:p w14:paraId="613B06B9" w14:textId="77777777" w:rsidR="001D3250" w:rsidRPr="00340E30" w:rsidRDefault="001D3250" w:rsidP="001D3250">
            <w:pPr>
              <w:contextualSpacing/>
              <w:rPr>
                <w:rFonts w:cs="Arial"/>
                <w:szCs w:val="24"/>
              </w:rPr>
            </w:pPr>
            <w:r w:rsidRPr="00340E30">
              <w:rPr>
                <w:rFonts w:cs="Arial"/>
                <w:szCs w:val="24"/>
              </w:rPr>
              <w:t>Capital Receipts</w:t>
            </w:r>
          </w:p>
        </w:tc>
        <w:tc>
          <w:tcPr>
            <w:tcW w:w="1562" w:type="dxa"/>
            <w:vAlign w:val="center"/>
          </w:tcPr>
          <w:p w14:paraId="307DDC19" w14:textId="77777777" w:rsidR="001D3250" w:rsidRPr="00340E30" w:rsidRDefault="001D3250" w:rsidP="001D3250">
            <w:pPr>
              <w:contextualSpacing/>
              <w:rPr>
                <w:rFonts w:cs="Arial"/>
                <w:szCs w:val="24"/>
              </w:rPr>
            </w:pPr>
            <w:r w:rsidRPr="00340E30">
              <w:rPr>
                <w:rFonts w:cs="Arial"/>
                <w:szCs w:val="24"/>
              </w:rPr>
              <w:t>0.804</w:t>
            </w:r>
          </w:p>
        </w:tc>
        <w:tc>
          <w:tcPr>
            <w:tcW w:w="1276" w:type="dxa"/>
            <w:shd w:val="clear" w:color="auto" w:fill="F2CEED" w:themeFill="accent5" w:themeFillTint="33"/>
            <w:vAlign w:val="center"/>
          </w:tcPr>
          <w:p w14:paraId="67716C58" w14:textId="77777777" w:rsidR="001D3250" w:rsidRPr="00340E30" w:rsidRDefault="001D3250" w:rsidP="001D3250">
            <w:pPr>
              <w:contextualSpacing/>
              <w:rPr>
                <w:rFonts w:cs="Arial"/>
                <w:szCs w:val="24"/>
              </w:rPr>
            </w:pPr>
            <w:r w:rsidRPr="00340E30">
              <w:rPr>
                <w:rFonts w:cs="Arial"/>
                <w:szCs w:val="24"/>
              </w:rPr>
              <w:t>1.409</w:t>
            </w:r>
          </w:p>
        </w:tc>
        <w:tc>
          <w:tcPr>
            <w:tcW w:w="1417" w:type="dxa"/>
            <w:vAlign w:val="center"/>
          </w:tcPr>
          <w:p w14:paraId="05564DD4" w14:textId="77777777" w:rsidR="001D3250" w:rsidRPr="00340E30" w:rsidRDefault="001D3250" w:rsidP="001D3250">
            <w:pPr>
              <w:rPr>
                <w:rFonts w:cs="Arial"/>
                <w:szCs w:val="24"/>
              </w:rPr>
            </w:pPr>
            <w:r w:rsidRPr="00340E30">
              <w:rPr>
                <w:rFonts w:cs="Arial"/>
                <w:szCs w:val="24"/>
              </w:rPr>
              <w:t>0.612</w:t>
            </w:r>
          </w:p>
        </w:tc>
        <w:tc>
          <w:tcPr>
            <w:tcW w:w="1276" w:type="dxa"/>
            <w:vAlign w:val="center"/>
          </w:tcPr>
          <w:p w14:paraId="5AF47A08" w14:textId="77777777" w:rsidR="001D3250" w:rsidRPr="00340E30" w:rsidRDefault="001D3250" w:rsidP="001D3250">
            <w:pPr>
              <w:contextualSpacing/>
              <w:rPr>
                <w:rFonts w:cs="Arial"/>
                <w:bCs/>
                <w:szCs w:val="24"/>
              </w:rPr>
            </w:pPr>
            <w:r w:rsidRPr="00340E30">
              <w:rPr>
                <w:rFonts w:cs="Arial"/>
                <w:bCs/>
                <w:szCs w:val="24"/>
              </w:rPr>
              <w:t>0.211</w:t>
            </w:r>
          </w:p>
        </w:tc>
      </w:tr>
      <w:tr w:rsidR="001D3250" w:rsidRPr="00340E30" w14:paraId="24A633A2" w14:textId="77777777" w:rsidTr="005342B6">
        <w:trPr>
          <w:trHeight w:val="397"/>
        </w:trPr>
        <w:tc>
          <w:tcPr>
            <w:tcW w:w="3082" w:type="dxa"/>
            <w:tcBorders>
              <w:top w:val="single" w:sz="4" w:space="0" w:color="auto"/>
              <w:bottom w:val="single" w:sz="4" w:space="0" w:color="auto"/>
            </w:tcBorders>
            <w:vAlign w:val="center"/>
          </w:tcPr>
          <w:p w14:paraId="75E8D656" w14:textId="77777777" w:rsidR="001D3250" w:rsidRPr="00340E30" w:rsidRDefault="001D3250" w:rsidP="001D3250">
            <w:pPr>
              <w:contextualSpacing/>
              <w:rPr>
                <w:rFonts w:cs="Arial"/>
                <w:szCs w:val="24"/>
              </w:rPr>
            </w:pPr>
            <w:r w:rsidRPr="00340E30">
              <w:rPr>
                <w:rFonts w:cs="Arial"/>
                <w:szCs w:val="24"/>
              </w:rPr>
              <w:t>Revenue/Reserves</w:t>
            </w:r>
          </w:p>
        </w:tc>
        <w:tc>
          <w:tcPr>
            <w:tcW w:w="1562" w:type="dxa"/>
            <w:vAlign w:val="center"/>
          </w:tcPr>
          <w:p w14:paraId="00739A41" w14:textId="77777777" w:rsidR="001D3250" w:rsidRPr="00340E30" w:rsidRDefault="001D3250" w:rsidP="001D3250">
            <w:pPr>
              <w:contextualSpacing/>
              <w:rPr>
                <w:rFonts w:cs="Arial"/>
                <w:szCs w:val="24"/>
              </w:rPr>
            </w:pPr>
            <w:r w:rsidRPr="00340E30">
              <w:rPr>
                <w:rFonts w:cs="Arial"/>
                <w:szCs w:val="24"/>
              </w:rPr>
              <w:t>0.508</w:t>
            </w:r>
          </w:p>
        </w:tc>
        <w:tc>
          <w:tcPr>
            <w:tcW w:w="1276" w:type="dxa"/>
            <w:shd w:val="clear" w:color="auto" w:fill="F2CEED" w:themeFill="accent5" w:themeFillTint="33"/>
            <w:vAlign w:val="center"/>
          </w:tcPr>
          <w:p w14:paraId="6DF17093" w14:textId="77777777" w:rsidR="001D3250" w:rsidRPr="00340E30" w:rsidRDefault="001D3250" w:rsidP="001D3250">
            <w:pPr>
              <w:contextualSpacing/>
              <w:rPr>
                <w:rFonts w:cs="Arial"/>
                <w:szCs w:val="24"/>
              </w:rPr>
            </w:pPr>
            <w:r w:rsidRPr="00340E30">
              <w:rPr>
                <w:rFonts w:cs="Arial"/>
                <w:szCs w:val="24"/>
              </w:rPr>
              <w:t>0.385</w:t>
            </w:r>
          </w:p>
        </w:tc>
        <w:tc>
          <w:tcPr>
            <w:tcW w:w="1417" w:type="dxa"/>
            <w:vAlign w:val="center"/>
          </w:tcPr>
          <w:p w14:paraId="6278A3C0" w14:textId="77777777" w:rsidR="001D3250" w:rsidRPr="00340E30" w:rsidRDefault="001D3250" w:rsidP="001D3250">
            <w:pPr>
              <w:rPr>
                <w:rFonts w:cs="Arial"/>
                <w:szCs w:val="24"/>
              </w:rPr>
            </w:pPr>
            <w:r w:rsidRPr="00340E30">
              <w:rPr>
                <w:rFonts w:cs="Arial"/>
                <w:szCs w:val="24"/>
              </w:rPr>
              <w:t>0.162</w:t>
            </w:r>
          </w:p>
        </w:tc>
        <w:tc>
          <w:tcPr>
            <w:tcW w:w="1276" w:type="dxa"/>
            <w:vAlign w:val="center"/>
          </w:tcPr>
          <w:p w14:paraId="492ED4CA" w14:textId="77777777" w:rsidR="001D3250" w:rsidRPr="00340E30" w:rsidRDefault="001D3250" w:rsidP="001D3250">
            <w:pPr>
              <w:contextualSpacing/>
              <w:rPr>
                <w:rFonts w:cs="Arial"/>
                <w:bCs/>
                <w:szCs w:val="24"/>
              </w:rPr>
            </w:pPr>
            <w:r w:rsidRPr="00340E30">
              <w:rPr>
                <w:rFonts w:cs="Arial"/>
                <w:bCs/>
                <w:szCs w:val="24"/>
              </w:rPr>
              <w:t>-</w:t>
            </w:r>
          </w:p>
        </w:tc>
      </w:tr>
    </w:tbl>
    <w:p w14:paraId="7F0ADFAE" w14:textId="77777777" w:rsidR="001D3250" w:rsidRPr="00340E30" w:rsidRDefault="001D3250" w:rsidP="001D3250">
      <w:pPr>
        <w:tabs>
          <w:tab w:val="center" w:pos="4513"/>
          <w:tab w:val="right" w:pos="9026"/>
        </w:tabs>
        <w:rPr>
          <w:rFonts w:cs="Arial"/>
          <w:bCs/>
        </w:rPr>
      </w:pPr>
    </w:p>
    <w:p w14:paraId="5F34101E" w14:textId="77777777" w:rsidR="001D3250" w:rsidRPr="00CB5B5D" w:rsidRDefault="001D3250" w:rsidP="001D3250">
      <w:pPr>
        <w:tabs>
          <w:tab w:val="center" w:pos="4513"/>
          <w:tab w:val="right" w:pos="9026"/>
        </w:tabs>
        <w:rPr>
          <w:rFonts w:cs="Arial"/>
          <w:b/>
          <w:bCs/>
        </w:rPr>
      </w:pPr>
      <w:r w:rsidRPr="00340E30">
        <w:rPr>
          <w:rFonts w:cs="Arial"/>
          <w:b/>
          <w:bCs/>
        </w:rPr>
        <w:t>Capital – Capital Financing Requirement and External Borrowings</w:t>
      </w:r>
    </w:p>
    <w:p w14:paraId="6B5B3D1E" w14:textId="6B89F3EE" w:rsidR="001D3250" w:rsidRPr="00340E30" w:rsidRDefault="001D3250" w:rsidP="001D3250">
      <w:pPr>
        <w:rPr>
          <w:rFonts w:cs="Arial"/>
          <w:szCs w:val="24"/>
        </w:rPr>
      </w:pPr>
      <w:r w:rsidRPr="00340E30">
        <w:rPr>
          <w:rFonts w:cs="Arial"/>
          <w:szCs w:val="24"/>
        </w:rPr>
        <w:t xml:space="preserve">The Council’s cumulative outstanding amount of debt finance </w:t>
      </w:r>
      <w:r>
        <w:rPr>
          <w:rFonts w:cs="Arial"/>
          <w:szCs w:val="24"/>
        </w:rPr>
        <w:t xml:space="preserve">was </w:t>
      </w:r>
      <w:r w:rsidRPr="00340E30">
        <w:rPr>
          <w:rFonts w:cs="Arial"/>
          <w:szCs w:val="24"/>
        </w:rPr>
        <w:t>measured by the Capital Financing Requirement (CFR).  Th</w:t>
      </w:r>
      <w:r>
        <w:rPr>
          <w:rFonts w:cs="Arial"/>
          <w:szCs w:val="24"/>
        </w:rPr>
        <w:t>at</w:t>
      </w:r>
      <w:r w:rsidRPr="00340E30">
        <w:rPr>
          <w:rFonts w:cs="Arial"/>
          <w:szCs w:val="24"/>
        </w:rPr>
        <w:t xml:space="preserve"> increases with new debt-financed capital expenditure and reduces with MRP (minimum revenue provision).  See section 1.4 for further information on MRP. </w:t>
      </w:r>
    </w:p>
    <w:p w14:paraId="26448928" w14:textId="77777777" w:rsidR="001D3250" w:rsidRPr="00340E30" w:rsidRDefault="001D3250" w:rsidP="001D3250">
      <w:pPr>
        <w:rPr>
          <w:rFonts w:cs="Arial"/>
          <w:szCs w:val="24"/>
        </w:rPr>
      </w:pPr>
    </w:p>
    <w:p w14:paraId="2E4E94AE" w14:textId="1EB9E979" w:rsidR="001D3250" w:rsidRDefault="001D3250" w:rsidP="001D3250">
      <w:pPr>
        <w:rPr>
          <w:rFonts w:cs="Arial"/>
          <w:szCs w:val="24"/>
        </w:rPr>
      </w:pPr>
      <w:r w:rsidRPr="00340E30">
        <w:rPr>
          <w:rFonts w:cs="Arial"/>
          <w:szCs w:val="24"/>
        </w:rPr>
        <w:t xml:space="preserve">Statutory guidance </w:t>
      </w:r>
      <w:r>
        <w:rPr>
          <w:rFonts w:cs="Arial"/>
          <w:szCs w:val="24"/>
        </w:rPr>
        <w:t xml:space="preserve">was </w:t>
      </w:r>
      <w:r w:rsidRPr="00340E30">
        <w:rPr>
          <w:rFonts w:cs="Arial"/>
          <w:szCs w:val="24"/>
        </w:rPr>
        <w:t>that debt should remain below the capital financing requirement, except in the short term.  The Council ha</w:t>
      </w:r>
      <w:r>
        <w:rPr>
          <w:rFonts w:cs="Arial"/>
          <w:szCs w:val="24"/>
        </w:rPr>
        <w:t>d</w:t>
      </w:r>
      <w:r w:rsidRPr="00340E30">
        <w:rPr>
          <w:rFonts w:cs="Arial"/>
          <w:szCs w:val="24"/>
        </w:rPr>
        <w:t xml:space="preserve"> complied and expect</w:t>
      </w:r>
      <w:r>
        <w:rPr>
          <w:rFonts w:cs="Arial"/>
          <w:szCs w:val="24"/>
        </w:rPr>
        <w:t>ed</w:t>
      </w:r>
      <w:r w:rsidRPr="00340E30">
        <w:rPr>
          <w:rFonts w:cs="Arial"/>
          <w:szCs w:val="24"/>
        </w:rPr>
        <w:t xml:space="preserve"> to continue to comply with this requirement in the medium term as shown below.</w:t>
      </w:r>
    </w:p>
    <w:p w14:paraId="17AAA630" w14:textId="77777777" w:rsidR="001D3250" w:rsidRPr="00340E30" w:rsidRDefault="001D3250" w:rsidP="001D3250">
      <w:pPr>
        <w:rPr>
          <w:rFonts w:cs="Arial"/>
          <w:szCs w:val="24"/>
        </w:rPr>
      </w:pPr>
    </w:p>
    <w:tbl>
      <w:tblPr>
        <w:tblW w:w="91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0"/>
        <w:gridCol w:w="1134"/>
        <w:gridCol w:w="1134"/>
        <w:gridCol w:w="1134"/>
        <w:gridCol w:w="1134"/>
      </w:tblGrid>
      <w:tr w:rsidR="001D3250" w:rsidRPr="00340E30" w14:paraId="3EF118CF" w14:textId="77777777" w:rsidTr="005342B6">
        <w:trPr>
          <w:trHeight w:val="340"/>
        </w:trPr>
        <w:tc>
          <w:tcPr>
            <w:tcW w:w="4570" w:type="dxa"/>
            <w:tcBorders>
              <w:top w:val="nil"/>
              <w:left w:val="nil"/>
              <w:bottom w:val="nil"/>
              <w:right w:val="nil"/>
            </w:tcBorders>
            <w:vAlign w:val="center"/>
          </w:tcPr>
          <w:p w14:paraId="08B64427" w14:textId="77777777" w:rsidR="001D3250" w:rsidRPr="00340E30" w:rsidRDefault="001D3250" w:rsidP="001D3250">
            <w:pPr>
              <w:contextualSpacing/>
              <w:rPr>
                <w:rFonts w:cs="Arial"/>
                <w:szCs w:val="24"/>
              </w:rPr>
            </w:pPr>
          </w:p>
        </w:tc>
        <w:tc>
          <w:tcPr>
            <w:tcW w:w="1134" w:type="dxa"/>
            <w:tcBorders>
              <w:top w:val="single" w:sz="4" w:space="0" w:color="auto"/>
              <w:left w:val="single" w:sz="4" w:space="0" w:color="auto"/>
              <w:bottom w:val="single" w:sz="4" w:space="0" w:color="auto"/>
            </w:tcBorders>
            <w:shd w:val="clear" w:color="auto" w:fill="0070C0"/>
            <w:vAlign w:val="center"/>
          </w:tcPr>
          <w:p w14:paraId="53612EEF"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Actual</w:t>
            </w:r>
          </w:p>
        </w:tc>
        <w:tc>
          <w:tcPr>
            <w:tcW w:w="3402" w:type="dxa"/>
            <w:gridSpan w:val="3"/>
            <w:tcBorders>
              <w:top w:val="single" w:sz="4" w:space="0" w:color="auto"/>
              <w:left w:val="single" w:sz="4" w:space="0" w:color="auto"/>
              <w:bottom w:val="single" w:sz="4" w:space="0" w:color="auto"/>
            </w:tcBorders>
            <w:shd w:val="clear" w:color="auto" w:fill="0070C0"/>
            <w:vAlign w:val="center"/>
          </w:tcPr>
          <w:p w14:paraId="52526B74"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Revised Forecast</w:t>
            </w:r>
          </w:p>
        </w:tc>
      </w:tr>
      <w:tr w:rsidR="001D3250" w:rsidRPr="00340E30" w14:paraId="4E57D647" w14:textId="77777777" w:rsidTr="005342B6">
        <w:trPr>
          <w:trHeight w:val="340"/>
        </w:trPr>
        <w:tc>
          <w:tcPr>
            <w:tcW w:w="4570" w:type="dxa"/>
            <w:tcBorders>
              <w:top w:val="nil"/>
              <w:left w:val="nil"/>
              <w:bottom w:val="nil"/>
              <w:right w:val="single" w:sz="4" w:space="0" w:color="auto"/>
            </w:tcBorders>
            <w:vAlign w:val="center"/>
          </w:tcPr>
          <w:p w14:paraId="4251849B" w14:textId="77777777" w:rsidR="001D3250" w:rsidRPr="00340E30" w:rsidRDefault="001D3250" w:rsidP="001D3250">
            <w:pPr>
              <w:contextualSpacing/>
              <w:rPr>
                <w:rFonts w:cs="Arial"/>
                <w:b/>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0070C0"/>
            <w:vAlign w:val="center"/>
          </w:tcPr>
          <w:p w14:paraId="4C590C1E"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2024/25</w:t>
            </w:r>
          </w:p>
        </w:tc>
        <w:tc>
          <w:tcPr>
            <w:tcW w:w="1134" w:type="dxa"/>
            <w:tcBorders>
              <w:top w:val="single" w:sz="4" w:space="0" w:color="auto"/>
              <w:left w:val="single" w:sz="4" w:space="0" w:color="auto"/>
            </w:tcBorders>
            <w:shd w:val="clear" w:color="auto" w:fill="0070C0"/>
            <w:vAlign w:val="center"/>
          </w:tcPr>
          <w:p w14:paraId="0F32C4A0"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2025/26</w:t>
            </w:r>
          </w:p>
        </w:tc>
        <w:tc>
          <w:tcPr>
            <w:tcW w:w="1134" w:type="dxa"/>
            <w:shd w:val="clear" w:color="auto" w:fill="0070C0"/>
            <w:vAlign w:val="center"/>
          </w:tcPr>
          <w:p w14:paraId="29ADECEB"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2026/27</w:t>
            </w:r>
          </w:p>
        </w:tc>
        <w:tc>
          <w:tcPr>
            <w:tcW w:w="1134" w:type="dxa"/>
            <w:shd w:val="clear" w:color="auto" w:fill="0070C0"/>
            <w:vAlign w:val="center"/>
          </w:tcPr>
          <w:p w14:paraId="1066AF18"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2027/28</w:t>
            </w:r>
          </w:p>
        </w:tc>
      </w:tr>
      <w:tr w:rsidR="001D3250" w:rsidRPr="00340E30" w14:paraId="3C5B8BA4" w14:textId="77777777" w:rsidTr="005342B6">
        <w:trPr>
          <w:trHeight w:val="340"/>
        </w:trPr>
        <w:tc>
          <w:tcPr>
            <w:tcW w:w="4570" w:type="dxa"/>
            <w:tcBorders>
              <w:top w:val="nil"/>
              <w:left w:val="single" w:sz="4" w:space="0" w:color="auto"/>
              <w:bottom w:val="single" w:sz="4" w:space="0" w:color="auto"/>
              <w:right w:val="single" w:sz="4" w:space="0" w:color="auto"/>
            </w:tcBorders>
            <w:shd w:val="clear" w:color="auto" w:fill="0070C0"/>
            <w:vAlign w:val="center"/>
          </w:tcPr>
          <w:p w14:paraId="1AC4423A"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Table 1.2</w:t>
            </w:r>
          </w:p>
        </w:tc>
        <w:tc>
          <w:tcPr>
            <w:tcW w:w="1134" w:type="dxa"/>
            <w:tcBorders>
              <w:top w:val="single" w:sz="4" w:space="0" w:color="auto"/>
              <w:left w:val="single" w:sz="4" w:space="0" w:color="auto"/>
              <w:right w:val="single" w:sz="4" w:space="0" w:color="auto"/>
            </w:tcBorders>
            <w:shd w:val="clear" w:color="auto" w:fill="0070C0"/>
            <w:vAlign w:val="center"/>
          </w:tcPr>
          <w:p w14:paraId="762D7C24"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£m</w:t>
            </w:r>
          </w:p>
        </w:tc>
        <w:tc>
          <w:tcPr>
            <w:tcW w:w="1134" w:type="dxa"/>
            <w:tcBorders>
              <w:top w:val="single" w:sz="4" w:space="0" w:color="auto"/>
              <w:left w:val="single" w:sz="4" w:space="0" w:color="auto"/>
            </w:tcBorders>
            <w:shd w:val="clear" w:color="auto" w:fill="0070C0"/>
            <w:vAlign w:val="center"/>
          </w:tcPr>
          <w:p w14:paraId="4A005F72"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£m</w:t>
            </w:r>
          </w:p>
        </w:tc>
        <w:tc>
          <w:tcPr>
            <w:tcW w:w="1134" w:type="dxa"/>
            <w:shd w:val="clear" w:color="auto" w:fill="0070C0"/>
            <w:vAlign w:val="center"/>
          </w:tcPr>
          <w:p w14:paraId="0B5A87B0"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£m</w:t>
            </w:r>
          </w:p>
        </w:tc>
        <w:tc>
          <w:tcPr>
            <w:tcW w:w="1134" w:type="dxa"/>
            <w:shd w:val="clear" w:color="auto" w:fill="0070C0"/>
            <w:vAlign w:val="center"/>
          </w:tcPr>
          <w:p w14:paraId="2B14144D"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£m</w:t>
            </w:r>
          </w:p>
        </w:tc>
      </w:tr>
      <w:tr w:rsidR="001D3250" w:rsidRPr="00340E30" w14:paraId="31B531A2" w14:textId="77777777" w:rsidTr="005342B6">
        <w:trPr>
          <w:trHeight w:val="397"/>
        </w:trPr>
        <w:tc>
          <w:tcPr>
            <w:tcW w:w="4570" w:type="dxa"/>
            <w:tcBorders>
              <w:top w:val="single" w:sz="4" w:space="0" w:color="auto"/>
              <w:bottom w:val="single" w:sz="4" w:space="0" w:color="auto"/>
            </w:tcBorders>
            <w:vAlign w:val="center"/>
          </w:tcPr>
          <w:p w14:paraId="1F08D8DD" w14:textId="77777777" w:rsidR="001D3250" w:rsidRPr="00340E30" w:rsidRDefault="001D3250" w:rsidP="001D3250">
            <w:pPr>
              <w:contextualSpacing/>
              <w:rPr>
                <w:rFonts w:cs="Arial"/>
                <w:szCs w:val="24"/>
              </w:rPr>
            </w:pPr>
            <w:r w:rsidRPr="00340E30">
              <w:rPr>
                <w:rFonts w:cs="Arial"/>
                <w:szCs w:val="24"/>
              </w:rPr>
              <w:t>Capital Financing Requirement (CFR)</w:t>
            </w:r>
          </w:p>
        </w:tc>
        <w:tc>
          <w:tcPr>
            <w:tcW w:w="1134" w:type="dxa"/>
            <w:vAlign w:val="center"/>
          </w:tcPr>
          <w:p w14:paraId="3174584C" w14:textId="77777777" w:rsidR="001D3250" w:rsidRPr="00340E30" w:rsidRDefault="001D3250" w:rsidP="001D3250">
            <w:pPr>
              <w:contextualSpacing/>
              <w:rPr>
                <w:rFonts w:cs="Arial"/>
                <w:szCs w:val="24"/>
              </w:rPr>
            </w:pPr>
            <w:r w:rsidRPr="00340E30">
              <w:rPr>
                <w:rFonts w:cs="Arial"/>
                <w:szCs w:val="24"/>
              </w:rPr>
              <w:t>77.865</w:t>
            </w:r>
          </w:p>
        </w:tc>
        <w:tc>
          <w:tcPr>
            <w:tcW w:w="1134" w:type="dxa"/>
            <w:shd w:val="clear" w:color="auto" w:fill="F2CEED" w:themeFill="accent5" w:themeFillTint="33"/>
            <w:vAlign w:val="center"/>
          </w:tcPr>
          <w:p w14:paraId="576C366C" w14:textId="77777777" w:rsidR="001D3250" w:rsidRPr="00340E30" w:rsidRDefault="001D3250" w:rsidP="001D3250">
            <w:pPr>
              <w:contextualSpacing/>
              <w:rPr>
                <w:rFonts w:cs="Arial"/>
                <w:szCs w:val="24"/>
              </w:rPr>
            </w:pPr>
            <w:r w:rsidRPr="00340E30">
              <w:rPr>
                <w:rFonts w:cs="Arial"/>
                <w:szCs w:val="24"/>
              </w:rPr>
              <w:t>77.851</w:t>
            </w:r>
          </w:p>
        </w:tc>
        <w:tc>
          <w:tcPr>
            <w:tcW w:w="1134" w:type="dxa"/>
            <w:vAlign w:val="center"/>
          </w:tcPr>
          <w:p w14:paraId="6D70ACC4" w14:textId="77777777" w:rsidR="001D3250" w:rsidRPr="00340E30" w:rsidRDefault="001D3250" w:rsidP="001D3250">
            <w:pPr>
              <w:contextualSpacing/>
              <w:rPr>
                <w:rFonts w:cs="Arial"/>
                <w:szCs w:val="24"/>
              </w:rPr>
            </w:pPr>
            <w:r w:rsidRPr="00340E30">
              <w:rPr>
                <w:rFonts w:cs="Arial"/>
                <w:szCs w:val="24"/>
              </w:rPr>
              <w:t>90.282</w:t>
            </w:r>
          </w:p>
        </w:tc>
        <w:tc>
          <w:tcPr>
            <w:tcW w:w="1134" w:type="dxa"/>
            <w:vAlign w:val="center"/>
          </w:tcPr>
          <w:p w14:paraId="16A0CBC0" w14:textId="77777777" w:rsidR="001D3250" w:rsidRPr="00340E30" w:rsidRDefault="001D3250" w:rsidP="001D3250">
            <w:pPr>
              <w:contextualSpacing/>
              <w:rPr>
                <w:rFonts w:cs="Arial"/>
                <w:bCs/>
                <w:szCs w:val="24"/>
              </w:rPr>
            </w:pPr>
            <w:r w:rsidRPr="00340E30">
              <w:rPr>
                <w:rFonts w:cs="Arial"/>
                <w:bCs/>
                <w:szCs w:val="24"/>
              </w:rPr>
              <w:t>112.542</w:t>
            </w:r>
          </w:p>
        </w:tc>
      </w:tr>
      <w:tr w:rsidR="001D3250" w:rsidRPr="00340E30" w14:paraId="63349877" w14:textId="77777777" w:rsidTr="005342B6">
        <w:trPr>
          <w:trHeight w:val="397"/>
        </w:trPr>
        <w:tc>
          <w:tcPr>
            <w:tcW w:w="4570" w:type="dxa"/>
            <w:tcBorders>
              <w:top w:val="single" w:sz="4" w:space="0" w:color="auto"/>
              <w:bottom w:val="single" w:sz="4" w:space="0" w:color="auto"/>
            </w:tcBorders>
            <w:vAlign w:val="center"/>
          </w:tcPr>
          <w:p w14:paraId="0F3DE620" w14:textId="77777777" w:rsidR="001D3250" w:rsidRPr="00340E30" w:rsidRDefault="001D3250" w:rsidP="001D3250">
            <w:pPr>
              <w:contextualSpacing/>
              <w:rPr>
                <w:rFonts w:cs="Arial"/>
                <w:szCs w:val="24"/>
              </w:rPr>
            </w:pPr>
            <w:r w:rsidRPr="00340E30">
              <w:rPr>
                <w:rFonts w:cs="Arial"/>
                <w:szCs w:val="24"/>
              </w:rPr>
              <w:t>External Gross Borrowing</w:t>
            </w:r>
          </w:p>
        </w:tc>
        <w:tc>
          <w:tcPr>
            <w:tcW w:w="1134" w:type="dxa"/>
            <w:vAlign w:val="center"/>
          </w:tcPr>
          <w:p w14:paraId="54B21E09" w14:textId="77777777" w:rsidR="001D3250" w:rsidRPr="00340E30" w:rsidRDefault="001D3250" w:rsidP="001D3250">
            <w:pPr>
              <w:contextualSpacing/>
              <w:rPr>
                <w:rFonts w:cs="Arial"/>
                <w:szCs w:val="24"/>
              </w:rPr>
            </w:pPr>
            <w:r w:rsidRPr="00340E30">
              <w:rPr>
                <w:rFonts w:cs="Arial"/>
                <w:szCs w:val="24"/>
              </w:rPr>
              <w:t>(56.876)</w:t>
            </w:r>
          </w:p>
        </w:tc>
        <w:tc>
          <w:tcPr>
            <w:tcW w:w="1134" w:type="dxa"/>
            <w:shd w:val="clear" w:color="auto" w:fill="F2CEED" w:themeFill="accent5" w:themeFillTint="33"/>
            <w:vAlign w:val="center"/>
          </w:tcPr>
          <w:p w14:paraId="503712E4" w14:textId="77777777" w:rsidR="001D3250" w:rsidRPr="00340E30" w:rsidRDefault="001D3250" w:rsidP="001D3250">
            <w:pPr>
              <w:contextualSpacing/>
              <w:rPr>
                <w:rFonts w:cs="Arial"/>
                <w:szCs w:val="24"/>
              </w:rPr>
            </w:pPr>
            <w:r w:rsidRPr="00340E30">
              <w:rPr>
                <w:rFonts w:cs="Arial"/>
                <w:szCs w:val="24"/>
              </w:rPr>
              <w:t>(53.427)</w:t>
            </w:r>
          </w:p>
        </w:tc>
        <w:tc>
          <w:tcPr>
            <w:tcW w:w="1134" w:type="dxa"/>
            <w:vAlign w:val="center"/>
          </w:tcPr>
          <w:p w14:paraId="6BDC8393" w14:textId="77777777" w:rsidR="001D3250" w:rsidRPr="00340E30" w:rsidRDefault="001D3250" w:rsidP="001D3250">
            <w:pPr>
              <w:contextualSpacing/>
              <w:rPr>
                <w:rFonts w:cs="Arial"/>
                <w:szCs w:val="24"/>
              </w:rPr>
            </w:pPr>
            <w:r w:rsidRPr="00340E30">
              <w:rPr>
                <w:rFonts w:cs="Arial"/>
                <w:szCs w:val="24"/>
              </w:rPr>
              <w:t>(74.758)</w:t>
            </w:r>
          </w:p>
        </w:tc>
        <w:tc>
          <w:tcPr>
            <w:tcW w:w="1134" w:type="dxa"/>
            <w:vAlign w:val="center"/>
          </w:tcPr>
          <w:p w14:paraId="05B09AF0" w14:textId="77777777" w:rsidR="001D3250" w:rsidRPr="00340E30" w:rsidRDefault="001D3250" w:rsidP="001D3250">
            <w:pPr>
              <w:contextualSpacing/>
              <w:rPr>
                <w:rFonts w:cs="Arial"/>
                <w:bCs/>
                <w:szCs w:val="24"/>
              </w:rPr>
            </w:pPr>
            <w:r w:rsidRPr="00340E30">
              <w:rPr>
                <w:rFonts w:cs="Arial"/>
                <w:bCs/>
                <w:szCs w:val="24"/>
              </w:rPr>
              <w:t>(91.043)</w:t>
            </w:r>
          </w:p>
        </w:tc>
      </w:tr>
      <w:tr w:rsidR="001D3250" w:rsidRPr="00340E30" w14:paraId="0E54BC67" w14:textId="77777777" w:rsidTr="005342B6">
        <w:trPr>
          <w:trHeight w:val="397"/>
        </w:trPr>
        <w:tc>
          <w:tcPr>
            <w:tcW w:w="4570" w:type="dxa"/>
            <w:tcBorders>
              <w:top w:val="single" w:sz="4" w:space="0" w:color="auto"/>
              <w:bottom w:val="single" w:sz="4" w:space="0" w:color="auto"/>
            </w:tcBorders>
            <w:vAlign w:val="center"/>
          </w:tcPr>
          <w:p w14:paraId="73C9FEAB" w14:textId="77777777" w:rsidR="001D3250" w:rsidRPr="00340E30" w:rsidRDefault="001D3250" w:rsidP="001D3250">
            <w:pPr>
              <w:contextualSpacing/>
              <w:rPr>
                <w:rFonts w:cs="Arial"/>
                <w:szCs w:val="24"/>
              </w:rPr>
            </w:pPr>
            <w:r w:rsidRPr="00340E30">
              <w:rPr>
                <w:rFonts w:cs="Arial"/>
                <w:szCs w:val="24"/>
              </w:rPr>
              <w:t>External Gross Leasing</w:t>
            </w:r>
          </w:p>
        </w:tc>
        <w:tc>
          <w:tcPr>
            <w:tcW w:w="1134" w:type="dxa"/>
            <w:vAlign w:val="center"/>
          </w:tcPr>
          <w:p w14:paraId="273BE67A" w14:textId="77777777" w:rsidR="001D3250" w:rsidRPr="00340E30" w:rsidRDefault="001D3250" w:rsidP="001D3250">
            <w:pPr>
              <w:contextualSpacing/>
              <w:rPr>
                <w:rFonts w:cs="Arial"/>
                <w:szCs w:val="24"/>
              </w:rPr>
            </w:pPr>
            <w:r w:rsidRPr="00340E30">
              <w:rPr>
                <w:rFonts w:cs="Arial"/>
                <w:szCs w:val="24"/>
              </w:rPr>
              <w:t>(5.859)</w:t>
            </w:r>
          </w:p>
        </w:tc>
        <w:tc>
          <w:tcPr>
            <w:tcW w:w="1134" w:type="dxa"/>
            <w:shd w:val="clear" w:color="auto" w:fill="F2CEED" w:themeFill="accent5" w:themeFillTint="33"/>
            <w:vAlign w:val="center"/>
          </w:tcPr>
          <w:p w14:paraId="40058FA4" w14:textId="77777777" w:rsidR="001D3250" w:rsidRPr="00340E30" w:rsidRDefault="001D3250" w:rsidP="001D3250">
            <w:pPr>
              <w:contextualSpacing/>
              <w:rPr>
                <w:rFonts w:cs="Arial"/>
                <w:szCs w:val="24"/>
              </w:rPr>
            </w:pPr>
            <w:r w:rsidRPr="00340E30">
              <w:rPr>
                <w:rFonts w:cs="Arial"/>
                <w:szCs w:val="24"/>
              </w:rPr>
              <w:t xml:space="preserve">  (5.716)</w:t>
            </w:r>
          </w:p>
        </w:tc>
        <w:tc>
          <w:tcPr>
            <w:tcW w:w="1134" w:type="dxa"/>
            <w:vAlign w:val="center"/>
          </w:tcPr>
          <w:p w14:paraId="30645EB2" w14:textId="77777777" w:rsidR="001D3250" w:rsidRPr="00340E30" w:rsidRDefault="001D3250" w:rsidP="001D3250">
            <w:pPr>
              <w:contextualSpacing/>
              <w:rPr>
                <w:rFonts w:cs="Arial"/>
                <w:szCs w:val="24"/>
              </w:rPr>
            </w:pPr>
            <w:r w:rsidRPr="00340E30">
              <w:rPr>
                <w:rFonts w:cs="Arial"/>
                <w:szCs w:val="24"/>
              </w:rPr>
              <w:t xml:space="preserve"> (5.637)</w:t>
            </w:r>
          </w:p>
        </w:tc>
        <w:tc>
          <w:tcPr>
            <w:tcW w:w="1134" w:type="dxa"/>
            <w:vAlign w:val="center"/>
          </w:tcPr>
          <w:p w14:paraId="15919D85" w14:textId="77777777" w:rsidR="001D3250" w:rsidRPr="00340E30" w:rsidRDefault="001D3250" w:rsidP="001D3250">
            <w:pPr>
              <w:contextualSpacing/>
              <w:rPr>
                <w:rFonts w:cs="Arial"/>
                <w:szCs w:val="24"/>
              </w:rPr>
            </w:pPr>
            <w:r w:rsidRPr="00340E30">
              <w:rPr>
                <w:rFonts w:cs="Arial"/>
                <w:szCs w:val="24"/>
              </w:rPr>
              <w:t xml:space="preserve">  (5.583)</w:t>
            </w:r>
          </w:p>
        </w:tc>
      </w:tr>
      <w:tr w:rsidR="001D3250" w:rsidRPr="00340E30" w14:paraId="58600A5E" w14:textId="77777777" w:rsidTr="005342B6">
        <w:trPr>
          <w:trHeight w:val="397"/>
        </w:trPr>
        <w:tc>
          <w:tcPr>
            <w:tcW w:w="4570" w:type="dxa"/>
            <w:tcBorders>
              <w:top w:val="single" w:sz="4" w:space="0" w:color="auto"/>
              <w:bottom w:val="single" w:sz="4" w:space="0" w:color="auto"/>
            </w:tcBorders>
            <w:shd w:val="clear" w:color="auto" w:fill="D9D9D9" w:themeFill="background1" w:themeFillShade="D9"/>
            <w:vAlign w:val="center"/>
          </w:tcPr>
          <w:p w14:paraId="63CC8106" w14:textId="77777777" w:rsidR="001D3250" w:rsidRPr="00340E30" w:rsidRDefault="001D3250" w:rsidP="001D3250">
            <w:pPr>
              <w:contextualSpacing/>
              <w:rPr>
                <w:rFonts w:cs="Arial"/>
                <w:b/>
                <w:bCs/>
                <w:szCs w:val="24"/>
              </w:rPr>
            </w:pPr>
            <w:r w:rsidRPr="00340E30">
              <w:rPr>
                <w:rFonts w:cs="Arial"/>
                <w:b/>
                <w:bCs/>
                <w:szCs w:val="24"/>
              </w:rPr>
              <w:t>Under/(Over) Borrowing Requirement</w:t>
            </w:r>
          </w:p>
        </w:tc>
        <w:tc>
          <w:tcPr>
            <w:tcW w:w="1134" w:type="dxa"/>
            <w:shd w:val="clear" w:color="auto" w:fill="D9D9D9" w:themeFill="background1" w:themeFillShade="D9"/>
            <w:vAlign w:val="center"/>
          </w:tcPr>
          <w:p w14:paraId="377EB991" w14:textId="77777777" w:rsidR="001D3250" w:rsidRPr="00340E30" w:rsidRDefault="001D3250" w:rsidP="001D3250">
            <w:pPr>
              <w:contextualSpacing/>
              <w:rPr>
                <w:rFonts w:cs="Arial"/>
                <w:b/>
                <w:bCs/>
                <w:szCs w:val="24"/>
              </w:rPr>
            </w:pPr>
            <w:r w:rsidRPr="00340E30">
              <w:rPr>
                <w:rFonts w:cs="Arial"/>
                <w:b/>
                <w:bCs/>
                <w:szCs w:val="24"/>
              </w:rPr>
              <w:t>15.130</w:t>
            </w:r>
          </w:p>
        </w:tc>
        <w:tc>
          <w:tcPr>
            <w:tcW w:w="1134" w:type="dxa"/>
            <w:shd w:val="clear" w:color="auto" w:fill="D9D9D9" w:themeFill="background1" w:themeFillShade="D9"/>
            <w:vAlign w:val="center"/>
          </w:tcPr>
          <w:p w14:paraId="13A1C938" w14:textId="77777777" w:rsidR="001D3250" w:rsidRPr="00340E30" w:rsidRDefault="001D3250" w:rsidP="001D3250">
            <w:pPr>
              <w:contextualSpacing/>
              <w:rPr>
                <w:rFonts w:cs="Arial"/>
                <w:b/>
                <w:bCs/>
                <w:szCs w:val="24"/>
              </w:rPr>
            </w:pPr>
            <w:r w:rsidRPr="00340E30">
              <w:rPr>
                <w:rFonts w:cs="Arial"/>
                <w:b/>
                <w:bCs/>
                <w:szCs w:val="24"/>
              </w:rPr>
              <w:t>18.708</w:t>
            </w:r>
          </w:p>
        </w:tc>
        <w:tc>
          <w:tcPr>
            <w:tcW w:w="1134" w:type="dxa"/>
            <w:shd w:val="clear" w:color="auto" w:fill="D9D9D9" w:themeFill="background1" w:themeFillShade="D9"/>
            <w:vAlign w:val="center"/>
          </w:tcPr>
          <w:p w14:paraId="40B11F24" w14:textId="77777777" w:rsidR="001D3250" w:rsidRPr="00340E30" w:rsidRDefault="001D3250" w:rsidP="001D3250">
            <w:pPr>
              <w:contextualSpacing/>
              <w:rPr>
                <w:rFonts w:cs="Arial"/>
                <w:b/>
                <w:bCs/>
                <w:szCs w:val="24"/>
              </w:rPr>
            </w:pPr>
            <w:r w:rsidRPr="00340E30">
              <w:rPr>
                <w:rFonts w:cs="Arial"/>
                <w:b/>
                <w:bCs/>
                <w:szCs w:val="24"/>
              </w:rPr>
              <w:t>9.887</w:t>
            </w:r>
          </w:p>
        </w:tc>
        <w:tc>
          <w:tcPr>
            <w:tcW w:w="1134" w:type="dxa"/>
            <w:shd w:val="clear" w:color="auto" w:fill="D9D9D9" w:themeFill="background1" w:themeFillShade="D9"/>
            <w:vAlign w:val="center"/>
          </w:tcPr>
          <w:p w14:paraId="660491F3" w14:textId="77777777" w:rsidR="001D3250" w:rsidRPr="00340E30" w:rsidRDefault="001D3250" w:rsidP="001D3250">
            <w:pPr>
              <w:contextualSpacing/>
              <w:rPr>
                <w:rFonts w:cs="Arial"/>
                <w:b/>
                <w:bCs/>
                <w:szCs w:val="24"/>
              </w:rPr>
            </w:pPr>
            <w:r w:rsidRPr="00340E30">
              <w:rPr>
                <w:rFonts w:cs="Arial"/>
                <w:b/>
                <w:bCs/>
                <w:szCs w:val="24"/>
              </w:rPr>
              <w:t>15.916</w:t>
            </w:r>
          </w:p>
        </w:tc>
      </w:tr>
      <w:tr w:rsidR="001D3250" w:rsidRPr="00340E30" w14:paraId="7A9F485F" w14:textId="77777777" w:rsidTr="005342B6">
        <w:trPr>
          <w:trHeight w:val="397"/>
        </w:trPr>
        <w:tc>
          <w:tcPr>
            <w:tcW w:w="4570" w:type="dxa"/>
            <w:tcBorders>
              <w:top w:val="single" w:sz="4" w:space="0" w:color="auto"/>
              <w:bottom w:val="single" w:sz="4" w:space="0" w:color="auto"/>
            </w:tcBorders>
            <w:vAlign w:val="center"/>
          </w:tcPr>
          <w:p w14:paraId="777A91FC" w14:textId="77777777" w:rsidR="001D3250" w:rsidRPr="00340E30" w:rsidRDefault="001D3250" w:rsidP="001D3250">
            <w:pPr>
              <w:contextualSpacing/>
              <w:rPr>
                <w:rFonts w:cs="Arial"/>
                <w:szCs w:val="24"/>
              </w:rPr>
            </w:pPr>
            <w:r w:rsidRPr="00340E30">
              <w:rPr>
                <w:rFonts w:cs="Arial"/>
                <w:szCs w:val="24"/>
              </w:rPr>
              <w:t>Gross Borrowing within CFR</w:t>
            </w:r>
          </w:p>
        </w:tc>
        <w:tc>
          <w:tcPr>
            <w:tcW w:w="1134" w:type="dxa"/>
            <w:vAlign w:val="center"/>
          </w:tcPr>
          <w:p w14:paraId="343F6895" w14:textId="77777777" w:rsidR="001D3250" w:rsidRPr="00340E30" w:rsidRDefault="001D3250" w:rsidP="001D3250">
            <w:pPr>
              <w:contextualSpacing/>
              <w:rPr>
                <w:rFonts w:cs="Arial"/>
                <w:szCs w:val="24"/>
              </w:rPr>
            </w:pPr>
            <w:r w:rsidRPr="00340E30">
              <w:rPr>
                <w:rFonts w:cs="Arial"/>
                <w:szCs w:val="24"/>
              </w:rPr>
              <w:t>Yes</w:t>
            </w:r>
          </w:p>
        </w:tc>
        <w:tc>
          <w:tcPr>
            <w:tcW w:w="1134" w:type="dxa"/>
            <w:shd w:val="clear" w:color="auto" w:fill="F2CEED" w:themeFill="accent5" w:themeFillTint="33"/>
            <w:vAlign w:val="center"/>
          </w:tcPr>
          <w:p w14:paraId="7F9BF5AA" w14:textId="77777777" w:rsidR="001D3250" w:rsidRPr="00340E30" w:rsidRDefault="001D3250" w:rsidP="001D3250">
            <w:pPr>
              <w:contextualSpacing/>
              <w:rPr>
                <w:rFonts w:cs="Arial"/>
                <w:szCs w:val="24"/>
              </w:rPr>
            </w:pPr>
            <w:r w:rsidRPr="00340E30">
              <w:rPr>
                <w:rFonts w:cs="Arial"/>
                <w:szCs w:val="24"/>
              </w:rPr>
              <w:t>Yes</w:t>
            </w:r>
          </w:p>
        </w:tc>
        <w:tc>
          <w:tcPr>
            <w:tcW w:w="1134" w:type="dxa"/>
            <w:vAlign w:val="center"/>
          </w:tcPr>
          <w:p w14:paraId="1D2C7D49" w14:textId="77777777" w:rsidR="001D3250" w:rsidRPr="00340E30" w:rsidRDefault="001D3250" w:rsidP="001D3250">
            <w:pPr>
              <w:contextualSpacing/>
              <w:rPr>
                <w:rFonts w:cs="Arial"/>
                <w:szCs w:val="24"/>
              </w:rPr>
            </w:pPr>
            <w:r w:rsidRPr="00340E30">
              <w:rPr>
                <w:rFonts w:cs="Arial"/>
                <w:szCs w:val="24"/>
              </w:rPr>
              <w:t>Yes</w:t>
            </w:r>
          </w:p>
        </w:tc>
        <w:tc>
          <w:tcPr>
            <w:tcW w:w="1134" w:type="dxa"/>
            <w:vAlign w:val="center"/>
          </w:tcPr>
          <w:p w14:paraId="4ECF1D2E" w14:textId="77777777" w:rsidR="001D3250" w:rsidRPr="00340E30" w:rsidRDefault="001D3250" w:rsidP="001D3250">
            <w:pPr>
              <w:contextualSpacing/>
              <w:rPr>
                <w:rFonts w:cs="Arial"/>
                <w:bCs/>
                <w:szCs w:val="24"/>
              </w:rPr>
            </w:pPr>
            <w:r w:rsidRPr="00340E30">
              <w:rPr>
                <w:rFonts w:cs="Arial"/>
                <w:szCs w:val="24"/>
              </w:rPr>
              <w:t>Yes</w:t>
            </w:r>
          </w:p>
        </w:tc>
      </w:tr>
    </w:tbl>
    <w:p w14:paraId="4BA85C79" w14:textId="77777777" w:rsidR="001D3250" w:rsidRPr="00340E30" w:rsidRDefault="001D3250" w:rsidP="001D3250">
      <w:pPr>
        <w:rPr>
          <w:rFonts w:cs="Arial"/>
          <w:szCs w:val="24"/>
        </w:rPr>
      </w:pPr>
    </w:p>
    <w:p w14:paraId="14F06075" w14:textId="26C12A3C" w:rsidR="001D3250" w:rsidRPr="00340E30" w:rsidRDefault="001D3250" w:rsidP="001D3250">
      <w:pPr>
        <w:rPr>
          <w:rFonts w:cs="Arial"/>
          <w:szCs w:val="24"/>
        </w:rPr>
      </w:pPr>
      <w:r w:rsidRPr="00340E30">
        <w:rPr>
          <w:rFonts w:cs="Arial"/>
          <w:bCs/>
          <w:szCs w:val="24"/>
        </w:rPr>
        <w:t>The difference between the CFR and the Gross Borrowing figures represent</w:t>
      </w:r>
      <w:r>
        <w:rPr>
          <w:rFonts w:cs="Arial"/>
          <w:bCs/>
          <w:szCs w:val="24"/>
        </w:rPr>
        <w:t xml:space="preserve">ed </w:t>
      </w:r>
      <w:r w:rsidRPr="00340E30">
        <w:rPr>
          <w:rFonts w:cs="Arial"/>
          <w:bCs/>
          <w:szCs w:val="24"/>
        </w:rPr>
        <w:t>the Council’s underlying need to borrow (£18.71m 25/26 forecast) and indicate</w:t>
      </w:r>
      <w:r>
        <w:rPr>
          <w:rFonts w:cs="Arial"/>
          <w:bCs/>
          <w:szCs w:val="24"/>
        </w:rPr>
        <w:t xml:space="preserve">d </w:t>
      </w:r>
      <w:r w:rsidRPr="00340E30">
        <w:rPr>
          <w:rFonts w:cs="Arial"/>
          <w:bCs/>
          <w:szCs w:val="24"/>
        </w:rPr>
        <w:t>that historic capital expenditure ha</w:t>
      </w:r>
      <w:r>
        <w:rPr>
          <w:rFonts w:cs="Arial"/>
          <w:bCs/>
          <w:szCs w:val="24"/>
        </w:rPr>
        <w:t>d</w:t>
      </w:r>
      <w:r w:rsidRPr="00340E30">
        <w:rPr>
          <w:rFonts w:cs="Arial"/>
          <w:bCs/>
          <w:szCs w:val="24"/>
        </w:rPr>
        <w:t xml:space="preserve"> been temporarily financed from internal revenue resources.  Th</w:t>
      </w:r>
      <w:r>
        <w:rPr>
          <w:rFonts w:cs="Arial"/>
          <w:bCs/>
          <w:szCs w:val="24"/>
        </w:rPr>
        <w:t xml:space="preserve">at had </w:t>
      </w:r>
      <w:r w:rsidRPr="00340E30">
        <w:rPr>
          <w:rFonts w:cs="Arial"/>
          <w:bCs/>
          <w:szCs w:val="24"/>
        </w:rPr>
        <w:t xml:space="preserve">been made possible due to an increase in the Council’s cash reserves in previous years and the access to grant funding streams.  The position </w:t>
      </w:r>
      <w:r>
        <w:rPr>
          <w:rFonts w:cs="Arial"/>
          <w:bCs/>
          <w:szCs w:val="24"/>
        </w:rPr>
        <w:t xml:space="preserve">had </w:t>
      </w:r>
      <w:r w:rsidRPr="00340E30">
        <w:rPr>
          <w:rFonts w:cs="Arial"/>
          <w:bCs/>
          <w:szCs w:val="24"/>
        </w:rPr>
        <w:t xml:space="preserve">been similar for several years now with the Council last taking out long-term borrowings in November 2018. Nevertheless, it </w:t>
      </w:r>
      <w:r>
        <w:rPr>
          <w:rFonts w:cs="Arial"/>
          <w:bCs/>
          <w:szCs w:val="24"/>
        </w:rPr>
        <w:t>was</w:t>
      </w:r>
      <w:r w:rsidRPr="00340E30">
        <w:rPr>
          <w:rFonts w:cs="Arial"/>
          <w:bCs/>
          <w:szCs w:val="24"/>
        </w:rPr>
        <w:t xml:space="preserve"> predictable that drawdowns of loan finance </w:t>
      </w:r>
      <w:r>
        <w:rPr>
          <w:rFonts w:cs="Arial"/>
          <w:bCs/>
          <w:szCs w:val="24"/>
        </w:rPr>
        <w:t>would</w:t>
      </w:r>
      <w:r w:rsidRPr="00340E30">
        <w:rPr>
          <w:rFonts w:cs="Arial"/>
          <w:bCs/>
          <w:szCs w:val="24"/>
        </w:rPr>
        <w:t xml:space="preserve"> begin early next financial year.</w:t>
      </w:r>
    </w:p>
    <w:p w14:paraId="64B11B74" w14:textId="77777777" w:rsidR="001D3250" w:rsidRPr="00340E30" w:rsidRDefault="001D3250" w:rsidP="001D3250">
      <w:pPr>
        <w:rPr>
          <w:rFonts w:cs="Arial"/>
          <w:szCs w:val="24"/>
        </w:rPr>
      </w:pPr>
    </w:p>
    <w:p w14:paraId="79771EC2" w14:textId="77777777" w:rsidR="001D3250" w:rsidRPr="00340E30" w:rsidRDefault="001D3250" w:rsidP="001D3250">
      <w:pPr>
        <w:rPr>
          <w:rFonts w:ascii="Times New Roman" w:hAnsi="Times New Roman" w:cs="Arial"/>
          <w:bCs/>
          <w:sz w:val="16"/>
          <w:szCs w:val="16"/>
        </w:rPr>
      </w:pPr>
    </w:p>
    <w:p w14:paraId="69E3EEB6" w14:textId="77777777" w:rsidR="001D3250" w:rsidRPr="00CB5B5D" w:rsidRDefault="001D3250" w:rsidP="001D3250">
      <w:pPr>
        <w:tabs>
          <w:tab w:val="center" w:pos="4513"/>
          <w:tab w:val="right" w:pos="9026"/>
        </w:tabs>
        <w:rPr>
          <w:rFonts w:cs="Arial"/>
          <w:b/>
          <w:bCs/>
        </w:rPr>
      </w:pPr>
      <w:r w:rsidRPr="00340E30">
        <w:rPr>
          <w:rFonts w:cs="Arial"/>
          <w:b/>
          <w:bCs/>
        </w:rPr>
        <w:t>Capital - Debt and the Authorised Limit and Operational Boundary</w:t>
      </w:r>
    </w:p>
    <w:p w14:paraId="6849AE3B" w14:textId="5CA97ADC" w:rsidR="001D3250" w:rsidRPr="00340E30" w:rsidRDefault="001D3250" w:rsidP="001D3250">
      <w:pPr>
        <w:tabs>
          <w:tab w:val="center" w:pos="4513"/>
          <w:tab w:val="right" w:pos="9026"/>
        </w:tabs>
        <w:rPr>
          <w:rFonts w:cs="Arial"/>
          <w:bCs/>
        </w:rPr>
      </w:pPr>
      <w:r w:rsidRPr="00340E30">
        <w:rPr>
          <w:rFonts w:cs="Arial"/>
          <w:bCs/>
        </w:rPr>
        <w:t xml:space="preserve">The Council </w:t>
      </w:r>
      <w:r>
        <w:rPr>
          <w:rFonts w:cs="Arial"/>
          <w:bCs/>
        </w:rPr>
        <w:t>was</w:t>
      </w:r>
      <w:r w:rsidRPr="00340E30">
        <w:rPr>
          <w:rFonts w:cs="Arial"/>
          <w:bCs/>
        </w:rPr>
        <w:t xml:space="preserve"> legally obliged to set an affordable borrowing limit each year, known as the ‘Authorised Limit’.  In line with statutory guidance, a lower ‘operational boundary’ </w:t>
      </w:r>
      <w:r>
        <w:rPr>
          <w:rFonts w:cs="Arial"/>
          <w:bCs/>
        </w:rPr>
        <w:t xml:space="preserve">was </w:t>
      </w:r>
      <w:r w:rsidRPr="00340E30">
        <w:rPr>
          <w:rFonts w:cs="Arial"/>
          <w:bCs/>
        </w:rPr>
        <w:t>also set as a warning level should debt approach the limit.</w:t>
      </w:r>
    </w:p>
    <w:p w14:paraId="6DADFFC6" w14:textId="77777777" w:rsidR="001D3250" w:rsidRPr="00340E30" w:rsidRDefault="001D3250" w:rsidP="001D3250">
      <w:pPr>
        <w:tabs>
          <w:tab w:val="center" w:pos="4513"/>
          <w:tab w:val="right" w:pos="9026"/>
        </w:tabs>
        <w:rPr>
          <w:rFonts w:cs="Arial"/>
          <w:bCs/>
        </w:rPr>
      </w:pPr>
    </w:p>
    <w:p w14:paraId="473A2FD0" w14:textId="3EA67E4A" w:rsidR="001D3250" w:rsidRPr="00340E30" w:rsidRDefault="001D3250" w:rsidP="001D3250">
      <w:pPr>
        <w:tabs>
          <w:tab w:val="center" w:pos="4513"/>
          <w:tab w:val="right" w:pos="9026"/>
        </w:tabs>
        <w:rPr>
          <w:rFonts w:cs="Arial"/>
          <w:bCs/>
        </w:rPr>
      </w:pPr>
      <w:r w:rsidRPr="00340E30">
        <w:rPr>
          <w:rFonts w:cs="Arial"/>
          <w:bCs/>
        </w:rPr>
        <w:t xml:space="preserve">The revised forecast for external gross borrowing </w:t>
      </w:r>
      <w:proofErr w:type="gramStart"/>
      <w:r w:rsidRPr="00340E30">
        <w:rPr>
          <w:rFonts w:cs="Arial"/>
          <w:bCs/>
        </w:rPr>
        <w:t>at</w:t>
      </w:r>
      <w:proofErr w:type="gramEnd"/>
      <w:r w:rsidRPr="00340E30">
        <w:rPr>
          <w:rFonts w:cs="Arial"/>
          <w:bCs/>
        </w:rPr>
        <w:t xml:space="preserve"> 31 March 2026 </w:t>
      </w:r>
      <w:r>
        <w:rPr>
          <w:rFonts w:cs="Arial"/>
          <w:bCs/>
        </w:rPr>
        <w:t>was</w:t>
      </w:r>
      <w:r w:rsidRPr="00340E30">
        <w:rPr>
          <w:rFonts w:cs="Arial"/>
          <w:bCs/>
        </w:rPr>
        <w:t xml:space="preserve"> £59m as seen in table 1.2 above.  The Council </w:t>
      </w:r>
      <w:r>
        <w:rPr>
          <w:rFonts w:cs="Arial"/>
          <w:bCs/>
        </w:rPr>
        <w:t>was</w:t>
      </w:r>
      <w:r w:rsidRPr="00340E30">
        <w:rPr>
          <w:rFonts w:cs="Arial"/>
          <w:bCs/>
        </w:rPr>
        <w:t xml:space="preserve"> therefore forecast to remain well within both the Authorised Limit and the Operational Boundary set for the year as follows:</w:t>
      </w:r>
    </w:p>
    <w:p w14:paraId="1E491329" w14:textId="77777777" w:rsidR="001D3250" w:rsidRPr="00340E30" w:rsidRDefault="001D3250" w:rsidP="001D3250">
      <w:pPr>
        <w:tabs>
          <w:tab w:val="center" w:pos="4513"/>
          <w:tab w:val="right" w:pos="9026"/>
        </w:tabs>
        <w:rPr>
          <w:rFonts w:cs="Arial"/>
          <w:bCs/>
          <w:sz w:val="12"/>
          <w:szCs w:val="8"/>
        </w:rPr>
      </w:pPr>
    </w:p>
    <w:tbl>
      <w:tblPr>
        <w:tblStyle w:val="TableGrid"/>
        <w:tblpPr w:leftFromText="180" w:rightFromText="180" w:vertAnchor="text" w:horzAnchor="margin" w:tblpX="103" w:tblpY="171"/>
        <w:tblW w:w="6776" w:type="dxa"/>
        <w:tblLook w:val="04A0" w:firstRow="1" w:lastRow="0" w:firstColumn="1" w:lastColumn="0" w:noHBand="0" w:noVBand="1"/>
      </w:tblPr>
      <w:tblGrid>
        <w:gridCol w:w="5217"/>
        <w:gridCol w:w="1559"/>
      </w:tblGrid>
      <w:tr w:rsidR="001D3250" w:rsidRPr="00340E30" w14:paraId="12B23F7F" w14:textId="77777777" w:rsidTr="005342B6">
        <w:trPr>
          <w:trHeight w:val="416"/>
        </w:trPr>
        <w:tc>
          <w:tcPr>
            <w:tcW w:w="5217" w:type="dxa"/>
            <w:tcBorders>
              <w:bottom w:val="single" w:sz="4" w:space="0" w:color="auto"/>
            </w:tcBorders>
            <w:shd w:val="clear" w:color="auto" w:fill="0070C0"/>
          </w:tcPr>
          <w:p w14:paraId="7470C224" w14:textId="77777777" w:rsidR="001D3250" w:rsidRPr="00340E30" w:rsidRDefault="001D3250" w:rsidP="001D3250">
            <w:pPr>
              <w:spacing w:before="60" w:after="60"/>
              <w:rPr>
                <w:rFonts w:cs="Arial"/>
                <w:b/>
                <w:bCs/>
                <w:color w:val="FFFFFF" w:themeColor="background1"/>
                <w:szCs w:val="24"/>
              </w:rPr>
            </w:pPr>
            <w:r w:rsidRPr="00340E30">
              <w:rPr>
                <w:rFonts w:cs="Arial"/>
                <w:b/>
                <w:bCs/>
                <w:color w:val="FFFFFF" w:themeColor="background1"/>
              </w:rPr>
              <w:lastRenderedPageBreak/>
              <w:t>Table 1.3</w:t>
            </w:r>
          </w:p>
        </w:tc>
        <w:tc>
          <w:tcPr>
            <w:tcW w:w="1559" w:type="dxa"/>
            <w:tcBorders>
              <w:bottom w:val="single" w:sz="4" w:space="0" w:color="auto"/>
            </w:tcBorders>
            <w:shd w:val="clear" w:color="auto" w:fill="0070C0"/>
          </w:tcPr>
          <w:p w14:paraId="24D4CC67" w14:textId="77777777" w:rsidR="001D3250" w:rsidRPr="00340E30" w:rsidRDefault="001D3250" w:rsidP="001D3250">
            <w:pPr>
              <w:spacing w:before="60" w:after="60"/>
              <w:rPr>
                <w:rFonts w:cs="Arial"/>
                <w:b/>
                <w:color w:val="FFFFFF" w:themeColor="background1"/>
                <w:szCs w:val="24"/>
              </w:rPr>
            </w:pPr>
            <w:r w:rsidRPr="00340E30">
              <w:rPr>
                <w:rFonts w:cs="Arial"/>
                <w:b/>
                <w:color w:val="FFFFFF" w:themeColor="background1"/>
              </w:rPr>
              <w:t>2025/26</w:t>
            </w:r>
            <w:r w:rsidRPr="00340E30">
              <w:rPr>
                <w:rFonts w:cs="Arial"/>
                <w:b/>
                <w:color w:val="FFFFFF" w:themeColor="background1"/>
                <w:szCs w:val="24"/>
              </w:rPr>
              <w:t xml:space="preserve"> </w:t>
            </w:r>
          </w:p>
        </w:tc>
      </w:tr>
      <w:tr w:rsidR="001D3250" w:rsidRPr="00340E30" w14:paraId="21ECDFB2" w14:textId="77777777" w:rsidTr="005342B6">
        <w:tc>
          <w:tcPr>
            <w:tcW w:w="5217" w:type="dxa"/>
            <w:tcBorders>
              <w:top w:val="single" w:sz="4" w:space="0" w:color="auto"/>
              <w:left w:val="single" w:sz="4" w:space="0" w:color="auto"/>
              <w:bottom w:val="single" w:sz="4" w:space="0" w:color="auto"/>
              <w:right w:val="single" w:sz="4" w:space="0" w:color="auto"/>
            </w:tcBorders>
            <w:vAlign w:val="center"/>
          </w:tcPr>
          <w:p w14:paraId="5B3AA7D4" w14:textId="77777777" w:rsidR="001D3250" w:rsidRPr="00340E30" w:rsidRDefault="001D3250" w:rsidP="001D3250">
            <w:pPr>
              <w:spacing w:before="60" w:after="60"/>
              <w:rPr>
                <w:rFonts w:cs="Arial"/>
                <w:szCs w:val="24"/>
              </w:rPr>
            </w:pPr>
            <w:r w:rsidRPr="00340E30">
              <w:rPr>
                <w:rFonts w:cs="Arial"/>
                <w:szCs w:val="24"/>
              </w:rPr>
              <w:t>Authorised limit – borrowing</w:t>
            </w:r>
          </w:p>
        </w:tc>
        <w:tc>
          <w:tcPr>
            <w:tcW w:w="1559" w:type="dxa"/>
            <w:tcBorders>
              <w:bottom w:val="single" w:sz="4" w:space="0" w:color="auto"/>
            </w:tcBorders>
            <w:shd w:val="clear" w:color="auto" w:fill="F2CEED" w:themeFill="accent5" w:themeFillTint="33"/>
            <w:vAlign w:val="center"/>
          </w:tcPr>
          <w:p w14:paraId="74454ECC" w14:textId="77777777" w:rsidR="001D3250" w:rsidRPr="00340E30" w:rsidRDefault="001D3250" w:rsidP="001D3250">
            <w:pPr>
              <w:spacing w:before="60" w:after="60"/>
              <w:rPr>
                <w:rFonts w:cs="Arial"/>
                <w:szCs w:val="24"/>
              </w:rPr>
            </w:pPr>
            <w:r w:rsidRPr="00340E30">
              <w:rPr>
                <w:rFonts w:cs="Arial"/>
                <w:szCs w:val="24"/>
              </w:rPr>
              <w:t>£ 82.850m</w:t>
            </w:r>
          </w:p>
        </w:tc>
      </w:tr>
      <w:tr w:rsidR="001D3250" w:rsidRPr="00340E30" w14:paraId="53F43DD8" w14:textId="77777777" w:rsidTr="005342B6">
        <w:tc>
          <w:tcPr>
            <w:tcW w:w="5217" w:type="dxa"/>
            <w:tcBorders>
              <w:top w:val="single" w:sz="4" w:space="0" w:color="auto"/>
              <w:bottom w:val="single" w:sz="4" w:space="0" w:color="auto"/>
            </w:tcBorders>
          </w:tcPr>
          <w:p w14:paraId="174E859C" w14:textId="77777777" w:rsidR="001D3250" w:rsidRPr="00340E30" w:rsidRDefault="001D3250" w:rsidP="001D3250">
            <w:pPr>
              <w:spacing w:before="60" w:after="60"/>
              <w:rPr>
                <w:rFonts w:cs="Arial"/>
                <w:szCs w:val="24"/>
              </w:rPr>
            </w:pPr>
            <w:r w:rsidRPr="00340E30">
              <w:rPr>
                <w:rFonts w:cs="Arial"/>
                <w:szCs w:val="24"/>
              </w:rPr>
              <w:t>Operational boundary – borrowing</w:t>
            </w:r>
          </w:p>
        </w:tc>
        <w:tc>
          <w:tcPr>
            <w:tcW w:w="1559" w:type="dxa"/>
            <w:tcBorders>
              <w:bottom w:val="single" w:sz="4" w:space="0" w:color="auto"/>
            </w:tcBorders>
            <w:shd w:val="clear" w:color="auto" w:fill="F2CEED" w:themeFill="accent5" w:themeFillTint="33"/>
            <w:vAlign w:val="center"/>
          </w:tcPr>
          <w:p w14:paraId="3A687243" w14:textId="77777777" w:rsidR="001D3250" w:rsidRPr="00340E30" w:rsidRDefault="001D3250" w:rsidP="001D3250">
            <w:pPr>
              <w:spacing w:before="60" w:after="60"/>
              <w:rPr>
                <w:rFonts w:cs="Arial"/>
                <w:szCs w:val="24"/>
              </w:rPr>
            </w:pPr>
            <w:r w:rsidRPr="00340E30">
              <w:rPr>
                <w:rFonts w:cs="Arial"/>
                <w:szCs w:val="24"/>
              </w:rPr>
              <w:t>£ 77.850m</w:t>
            </w:r>
          </w:p>
        </w:tc>
      </w:tr>
    </w:tbl>
    <w:p w14:paraId="5BF56893" w14:textId="77777777" w:rsidR="001D3250" w:rsidRPr="00340E30" w:rsidRDefault="001D3250" w:rsidP="001D3250">
      <w:pPr>
        <w:tabs>
          <w:tab w:val="center" w:pos="4513"/>
          <w:tab w:val="right" w:pos="9026"/>
        </w:tabs>
        <w:rPr>
          <w:rFonts w:cs="Arial"/>
          <w:bCs/>
        </w:rPr>
      </w:pPr>
    </w:p>
    <w:p w14:paraId="70B9B8D3" w14:textId="77777777" w:rsidR="001D3250" w:rsidRPr="00340E30" w:rsidRDefault="001D3250" w:rsidP="001D3250">
      <w:pPr>
        <w:tabs>
          <w:tab w:val="center" w:pos="4513"/>
          <w:tab w:val="right" w:pos="9026"/>
        </w:tabs>
        <w:rPr>
          <w:rFonts w:cs="Arial"/>
          <w:bCs/>
        </w:rPr>
      </w:pPr>
    </w:p>
    <w:p w14:paraId="1FF4664C" w14:textId="77777777" w:rsidR="001D3250" w:rsidRPr="00340E30" w:rsidRDefault="001D3250" w:rsidP="001D3250">
      <w:pPr>
        <w:tabs>
          <w:tab w:val="center" w:pos="4513"/>
          <w:tab w:val="right" w:pos="9026"/>
        </w:tabs>
        <w:rPr>
          <w:rFonts w:cs="Arial"/>
          <w:bCs/>
        </w:rPr>
      </w:pPr>
    </w:p>
    <w:p w14:paraId="315FE817" w14:textId="77777777" w:rsidR="001D3250" w:rsidRPr="00340E30" w:rsidRDefault="001D3250" w:rsidP="001D3250">
      <w:pPr>
        <w:tabs>
          <w:tab w:val="center" w:pos="4513"/>
          <w:tab w:val="right" w:pos="9026"/>
        </w:tabs>
        <w:rPr>
          <w:rFonts w:cs="Arial"/>
          <w:b/>
          <w:bCs/>
        </w:rPr>
      </w:pPr>
    </w:p>
    <w:p w14:paraId="4DF78893" w14:textId="77777777" w:rsidR="006D344A" w:rsidRDefault="006D344A" w:rsidP="001D3250">
      <w:pPr>
        <w:tabs>
          <w:tab w:val="center" w:pos="4513"/>
          <w:tab w:val="right" w:pos="9026"/>
        </w:tabs>
        <w:rPr>
          <w:rFonts w:cs="Arial"/>
          <w:b/>
          <w:bCs/>
        </w:rPr>
      </w:pPr>
    </w:p>
    <w:p w14:paraId="12DB41D8" w14:textId="77777777" w:rsidR="006D344A" w:rsidRDefault="006D344A" w:rsidP="001D3250">
      <w:pPr>
        <w:tabs>
          <w:tab w:val="center" w:pos="4513"/>
          <w:tab w:val="right" w:pos="9026"/>
        </w:tabs>
        <w:rPr>
          <w:rFonts w:cs="Arial"/>
          <w:b/>
          <w:bCs/>
        </w:rPr>
      </w:pPr>
    </w:p>
    <w:p w14:paraId="475791F2" w14:textId="5A3E88CC" w:rsidR="001D3250" w:rsidRPr="00CB5B5D" w:rsidRDefault="001D3250" w:rsidP="001D3250">
      <w:pPr>
        <w:tabs>
          <w:tab w:val="center" w:pos="4513"/>
          <w:tab w:val="right" w:pos="9026"/>
        </w:tabs>
        <w:rPr>
          <w:rFonts w:cs="Arial"/>
          <w:b/>
          <w:bCs/>
        </w:rPr>
      </w:pPr>
      <w:r w:rsidRPr="00340E30">
        <w:rPr>
          <w:rFonts w:cs="Arial"/>
          <w:b/>
          <w:bCs/>
        </w:rPr>
        <w:t xml:space="preserve">Capital </w:t>
      </w:r>
      <w:r w:rsidR="006D344A">
        <w:rPr>
          <w:rFonts w:cs="Arial"/>
          <w:b/>
          <w:bCs/>
        </w:rPr>
        <w:t>–</w:t>
      </w:r>
      <w:r w:rsidRPr="00340E30">
        <w:rPr>
          <w:rFonts w:cs="Arial"/>
          <w:b/>
          <w:bCs/>
        </w:rPr>
        <w:t xml:space="preserve"> Revenue Budget Implications</w:t>
      </w:r>
    </w:p>
    <w:p w14:paraId="0586D7B8" w14:textId="3DE6D638" w:rsidR="001D3250" w:rsidRPr="00340E30" w:rsidRDefault="001D3250" w:rsidP="001D3250">
      <w:pPr>
        <w:spacing w:after="200"/>
        <w:rPr>
          <w:rFonts w:cs="Arial"/>
          <w:szCs w:val="24"/>
        </w:rPr>
      </w:pPr>
      <w:r w:rsidRPr="00340E30">
        <w:rPr>
          <w:rFonts w:cs="Arial"/>
          <w:szCs w:val="24"/>
        </w:rPr>
        <w:t xml:space="preserve">Capital expenditure </w:t>
      </w:r>
      <w:r>
        <w:rPr>
          <w:rFonts w:cs="Arial"/>
          <w:szCs w:val="24"/>
        </w:rPr>
        <w:t>was</w:t>
      </w:r>
      <w:r w:rsidRPr="00340E30">
        <w:rPr>
          <w:rFonts w:cs="Arial"/>
          <w:szCs w:val="24"/>
        </w:rPr>
        <w:t xml:space="preserve"> not charged directly to the revenue budget. Instead, interest payable on borrowings and MRP (minimum revenue provision), together known as capital financing costs, are charged to revenue. Th</w:t>
      </w:r>
      <w:r>
        <w:rPr>
          <w:rFonts w:cs="Arial"/>
          <w:szCs w:val="24"/>
        </w:rPr>
        <w:t>os</w:t>
      </w:r>
      <w:r w:rsidRPr="00340E30">
        <w:rPr>
          <w:rFonts w:cs="Arial"/>
          <w:szCs w:val="24"/>
        </w:rPr>
        <w:t xml:space="preserve">e financing costs </w:t>
      </w:r>
      <w:r>
        <w:rPr>
          <w:rFonts w:cs="Arial"/>
          <w:szCs w:val="24"/>
        </w:rPr>
        <w:t>were</w:t>
      </w:r>
      <w:r w:rsidRPr="00340E30">
        <w:rPr>
          <w:rFonts w:cs="Arial"/>
          <w:szCs w:val="24"/>
        </w:rPr>
        <w:t xml:space="preserve"> compared to the net revenue stream i.e. the amount funded from District Rates and general government grants, to show the proportion of the net revenue stream which </w:t>
      </w:r>
      <w:r w:rsidR="00C57D3A">
        <w:rPr>
          <w:rFonts w:cs="Arial"/>
          <w:szCs w:val="24"/>
        </w:rPr>
        <w:t>was</w:t>
      </w:r>
      <w:r w:rsidRPr="00340E30">
        <w:rPr>
          <w:rFonts w:cs="Arial"/>
          <w:szCs w:val="24"/>
        </w:rPr>
        <w:t xml:space="preserve"> made up of capital financing costs.</w:t>
      </w:r>
    </w:p>
    <w:tbl>
      <w:tblPr>
        <w:tblStyle w:val="TableGrid"/>
        <w:tblW w:w="9214" w:type="dxa"/>
        <w:tblInd w:w="-5" w:type="dxa"/>
        <w:tblLook w:val="04A0" w:firstRow="1" w:lastRow="0" w:firstColumn="1" w:lastColumn="0" w:noHBand="0" w:noVBand="1"/>
      </w:tblPr>
      <w:tblGrid>
        <w:gridCol w:w="4395"/>
        <w:gridCol w:w="1098"/>
        <w:gridCol w:w="1217"/>
        <w:gridCol w:w="1217"/>
        <w:gridCol w:w="1287"/>
      </w:tblGrid>
      <w:tr w:rsidR="001D3250" w:rsidRPr="00340E30" w14:paraId="0A047FD1" w14:textId="77777777" w:rsidTr="005342B6">
        <w:tc>
          <w:tcPr>
            <w:tcW w:w="4395" w:type="dxa"/>
            <w:shd w:val="clear" w:color="auto" w:fill="0070C0"/>
            <w:vAlign w:val="center"/>
          </w:tcPr>
          <w:p w14:paraId="210E696A" w14:textId="77777777" w:rsidR="001D3250" w:rsidRPr="00340E30" w:rsidRDefault="001D3250" w:rsidP="001D3250">
            <w:pPr>
              <w:spacing w:before="60" w:after="60"/>
              <w:rPr>
                <w:rFonts w:cs="Arial"/>
                <w:b/>
                <w:bCs/>
                <w:color w:val="FFFFFF" w:themeColor="background1"/>
                <w:szCs w:val="24"/>
              </w:rPr>
            </w:pPr>
            <w:r w:rsidRPr="00340E30">
              <w:rPr>
                <w:rFonts w:cs="Arial"/>
                <w:b/>
                <w:bCs/>
                <w:color w:val="FFFFFF" w:themeColor="background1"/>
              </w:rPr>
              <w:t>Table 1.4</w:t>
            </w:r>
          </w:p>
        </w:tc>
        <w:tc>
          <w:tcPr>
            <w:tcW w:w="1098" w:type="dxa"/>
            <w:shd w:val="clear" w:color="auto" w:fill="0070C0"/>
            <w:vAlign w:val="center"/>
          </w:tcPr>
          <w:p w14:paraId="40EECA7E" w14:textId="77777777" w:rsidR="001D3250" w:rsidRPr="00340E30" w:rsidRDefault="001D3250" w:rsidP="001D3250">
            <w:pPr>
              <w:tabs>
                <w:tab w:val="left" w:pos="374"/>
                <w:tab w:val="left" w:pos="720"/>
                <w:tab w:val="left" w:pos="748"/>
                <w:tab w:val="left" w:pos="1260"/>
                <w:tab w:val="left" w:pos="1980"/>
                <w:tab w:val="left" w:pos="2520"/>
              </w:tabs>
              <w:rPr>
                <w:rFonts w:cs="Arial"/>
                <w:b/>
                <w:color w:val="FFFFFF" w:themeColor="background1"/>
              </w:rPr>
            </w:pPr>
            <w:r w:rsidRPr="00340E30">
              <w:rPr>
                <w:rFonts w:cs="Arial"/>
                <w:b/>
                <w:bCs/>
                <w:color w:val="FFFFFF" w:themeColor="background1"/>
              </w:rPr>
              <w:t xml:space="preserve">2024/25 </w:t>
            </w:r>
            <w:r w:rsidRPr="00340E30">
              <w:rPr>
                <w:rFonts w:cs="Arial"/>
                <w:b/>
                <w:color w:val="FFFFFF" w:themeColor="background1"/>
              </w:rPr>
              <w:t>Actual</w:t>
            </w:r>
          </w:p>
        </w:tc>
        <w:tc>
          <w:tcPr>
            <w:tcW w:w="1217" w:type="dxa"/>
            <w:shd w:val="clear" w:color="auto" w:fill="0070C0"/>
            <w:vAlign w:val="center"/>
          </w:tcPr>
          <w:p w14:paraId="23DB2C73" w14:textId="77777777" w:rsidR="001D3250" w:rsidRPr="00340E30" w:rsidRDefault="001D3250" w:rsidP="001D3250">
            <w:pPr>
              <w:tabs>
                <w:tab w:val="left" w:pos="374"/>
                <w:tab w:val="left" w:pos="720"/>
                <w:tab w:val="left" w:pos="748"/>
                <w:tab w:val="left" w:pos="1260"/>
                <w:tab w:val="left" w:pos="1980"/>
                <w:tab w:val="left" w:pos="2520"/>
              </w:tabs>
              <w:rPr>
                <w:rFonts w:cs="Arial"/>
                <w:b/>
                <w:color w:val="FFFFFF" w:themeColor="background1"/>
              </w:rPr>
            </w:pPr>
            <w:r w:rsidRPr="00340E30">
              <w:rPr>
                <w:rFonts w:cs="Arial"/>
                <w:b/>
                <w:bCs/>
                <w:color w:val="FFFFFF" w:themeColor="background1"/>
              </w:rPr>
              <w:t xml:space="preserve">2025/26 </w:t>
            </w:r>
            <w:r w:rsidRPr="00340E30">
              <w:rPr>
                <w:rFonts w:cs="Arial"/>
                <w:b/>
                <w:color w:val="FFFFFF" w:themeColor="background1"/>
              </w:rPr>
              <w:t>Forecast</w:t>
            </w:r>
          </w:p>
        </w:tc>
        <w:tc>
          <w:tcPr>
            <w:tcW w:w="1217" w:type="dxa"/>
            <w:shd w:val="clear" w:color="auto" w:fill="0070C0"/>
            <w:vAlign w:val="center"/>
          </w:tcPr>
          <w:p w14:paraId="2A45081A" w14:textId="77777777" w:rsidR="001D3250" w:rsidRPr="00340E30" w:rsidRDefault="001D3250" w:rsidP="001D3250">
            <w:pPr>
              <w:tabs>
                <w:tab w:val="left" w:pos="374"/>
                <w:tab w:val="left" w:pos="720"/>
                <w:tab w:val="left" w:pos="748"/>
                <w:tab w:val="left" w:pos="1260"/>
                <w:tab w:val="left" w:pos="1980"/>
                <w:tab w:val="left" w:pos="2520"/>
              </w:tabs>
              <w:rPr>
                <w:rFonts w:cs="Arial"/>
                <w:b/>
                <w:color w:val="FFFFFF" w:themeColor="background1"/>
              </w:rPr>
            </w:pPr>
            <w:r w:rsidRPr="00340E30">
              <w:rPr>
                <w:rFonts w:cs="Arial"/>
                <w:b/>
                <w:bCs/>
                <w:color w:val="FFFFFF" w:themeColor="background1"/>
              </w:rPr>
              <w:t xml:space="preserve">2026/27 </w:t>
            </w:r>
            <w:r w:rsidRPr="00340E30">
              <w:rPr>
                <w:rFonts w:cs="Arial"/>
                <w:b/>
                <w:color w:val="FFFFFF" w:themeColor="background1"/>
              </w:rPr>
              <w:t>Forecast</w:t>
            </w:r>
          </w:p>
        </w:tc>
        <w:tc>
          <w:tcPr>
            <w:tcW w:w="1287" w:type="dxa"/>
            <w:shd w:val="clear" w:color="auto" w:fill="0070C0"/>
            <w:vAlign w:val="center"/>
          </w:tcPr>
          <w:p w14:paraId="35549C7F" w14:textId="77777777" w:rsidR="001D3250" w:rsidRPr="00340E30" w:rsidRDefault="001D3250" w:rsidP="001D3250">
            <w:pPr>
              <w:tabs>
                <w:tab w:val="left" w:pos="374"/>
                <w:tab w:val="left" w:pos="720"/>
                <w:tab w:val="left" w:pos="748"/>
                <w:tab w:val="left" w:pos="1260"/>
                <w:tab w:val="left" w:pos="1980"/>
                <w:tab w:val="left" w:pos="2520"/>
              </w:tabs>
              <w:rPr>
                <w:rFonts w:cs="Arial"/>
                <w:b/>
                <w:color w:val="FFFFFF" w:themeColor="background1"/>
              </w:rPr>
            </w:pPr>
            <w:r w:rsidRPr="00340E30">
              <w:rPr>
                <w:rFonts w:cs="Arial"/>
                <w:b/>
                <w:bCs/>
                <w:color w:val="FFFFFF" w:themeColor="background1"/>
              </w:rPr>
              <w:t>2027/28</w:t>
            </w:r>
            <w:r w:rsidRPr="00340E30">
              <w:rPr>
                <w:rFonts w:cs="Arial"/>
                <w:b/>
                <w:color w:val="FFFFFF" w:themeColor="background1"/>
              </w:rPr>
              <w:t xml:space="preserve"> Forecast</w:t>
            </w:r>
          </w:p>
        </w:tc>
      </w:tr>
      <w:tr w:rsidR="001D3250" w:rsidRPr="00340E30" w14:paraId="6476925B" w14:textId="77777777" w:rsidTr="005342B6">
        <w:trPr>
          <w:trHeight w:val="425"/>
        </w:trPr>
        <w:tc>
          <w:tcPr>
            <w:tcW w:w="4395" w:type="dxa"/>
            <w:vAlign w:val="center"/>
          </w:tcPr>
          <w:p w14:paraId="69A839EF" w14:textId="77777777" w:rsidR="001D3250" w:rsidRPr="00340E30" w:rsidRDefault="001D3250" w:rsidP="001D3250">
            <w:pPr>
              <w:spacing w:before="60" w:after="60"/>
              <w:rPr>
                <w:rFonts w:cs="Arial"/>
                <w:szCs w:val="24"/>
              </w:rPr>
            </w:pPr>
            <w:r w:rsidRPr="00340E30">
              <w:rPr>
                <w:rFonts w:cs="Arial"/>
                <w:szCs w:val="24"/>
              </w:rPr>
              <w:t>Financing costs (£m)</w:t>
            </w:r>
          </w:p>
        </w:tc>
        <w:tc>
          <w:tcPr>
            <w:tcW w:w="1098" w:type="dxa"/>
            <w:vAlign w:val="center"/>
          </w:tcPr>
          <w:p w14:paraId="75C36AD3" w14:textId="77777777" w:rsidR="001D3250" w:rsidRPr="00340E30" w:rsidRDefault="001D3250" w:rsidP="001D3250">
            <w:pPr>
              <w:spacing w:before="60" w:after="60"/>
              <w:rPr>
                <w:rFonts w:cs="Arial"/>
                <w:szCs w:val="24"/>
              </w:rPr>
            </w:pPr>
            <w:r w:rsidRPr="00340E30">
              <w:rPr>
                <w:rFonts w:cs="Arial"/>
                <w:szCs w:val="24"/>
              </w:rPr>
              <w:t>£8.8m</w:t>
            </w:r>
          </w:p>
        </w:tc>
        <w:tc>
          <w:tcPr>
            <w:tcW w:w="1217" w:type="dxa"/>
            <w:shd w:val="clear" w:color="auto" w:fill="F2CEED" w:themeFill="accent5" w:themeFillTint="33"/>
            <w:vAlign w:val="center"/>
          </w:tcPr>
          <w:p w14:paraId="64E61B28" w14:textId="77777777" w:rsidR="001D3250" w:rsidRPr="00340E30" w:rsidRDefault="001D3250" w:rsidP="001D3250">
            <w:pPr>
              <w:spacing w:before="60" w:after="60"/>
              <w:rPr>
                <w:rFonts w:cs="Arial"/>
                <w:szCs w:val="24"/>
              </w:rPr>
            </w:pPr>
            <w:r w:rsidRPr="00340E30">
              <w:rPr>
                <w:rFonts w:cs="Arial"/>
                <w:szCs w:val="24"/>
              </w:rPr>
              <w:t>£9.8m</w:t>
            </w:r>
          </w:p>
        </w:tc>
        <w:tc>
          <w:tcPr>
            <w:tcW w:w="1217" w:type="dxa"/>
            <w:vAlign w:val="center"/>
          </w:tcPr>
          <w:p w14:paraId="6AACCD22" w14:textId="77777777" w:rsidR="001D3250" w:rsidRPr="00340E30" w:rsidRDefault="001D3250" w:rsidP="001D3250">
            <w:pPr>
              <w:spacing w:before="60" w:after="60"/>
              <w:rPr>
                <w:rFonts w:cs="Arial"/>
                <w:szCs w:val="24"/>
              </w:rPr>
            </w:pPr>
            <w:r w:rsidRPr="00340E30">
              <w:rPr>
                <w:rFonts w:cs="Arial"/>
                <w:szCs w:val="24"/>
              </w:rPr>
              <w:t>£10.7m</w:t>
            </w:r>
          </w:p>
        </w:tc>
        <w:tc>
          <w:tcPr>
            <w:tcW w:w="1287" w:type="dxa"/>
            <w:vAlign w:val="center"/>
          </w:tcPr>
          <w:p w14:paraId="02467802" w14:textId="77777777" w:rsidR="001D3250" w:rsidRPr="00340E30" w:rsidRDefault="001D3250" w:rsidP="001D3250">
            <w:pPr>
              <w:spacing w:before="60" w:after="60"/>
              <w:rPr>
                <w:rFonts w:cs="Arial"/>
                <w:szCs w:val="24"/>
              </w:rPr>
            </w:pPr>
            <w:r w:rsidRPr="00340E30">
              <w:rPr>
                <w:rFonts w:cs="Arial"/>
                <w:szCs w:val="24"/>
              </w:rPr>
              <w:t>£11.6m</w:t>
            </w:r>
          </w:p>
        </w:tc>
      </w:tr>
      <w:tr w:rsidR="001D3250" w:rsidRPr="00340E30" w14:paraId="4CA5DF8F" w14:textId="77777777" w:rsidTr="005342B6">
        <w:trPr>
          <w:trHeight w:val="425"/>
        </w:trPr>
        <w:tc>
          <w:tcPr>
            <w:tcW w:w="4395" w:type="dxa"/>
            <w:vAlign w:val="center"/>
          </w:tcPr>
          <w:p w14:paraId="33D99EA7" w14:textId="77777777" w:rsidR="001D3250" w:rsidRPr="00340E30" w:rsidRDefault="001D3250" w:rsidP="001D3250">
            <w:pPr>
              <w:spacing w:before="60" w:after="60"/>
              <w:rPr>
                <w:rFonts w:cs="Arial"/>
                <w:szCs w:val="24"/>
              </w:rPr>
            </w:pPr>
            <w:r w:rsidRPr="00340E30">
              <w:rPr>
                <w:rFonts w:cs="Arial"/>
                <w:szCs w:val="24"/>
              </w:rPr>
              <w:t>Proportion of net revenue stream (%)</w:t>
            </w:r>
          </w:p>
        </w:tc>
        <w:tc>
          <w:tcPr>
            <w:tcW w:w="1098" w:type="dxa"/>
            <w:vAlign w:val="center"/>
          </w:tcPr>
          <w:p w14:paraId="3EA8453C" w14:textId="77777777" w:rsidR="001D3250" w:rsidRPr="00340E30" w:rsidRDefault="001D3250" w:rsidP="001D3250">
            <w:pPr>
              <w:spacing w:before="60" w:after="60"/>
              <w:rPr>
                <w:rFonts w:cs="Arial"/>
                <w:szCs w:val="24"/>
              </w:rPr>
            </w:pPr>
            <w:r w:rsidRPr="00340E30">
              <w:rPr>
                <w:rFonts w:cs="Arial"/>
                <w:szCs w:val="24"/>
              </w:rPr>
              <w:t>13.3%</w:t>
            </w:r>
          </w:p>
        </w:tc>
        <w:tc>
          <w:tcPr>
            <w:tcW w:w="1217" w:type="dxa"/>
            <w:shd w:val="clear" w:color="auto" w:fill="F2CEED" w:themeFill="accent5" w:themeFillTint="33"/>
            <w:vAlign w:val="center"/>
          </w:tcPr>
          <w:p w14:paraId="5874DD19" w14:textId="77777777" w:rsidR="001D3250" w:rsidRPr="00340E30" w:rsidRDefault="001D3250" w:rsidP="001D3250">
            <w:pPr>
              <w:spacing w:before="60" w:after="60"/>
              <w:rPr>
                <w:rFonts w:cs="Arial"/>
                <w:szCs w:val="24"/>
              </w:rPr>
            </w:pPr>
            <w:r w:rsidRPr="00340E30">
              <w:rPr>
                <w:rFonts w:cs="Arial"/>
                <w:szCs w:val="24"/>
              </w:rPr>
              <w:t>14.1%</w:t>
            </w:r>
          </w:p>
        </w:tc>
        <w:tc>
          <w:tcPr>
            <w:tcW w:w="1217" w:type="dxa"/>
            <w:vAlign w:val="center"/>
          </w:tcPr>
          <w:p w14:paraId="1652DACE" w14:textId="77777777" w:rsidR="001D3250" w:rsidRPr="00340E30" w:rsidRDefault="001D3250" w:rsidP="001D3250">
            <w:pPr>
              <w:spacing w:before="60" w:after="60"/>
              <w:rPr>
                <w:rFonts w:cs="Arial"/>
                <w:szCs w:val="24"/>
              </w:rPr>
            </w:pPr>
            <w:r w:rsidRPr="00340E30">
              <w:rPr>
                <w:rFonts w:cs="Arial"/>
                <w:szCs w:val="24"/>
              </w:rPr>
              <w:t>14.7%</w:t>
            </w:r>
          </w:p>
        </w:tc>
        <w:tc>
          <w:tcPr>
            <w:tcW w:w="1287" w:type="dxa"/>
            <w:vAlign w:val="center"/>
          </w:tcPr>
          <w:p w14:paraId="03A0D8B2" w14:textId="77777777" w:rsidR="001D3250" w:rsidRPr="00340E30" w:rsidRDefault="001D3250" w:rsidP="001D3250">
            <w:pPr>
              <w:spacing w:before="60" w:after="60"/>
              <w:rPr>
                <w:rFonts w:cs="Arial"/>
                <w:szCs w:val="24"/>
              </w:rPr>
            </w:pPr>
            <w:r w:rsidRPr="00340E30">
              <w:rPr>
                <w:rFonts w:cs="Arial"/>
                <w:szCs w:val="24"/>
              </w:rPr>
              <w:t>15.1%</w:t>
            </w:r>
          </w:p>
        </w:tc>
      </w:tr>
    </w:tbl>
    <w:p w14:paraId="127E41F3" w14:textId="77777777" w:rsidR="001D3250" w:rsidRPr="00340E30" w:rsidRDefault="001D3250" w:rsidP="001D3250">
      <w:pPr>
        <w:tabs>
          <w:tab w:val="center" w:pos="4513"/>
          <w:tab w:val="right" w:pos="9026"/>
        </w:tabs>
        <w:rPr>
          <w:rFonts w:cs="Arial"/>
          <w:b/>
          <w:bCs/>
          <w:sz w:val="16"/>
          <w:szCs w:val="16"/>
        </w:rPr>
      </w:pPr>
    </w:p>
    <w:p w14:paraId="10B4C851" w14:textId="02C41B43" w:rsidR="001D3250" w:rsidRPr="00340E30" w:rsidRDefault="001D3250" w:rsidP="001D3250">
      <w:pPr>
        <w:tabs>
          <w:tab w:val="center" w:pos="4513"/>
          <w:tab w:val="right" w:pos="9026"/>
        </w:tabs>
        <w:rPr>
          <w:rFonts w:cs="Arial"/>
        </w:rPr>
      </w:pPr>
      <w:r w:rsidRPr="00340E30">
        <w:rPr>
          <w:rFonts w:cs="Arial"/>
        </w:rPr>
        <w:t xml:space="preserve">The forecast financing costs for 2025/26 of £9.8m </w:t>
      </w:r>
      <w:r>
        <w:rPr>
          <w:rFonts w:cs="Arial"/>
        </w:rPr>
        <w:t>was</w:t>
      </w:r>
      <w:r w:rsidRPr="00340E30">
        <w:rPr>
          <w:rFonts w:cs="Arial"/>
        </w:rPr>
        <w:t xml:space="preserve"> in line with the budget set for the year.  </w:t>
      </w:r>
    </w:p>
    <w:p w14:paraId="02759862" w14:textId="77777777" w:rsidR="001D3250" w:rsidRPr="00340E30" w:rsidRDefault="001D3250" w:rsidP="001D3250">
      <w:pPr>
        <w:tabs>
          <w:tab w:val="center" w:pos="4513"/>
          <w:tab w:val="right" w:pos="9026"/>
        </w:tabs>
        <w:rPr>
          <w:rFonts w:cs="Arial"/>
        </w:rPr>
      </w:pPr>
      <w:r w:rsidRPr="00340E30">
        <w:rPr>
          <w:rFonts w:cs="Arial"/>
        </w:rPr>
        <w:t xml:space="preserve"> </w:t>
      </w:r>
    </w:p>
    <w:p w14:paraId="7463899E" w14:textId="77777777" w:rsidR="001D3250" w:rsidRPr="00340E30" w:rsidRDefault="001D3250" w:rsidP="001D3250">
      <w:pPr>
        <w:tabs>
          <w:tab w:val="center" w:pos="4513"/>
          <w:tab w:val="right" w:pos="9026"/>
        </w:tabs>
        <w:rPr>
          <w:rFonts w:cs="Arial"/>
          <w:b/>
          <w:bCs/>
        </w:rPr>
      </w:pPr>
      <w:r w:rsidRPr="00340E30">
        <w:rPr>
          <w:rFonts w:cs="Arial"/>
          <w:b/>
          <w:bCs/>
        </w:rPr>
        <w:t>Treasury Management – Debt Activity</w:t>
      </w:r>
    </w:p>
    <w:p w14:paraId="29A35E13" w14:textId="77777777" w:rsidR="001D3250" w:rsidRPr="00340E30" w:rsidRDefault="001D3250" w:rsidP="001D3250">
      <w:pPr>
        <w:tabs>
          <w:tab w:val="center" w:pos="4513"/>
          <w:tab w:val="right" w:pos="9026"/>
        </w:tabs>
        <w:rPr>
          <w:rFonts w:cs="Arial"/>
          <w:szCs w:val="24"/>
        </w:rPr>
      </w:pPr>
      <w:r w:rsidRPr="00340E30">
        <w:rPr>
          <w:rFonts w:cs="Arial"/>
          <w:szCs w:val="24"/>
        </w:rPr>
        <w:t xml:space="preserve">The following table summarises the position on long-term borrowings </w:t>
      </w:r>
      <w:proofErr w:type="gramStart"/>
      <w:r w:rsidRPr="00340E30">
        <w:rPr>
          <w:rFonts w:cs="Arial"/>
          <w:szCs w:val="24"/>
        </w:rPr>
        <w:t>at</w:t>
      </w:r>
      <w:proofErr w:type="gramEnd"/>
      <w:r w:rsidRPr="00340E30">
        <w:rPr>
          <w:rFonts w:cs="Arial"/>
          <w:szCs w:val="24"/>
        </w:rPr>
        <w:t xml:space="preserve"> 30 September 2025.</w:t>
      </w:r>
    </w:p>
    <w:p w14:paraId="7B5CCA0D" w14:textId="77777777" w:rsidR="001D3250" w:rsidRPr="00340E30" w:rsidRDefault="001D3250" w:rsidP="001D3250">
      <w:pPr>
        <w:tabs>
          <w:tab w:val="center" w:pos="4513"/>
          <w:tab w:val="right" w:pos="9026"/>
        </w:tabs>
        <w:rPr>
          <w:rFonts w:cs="Arial"/>
          <w:bCs/>
        </w:rPr>
      </w:pPr>
    </w:p>
    <w:tbl>
      <w:tblPr>
        <w:tblW w:w="904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1701"/>
        <w:gridCol w:w="1417"/>
        <w:gridCol w:w="1701"/>
        <w:gridCol w:w="1559"/>
      </w:tblGrid>
      <w:tr w:rsidR="001D3250" w:rsidRPr="00340E30" w14:paraId="7C132343" w14:textId="77777777" w:rsidTr="005342B6">
        <w:trPr>
          <w:trHeight w:val="340"/>
        </w:trPr>
        <w:tc>
          <w:tcPr>
            <w:tcW w:w="2665" w:type="dxa"/>
            <w:tcBorders>
              <w:top w:val="single" w:sz="4" w:space="0" w:color="auto"/>
              <w:left w:val="single" w:sz="4" w:space="0" w:color="auto"/>
              <w:bottom w:val="single" w:sz="4" w:space="0" w:color="auto"/>
              <w:right w:val="single" w:sz="4" w:space="0" w:color="auto"/>
            </w:tcBorders>
            <w:shd w:val="clear" w:color="auto" w:fill="0070C0"/>
            <w:vAlign w:val="center"/>
          </w:tcPr>
          <w:p w14:paraId="31C05C0B" w14:textId="77777777" w:rsidR="001D3250" w:rsidRPr="00340E30" w:rsidRDefault="001D3250" w:rsidP="001D3250">
            <w:pPr>
              <w:contextualSpacing/>
              <w:rPr>
                <w:rFonts w:cs="Arial"/>
                <w:b/>
                <w:color w:val="FFFFFF" w:themeColor="background1"/>
                <w:szCs w:val="24"/>
              </w:rPr>
            </w:pPr>
            <w:r w:rsidRPr="00340E30">
              <w:rPr>
                <w:rFonts w:cs="Arial"/>
                <w:b/>
                <w:color w:val="FFFFFF" w:themeColor="background1"/>
                <w:sz w:val="22"/>
              </w:rPr>
              <w:t>Table 2.1</w:t>
            </w:r>
          </w:p>
        </w:tc>
        <w:tc>
          <w:tcPr>
            <w:tcW w:w="1701" w:type="dxa"/>
            <w:tcBorders>
              <w:top w:val="nil"/>
              <w:left w:val="single" w:sz="4" w:space="0" w:color="auto"/>
              <w:bottom w:val="single" w:sz="4" w:space="0" w:color="auto"/>
              <w:right w:val="nil"/>
            </w:tcBorders>
            <w:vAlign w:val="center"/>
          </w:tcPr>
          <w:p w14:paraId="3B97EDA2" w14:textId="77777777" w:rsidR="001D3250" w:rsidRPr="00340E30" w:rsidRDefault="001D3250" w:rsidP="001D3250">
            <w:pPr>
              <w:contextualSpacing/>
              <w:rPr>
                <w:rFonts w:cs="Arial"/>
                <w:b/>
                <w:color w:val="FFFFFF" w:themeColor="background1"/>
                <w:szCs w:val="24"/>
              </w:rPr>
            </w:pPr>
          </w:p>
        </w:tc>
        <w:tc>
          <w:tcPr>
            <w:tcW w:w="1417" w:type="dxa"/>
            <w:tcBorders>
              <w:top w:val="nil"/>
              <w:left w:val="nil"/>
              <w:bottom w:val="single" w:sz="4" w:space="0" w:color="auto"/>
              <w:right w:val="nil"/>
            </w:tcBorders>
            <w:vAlign w:val="center"/>
          </w:tcPr>
          <w:p w14:paraId="4E843F4F" w14:textId="77777777" w:rsidR="001D3250" w:rsidRPr="00340E30" w:rsidRDefault="001D3250" w:rsidP="001D3250">
            <w:pPr>
              <w:contextualSpacing/>
              <w:rPr>
                <w:rFonts w:cs="Arial"/>
                <w:b/>
                <w:color w:val="FFFFFF" w:themeColor="background1"/>
                <w:szCs w:val="24"/>
              </w:rPr>
            </w:pPr>
          </w:p>
        </w:tc>
        <w:tc>
          <w:tcPr>
            <w:tcW w:w="1701" w:type="dxa"/>
            <w:tcBorders>
              <w:top w:val="nil"/>
              <w:left w:val="nil"/>
              <w:bottom w:val="single" w:sz="4" w:space="0" w:color="auto"/>
              <w:right w:val="nil"/>
            </w:tcBorders>
            <w:vAlign w:val="center"/>
          </w:tcPr>
          <w:p w14:paraId="427DA346" w14:textId="77777777" w:rsidR="001D3250" w:rsidRPr="00340E30" w:rsidRDefault="001D3250" w:rsidP="001D3250">
            <w:pPr>
              <w:contextualSpacing/>
              <w:rPr>
                <w:rFonts w:cs="Arial"/>
                <w:b/>
                <w:color w:val="FFFFFF" w:themeColor="background1"/>
                <w:szCs w:val="24"/>
              </w:rPr>
            </w:pPr>
          </w:p>
        </w:tc>
        <w:tc>
          <w:tcPr>
            <w:tcW w:w="1559" w:type="dxa"/>
            <w:tcBorders>
              <w:top w:val="nil"/>
              <w:left w:val="nil"/>
              <w:bottom w:val="single" w:sz="4" w:space="0" w:color="auto"/>
              <w:right w:val="nil"/>
            </w:tcBorders>
            <w:vAlign w:val="center"/>
          </w:tcPr>
          <w:p w14:paraId="68ED8BA5" w14:textId="77777777" w:rsidR="001D3250" w:rsidRPr="00340E30" w:rsidRDefault="001D3250" w:rsidP="001D3250">
            <w:pPr>
              <w:contextualSpacing/>
              <w:rPr>
                <w:rFonts w:cs="Arial"/>
                <w:b/>
                <w:color w:val="FFFFFF" w:themeColor="background1"/>
                <w:szCs w:val="24"/>
              </w:rPr>
            </w:pPr>
          </w:p>
        </w:tc>
      </w:tr>
      <w:tr w:rsidR="001D3250" w:rsidRPr="00340E30" w14:paraId="3DF12E7F" w14:textId="77777777" w:rsidTr="005342B6">
        <w:tc>
          <w:tcPr>
            <w:tcW w:w="2665" w:type="dxa"/>
            <w:tcBorders>
              <w:top w:val="single" w:sz="4" w:space="0" w:color="auto"/>
              <w:right w:val="single" w:sz="4" w:space="0" w:color="auto"/>
            </w:tcBorders>
            <w:shd w:val="clear" w:color="auto" w:fill="0070C0"/>
            <w:vAlign w:val="center"/>
          </w:tcPr>
          <w:p w14:paraId="053CB7E1"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Lender</w:t>
            </w:r>
          </w:p>
        </w:tc>
        <w:tc>
          <w:tcPr>
            <w:tcW w:w="1701" w:type="dxa"/>
            <w:tcBorders>
              <w:top w:val="single" w:sz="4" w:space="0" w:color="auto"/>
              <w:left w:val="single" w:sz="4" w:space="0" w:color="auto"/>
              <w:bottom w:val="single" w:sz="4" w:space="0" w:color="auto"/>
            </w:tcBorders>
            <w:shd w:val="clear" w:color="auto" w:fill="0070C0"/>
            <w:vAlign w:val="center"/>
          </w:tcPr>
          <w:p w14:paraId="0566F401"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Balance 01/04/25</w:t>
            </w:r>
          </w:p>
        </w:tc>
        <w:tc>
          <w:tcPr>
            <w:tcW w:w="1417" w:type="dxa"/>
            <w:tcBorders>
              <w:top w:val="single" w:sz="4" w:space="0" w:color="auto"/>
              <w:bottom w:val="single" w:sz="4" w:space="0" w:color="auto"/>
            </w:tcBorders>
            <w:shd w:val="clear" w:color="auto" w:fill="0070C0"/>
            <w:vAlign w:val="center"/>
          </w:tcPr>
          <w:p w14:paraId="59AB85DB"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New Loans</w:t>
            </w:r>
          </w:p>
        </w:tc>
        <w:tc>
          <w:tcPr>
            <w:tcW w:w="1701" w:type="dxa"/>
            <w:tcBorders>
              <w:top w:val="single" w:sz="4" w:space="0" w:color="auto"/>
              <w:bottom w:val="single" w:sz="4" w:space="0" w:color="auto"/>
            </w:tcBorders>
            <w:shd w:val="clear" w:color="auto" w:fill="0070C0"/>
            <w:vAlign w:val="center"/>
          </w:tcPr>
          <w:p w14:paraId="243B04F1"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 xml:space="preserve">Repayments </w:t>
            </w:r>
          </w:p>
        </w:tc>
        <w:tc>
          <w:tcPr>
            <w:tcW w:w="1559" w:type="dxa"/>
            <w:tcBorders>
              <w:top w:val="single" w:sz="4" w:space="0" w:color="auto"/>
              <w:bottom w:val="single" w:sz="4" w:space="0" w:color="auto"/>
              <w:right w:val="single" w:sz="4" w:space="0" w:color="auto"/>
            </w:tcBorders>
            <w:shd w:val="clear" w:color="auto" w:fill="0070C0"/>
            <w:vAlign w:val="center"/>
          </w:tcPr>
          <w:p w14:paraId="073957FD" w14:textId="77777777" w:rsidR="001D3250" w:rsidRPr="00340E30" w:rsidRDefault="001D3250" w:rsidP="001D3250">
            <w:pPr>
              <w:contextualSpacing/>
              <w:rPr>
                <w:rFonts w:cs="Arial"/>
                <w:b/>
                <w:color w:val="FFFFFF" w:themeColor="background1"/>
                <w:sz w:val="22"/>
              </w:rPr>
            </w:pPr>
            <w:r w:rsidRPr="00340E30">
              <w:rPr>
                <w:rFonts w:cs="Arial"/>
                <w:b/>
                <w:color w:val="FFFFFF" w:themeColor="background1"/>
                <w:sz w:val="22"/>
              </w:rPr>
              <w:t>Balance 30/09/25</w:t>
            </w:r>
          </w:p>
        </w:tc>
      </w:tr>
      <w:tr w:rsidR="001D3250" w:rsidRPr="00340E30" w14:paraId="6EEDE586" w14:textId="77777777" w:rsidTr="005342B6">
        <w:trPr>
          <w:trHeight w:val="510"/>
        </w:trPr>
        <w:tc>
          <w:tcPr>
            <w:tcW w:w="2665" w:type="dxa"/>
            <w:vAlign w:val="center"/>
          </w:tcPr>
          <w:p w14:paraId="689190B5" w14:textId="77777777" w:rsidR="001D3250" w:rsidRPr="00340E30" w:rsidRDefault="001D3250" w:rsidP="001D3250">
            <w:pPr>
              <w:contextualSpacing/>
              <w:rPr>
                <w:rFonts w:cs="Arial"/>
                <w:bCs/>
                <w:szCs w:val="24"/>
              </w:rPr>
            </w:pPr>
            <w:r w:rsidRPr="00340E30">
              <w:rPr>
                <w:rFonts w:cs="Arial"/>
                <w:bCs/>
                <w:szCs w:val="24"/>
              </w:rPr>
              <w:t>Dept of Finance</w:t>
            </w:r>
          </w:p>
        </w:tc>
        <w:tc>
          <w:tcPr>
            <w:tcW w:w="1701" w:type="dxa"/>
            <w:tcBorders>
              <w:top w:val="single" w:sz="4" w:space="0" w:color="auto"/>
            </w:tcBorders>
            <w:vAlign w:val="center"/>
          </w:tcPr>
          <w:p w14:paraId="3369500A" w14:textId="77777777" w:rsidR="001D3250" w:rsidRPr="00340E30" w:rsidRDefault="001D3250" w:rsidP="001D3250">
            <w:pPr>
              <w:contextualSpacing/>
              <w:rPr>
                <w:rFonts w:cs="Arial"/>
                <w:szCs w:val="24"/>
              </w:rPr>
            </w:pPr>
            <w:r w:rsidRPr="00340E30">
              <w:rPr>
                <w:rFonts w:cs="Arial"/>
                <w:szCs w:val="24"/>
              </w:rPr>
              <w:t>£ 50.601m</w:t>
            </w:r>
          </w:p>
        </w:tc>
        <w:tc>
          <w:tcPr>
            <w:tcW w:w="1417" w:type="dxa"/>
            <w:tcBorders>
              <w:top w:val="single" w:sz="4" w:space="0" w:color="auto"/>
            </w:tcBorders>
            <w:vAlign w:val="center"/>
          </w:tcPr>
          <w:p w14:paraId="6A3052C4" w14:textId="77777777" w:rsidR="001D3250" w:rsidRPr="00340E30" w:rsidRDefault="001D3250" w:rsidP="001D3250">
            <w:pPr>
              <w:contextualSpacing/>
              <w:rPr>
                <w:rFonts w:cs="Arial"/>
                <w:szCs w:val="24"/>
              </w:rPr>
            </w:pPr>
            <w:r w:rsidRPr="00340E30">
              <w:rPr>
                <w:rFonts w:cs="Arial"/>
                <w:szCs w:val="24"/>
              </w:rPr>
              <w:t>£       -</w:t>
            </w:r>
          </w:p>
        </w:tc>
        <w:tc>
          <w:tcPr>
            <w:tcW w:w="1701" w:type="dxa"/>
            <w:tcBorders>
              <w:top w:val="single" w:sz="4" w:space="0" w:color="auto"/>
            </w:tcBorders>
            <w:vAlign w:val="center"/>
          </w:tcPr>
          <w:p w14:paraId="5AE41FD0" w14:textId="77777777" w:rsidR="001D3250" w:rsidRPr="00340E30" w:rsidRDefault="001D3250" w:rsidP="001D3250">
            <w:pPr>
              <w:contextualSpacing/>
              <w:rPr>
                <w:rFonts w:cs="Arial"/>
                <w:szCs w:val="24"/>
              </w:rPr>
            </w:pPr>
            <w:r w:rsidRPr="00340E30">
              <w:rPr>
                <w:rFonts w:cs="Arial"/>
                <w:szCs w:val="24"/>
              </w:rPr>
              <w:t xml:space="preserve">  £ (1.319) m</w:t>
            </w:r>
          </w:p>
        </w:tc>
        <w:tc>
          <w:tcPr>
            <w:tcW w:w="1559" w:type="dxa"/>
            <w:tcBorders>
              <w:top w:val="single" w:sz="4" w:space="0" w:color="auto"/>
            </w:tcBorders>
            <w:vAlign w:val="center"/>
          </w:tcPr>
          <w:p w14:paraId="7CA55D01" w14:textId="77777777" w:rsidR="001D3250" w:rsidRPr="00340E30" w:rsidRDefault="001D3250" w:rsidP="001D3250">
            <w:pPr>
              <w:contextualSpacing/>
              <w:rPr>
                <w:rFonts w:cs="Arial"/>
                <w:szCs w:val="24"/>
              </w:rPr>
            </w:pPr>
            <w:r w:rsidRPr="00340E30">
              <w:rPr>
                <w:rFonts w:cs="Arial"/>
                <w:szCs w:val="24"/>
              </w:rPr>
              <w:t>£ 49.282m</w:t>
            </w:r>
          </w:p>
        </w:tc>
      </w:tr>
      <w:tr w:rsidR="001D3250" w:rsidRPr="00340E30" w14:paraId="3834C2FC" w14:textId="77777777" w:rsidTr="005342B6">
        <w:trPr>
          <w:trHeight w:val="510"/>
        </w:trPr>
        <w:tc>
          <w:tcPr>
            <w:tcW w:w="2665" w:type="dxa"/>
            <w:vAlign w:val="center"/>
          </w:tcPr>
          <w:p w14:paraId="378B30C1" w14:textId="77777777" w:rsidR="001D3250" w:rsidRPr="00340E30" w:rsidRDefault="001D3250" w:rsidP="001D3250">
            <w:pPr>
              <w:contextualSpacing/>
              <w:rPr>
                <w:rFonts w:cs="Arial"/>
                <w:bCs/>
                <w:szCs w:val="24"/>
              </w:rPr>
            </w:pPr>
            <w:r w:rsidRPr="00340E30">
              <w:rPr>
                <w:rFonts w:cs="Arial"/>
                <w:bCs/>
                <w:szCs w:val="24"/>
              </w:rPr>
              <w:t>Banks (LOBOs)</w:t>
            </w:r>
          </w:p>
        </w:tc>
        <w:tc>
          <w:tcPr>
            <w:tcW w:w="1701" w:type="dxa"/>
            <w:vAlign w:val="center"/>
          </w:tcPr>
          <w:p w14:paraId="71DA2551" w14:textId="77777777" w:rsidR="001D3250" w:rsidRPr="00340E30" w:rsidRDefault="001D3250" w:rsidP="001D3250">
            <w:pPr>
              <w:contextualSpacing/>
              <w:rPr>
                <w:rFonts w:cs="Arial"/>
                <w:szCs w:val="24"/>
              </w:rPr>
            </w:pPr>
            <w:r w:rsidRPr="00340E30">
              <w:rPr>
                <w:rFonts w:cs="Arial"/>
                <w:szCs w:val="24"/>
              </w:rPr>
              <w:t>£   6.275m</w:t>
            </w:r>
          </w:p>
        </w:tc>
        <w:tc>
          <w:tcPr>
            <w:tcW w:w="1417" w:type="dxa"/>
            <w:vAlign w:val="center"/>
          </w:tcPr>
          <w:p w14:paraId="58D68006" w14:textId="77777777" w:rsidR="001D3250" w:rsidRPr="00340E30" w:rsidRDefault="001D3250" w:rsidP="001D3250">
            <w:pPr>
              <w:contextualSpacing/>
              <w:rPr>
                <w:rFonts w:cs="Arial"/>
                <w:szCs w:val="24"/>
              </w:rPr>
            </w:pPr>
            <w:r w:rsidRPr="00340E30">
              <w:rPr>
                <w:rFonts w:cs="Arial"/>
                <w:szCs w:val="24"/>
              </w:rPr>
              <w:t>£       -</w:t>
            </w:r>
          </w:p>
        </w:tc>
        <w:tc>
          <w:tcPr>
            <w:tcW w:w="1701" w:type="dxa"/>
            <w:vAlign w:val="center"/>
          </w:tcPr>
          <w:p w14:paraId="37FA39BA" w14:textId="77777777" w:rsidR="001D3250" w:rsidRPr="00340E30" w:rsidRDefault="001D3250" w:rsidP="001D3250">
            <w:pPr>
              <w:contextualSpacing/>
              <w:rPr>
                <w:rFonts w:cs="Arial"/>
                <w:szCs w:val="24"/>
              </w:rPr>
            </w:pPr>
            <w:r w:rsidRPr="00340E30">
              <w:rPr>
                <w:rFonts w:cs="Arial"/>
                <w:szCs w:val="24"/>
              </w:rPr>
              <w:t>£ (1.000) m</w:t>
            </w:r>
          </w:p>
        </w:tc>
        <w:tc>
          <w:tcPr>
            <w:tcW w:w="1559" w:type="dxa"/>
            <w:vAlign w:val="center"/>
          </w:tcPr>
          <w:p w14:paraId="15855C5B" w14:textId="77777777" w:rsidR="001D3250" w:rsidRPr="00340E30" w:rsidRDefault="001D3250" w:rsidP="001D3250">
            <w:pPr>
              <w:contextualSpacing/>
              <w:rPr>
                <w:rFonts w:cs="Arial"/>
                <w:szCs w:val="24"/>
              </w:rPr>
            </w:pPr>
            <w:r w:rsidRPr="00340E30">
              <w:rPr>
                <w:rFonts w:cs="Arial"/>
                <w:szCs w:val="24"/>
              </w:rPr>
              <w:t>£   5.275m</w:t>
            </w:r>
          </w:p>
        </w:tc>
      </w:tr>
      <w:tr w:rsidR="001D3250" w:rsidRPr="00340E30" w14:paraId="26B5B86C" w14:textId="77777777" w:rsidTr="005342B6">
        <w:trPr>
          <w:trHeight w:val="510"/>
        </w:trPr>
        <w:tc>
          <w:tcPr>
            <w:tcW w:w="2665" w:type="dxa"/>
            <w:shd w:val="clear" w:color="auto" w:fill="D9D9D9" w:themeFill="background1" w:themeFillShade="D9"/>
            <w:vAlign w:val="center"/>
          </w:tcPr>
          <w:p w14:paraId="5B2912AA" w14:textId="77777777" w:rsidR="001D3250" w:rsidRPr="00340E30" w:rsidRDefault="001D3250" w:rsidP="001D3250">
            <w:pPr>
              <w:contextualSpacing/>
              <w:rPr>
                <w:rFonts w:cs="Arial"/>
                <w:b/>
                <w:szCs w:val="24"/>
              </w:rPr>
            </w:pPr>
            <w:r w:rsidRPr="00340E30">
              <w:rPr>
                <w:rFonts w:cs="Arial"/>
                <w:b/>
                <w:szCs w:val="24"/>
              </w:rPr>
              <w:t>Totals</w:t>
            </w:r>
          </w:p>
        </w:tc>
        <w:tc>
          <w:tcPr>
            <w:tcW w:w="1701" w:type="dxa"/>
            <w:shd w:val="clear" w:color="auto" w:fill="D9D9D9" w:themeFill="background1" w:themeFillShade="D9"/>
            <w:vAlign w:val="center"/>
          </w:tcPr>
          <w:p w14:paraId="51BDEAC9" w14:textId="77777777" w:rsidR="001D3250" w:rsidRPr="00340E30" w:rsidRDefault="001D3250" w:rsidP="001D3250">
            <w:pPr>
              <w:contextualSpacing/>
              <w:rPr>
                <w:rFonts w:cs="Arial"/>
                <w:b/>
                <w:bCs/>
                <w:szCs w:val="24"/>
              </w:rPr>
            </w:pPr>
            <w:r w:rsidRPr="00340E30">
              <w:rPr>
                <w:rFonts w:cs="Arial"/>
                <w:b/>
                <w:bCs/>
                <w:szCs w:val="24"/>
              </w:rPr>
              <w:t>£ 56.876m</w:t>
            </w:r>
          </w:p>
        </w:tc>
        <w:tc>
          <w:tcPr>
            <w:tcW w:w="1417" w:type="dxa"/>
            <w:shd w:val="clear" w:color="auto" w:fill="D9D9D9" w:themeFill="background1" w:themeFillShade="D9"/>
            <w:vAlign w:val="center"/>
          </w:tcPr>
          <w:p w14:paraId="7DE4F17D" w14:textId="77777777" w:rsidR="001D3250" w:rsidRPr="00340E30" w:rsidRDefault="001D3250" w:rsidP="001D3250">
            <w:pPr>
              <w:contextualSpacing/>
              <w:rPr>
                <w:rFonts w:cs="Arial"/>
                <w:b/>
                <w:bCs/>
                <w:szCs w:val="24"/>
              </w:rPr>
            </w:pPr>
            <w:r w:rsidRPr="00340E30">
              <w:rPr>
                <w:rFonts w:cs="Arial"/>
                <w:b/>
                <w:bCs/>
                <w:szCs w:val="24"/>
              </w:rPr>
              <w:t>£       -</w:t>
            </w:r>
          </w:p>
        </w:tc>
        <w:tc>
          <w:tcPr>
            <w:tcW w:w="1701" w:type="dxa"/>
            <w:shd w:val="clear" w:color="auto" w:fill="D9D9D9" w:themeFill="background1" w:themeFillShade="D9"/>
            <w:vAlign w:val="center"/>
          </w:tcPr>
          <w:p w14:paraId="53114BC2" w14:textId="77777777" w:rsidR="001D3250" w:rsidRPr="00340E30" w:rsidRDefault="001D3250" w:rsidP="001D3250">
            <w:pPr>
              <w:contextualSpacing/>
              <w:rPr>
                <w:rFonts w:cs="Arial"/>
                <w:b/>
                <w:bCs/>
                <w:szCs w:val="24"/>
              </w:rPr>
            </w:pPr>
            <w:r w:rsidRPr="00340E30">
              <w:rPr>
                <w:rFonts w:cs="Arial"/>
                <w:b/>
                <w:bCs/>
                <w:szCs w:val="24"/>
              </w:rPr>
              <w:t xml:space="preserve">  £ (2.319) m</w:t>
            </w:r>
          </w:p>
        </w:tc>
        <w:tc>
          <w:tcPr>
            <w:tcW w:w="1559" w:type="dxa"/>
            <w:shd w:val="clear" w:color="auto" w:fill="D9D9D9" w:themeFill="background1" w:themeFillShade="D9"/>
            <w:vAlign w:val="center"/>
          </w:tcPr>
          <w:p w14:paraId="59943B59" w14:textId="77777777" w:rsidR="001D3250" w:rsidRPr="00340E30" w:rsidRDefault="001D3250" w:rsidP="001D3250">
            <w:pPr>
              <w:contextualSpacing/>
              <w:rPr>
                <w:rFonts w:cs="Arial"/>
                <w:b/>
                <w:bCs/>
                <w:szCs w:val="24"/>
              </w:rPr>
            </w:pPr>
            <w:r w:rsidRPr="00340E30">
              <w:rPr>
                <w:rFonts w:cs="Arial"/>
                <w:b/>
                <w:bCs/>
                <w:szCs w:val="24"/>
              </w:rPr>
              <w:t>£ 54.557m</w:t>
            </w:r>
          </w:p>
        </w:tc>
      </w:tr>
    </w:tbl>
    <w:p w14:paraId="2470E113" w14:textId="77777777" w:rsidR="001D3250" w:rsidRPr="00340E30" w:rsidRDefault="001D3250" w:rsidP="001D3250">
      <w:pPr>
        <w:tabs>
          <w:tab w:val="center" w:pos="4513"/>
          <w:tab w:val="right" w:pos="9026"/>
        </w:tabs>
        <w:rPr>
          <w:rFonts w:cs="Arial"/>
          <w:bCs/>
        </w:rPr>
      </w:pPr>
    </w:p>
    <w:p w14:paraId="19776794" w14:textId="67AFAA33" w:rsidR="001D3250" w:rsidRPr="00340E30" w:rsidRDefault="001D3250" w:rsidP="001D3250">
      <w:pPr>
        <w:tabs>
          <w:tab w:val="center" w:pos="4513"/>
          <w:tab w:val="right" w:pos="9026"/>
        </w:tabs>
        <w:rPr>
          <w:rFonts w:cs="Arial"/>
          <w:bCs/>
        </w:rPr>
      </w:pPr>
      <w:r w:rsidRPr="00340E30">
        <w:rPr>
          <w:rFonts w:cs="Arial"/>
          <w:bCs/>
        </w:rPr>
        <w:t>The revised capital financing requirement (table 1.2) show</w:t>
      </w:r>
      <w:r>
        <w:rPr>
          <w:rFonts w:cs="Arial"/>
          <w:bCs/>
        </w:rPr>
        <w:t>ed</w:t>
      </w:r>
      <w:r w:rsidRPr="00340E30">
        <w:rPr>
          <w:rFonts w:cs="Arial"/>
          <w:bCs/>
        </w:rPr>
        <w:t xml:space="preserve"> that the Council could increase its level of external borrowings to £78m by 31 March 2026.  However, an assessment of the Council’s cashflow position forecasts show there </w:t>
      </w:r>
      <w:r>
        <w:rPr>
          <w:rFonts w:cs="Arial"/>
          <w:bCs/>
        </w:rPr>
        <w:t xml:space="preserve">would </w:t>
      </w:r>
      <w:r w:rsidRPr="00340E30">
        <w:rPr>
          <w:rFonts w:cs="Arial"/>
          <w:bCs/>
        </w:rPr>
        <w:t xml:space="preserve">be adequate cash reserves to finance capital expenditure for the remainder of the current year and therefore no further borrowing </w:t>
      </w:r>
      <w:r w:rsidR="00C57D3A">
        <w:rPr>
          <w:rFonts w:cs="Arial"/>
          <w:bCs/>
        </w:rPr>
        <w:t>was</w:t>
      </w:r>
      <w:r w:rsidRPr="00340E30">
        <w:rPr>
          <w:rFonts w:cs="Arial"/>
          <w:bCs/>
        </w:rPr>
        <w:t xml:space="preserve"> anticipated before 31 March 2026.  The Council d</w:t>
      </w:r>
      <w:r w:rsidR="00C57D3A">
        <w:rPr>
          <w:rFonts w:cs="Arial"/>
          <w:bCs/>
        </w:rPr>
        <w:t>id</w:t>
      </w:r>
      <w:r w:rsidRPr="00340E30">
        <w:rPr>
          <w:rFonts w:cs="Arial"/>
          <w:bCs/>
        </w:rPr>
        <w:t xml:space="preserve"> not currently hold any short-term borrowings.</w:t>
      </w:r>
    </w:p>
    <w:p w14:paraId="14CD4BCB" w14:textId="77777777" w:rsidR="001D3250" w:rsidRPr="00340E30" w:rsidRDefault="001D3250" w:rsidP="001D3250">
      <w:pPr>
        <w:tabs>
          <w:tab w:val="center" w:pos="4513"/>
          <w:tab w:val="right" w:pos="9026"/>
        </w:tabs>
        <w:rPr>
          <w:rFonts w:cs="Arial"/>
          <w:bCs/>
        </w:rPr>
      </w:pPr>
    </w:p>
    <w:p w14:paraId="22E178F9" w14:textId="36DD38E4" w:rsidR="001D3250" w:rsidRPr="00340E30" w:rsidRDefault="001D3250" w:rsidP="001D3250">
      <w:pPr>
        <w:tabs>
          <w:tab w:val="center" w:pos="4513"/>
          <w:tab w:val="right" w:pos="9026"/>
        </w:tabs>
        <w:rPr>
          <w:rFonts w:cs="Arial"/>
          <w:bCs/>
        </w:rPr>
      </w:pPr>
      <w:r w:rsidRPr="00340E30">
        <w:rPr>
          <w:rFonts w:cs="Arial"/>
          <w:bCs/>
        </w:rPr>
        <w:t xml:space="preserve">The Council repaid a £1m bank loan in April and </w:t>
      </w:r>
      <w:r>
        <w:rPr>
          <w:rFonts w:cs="Arial"/>
          <w:bCs/>
        </w:rPr>
        <w:t xml:space="preserve">a </w:t>
      </w:r>
      <w:r w:rsidRPr="00340E30">
        <w:rPr>
          <w:rFonts w:cs="Arial"/>
          <w:bCs/>
        </w:rPr>
        <w:t xml:space="preserve">Dept of Finance payment of £1.3m in August. A further repayment of £1.27m on existing long-term loans </w:t>
      </w:r>
      <w:r>
        <w:rPr>
          <w:rFonts w:cs="Arial"/>
          <w:bCs/>
        </w:rPr>
        <w:t xml:space="preserve">would </w:t>
      </w:r>
      <w:r w:rsidRPr="00340E30">
        <w:rPr>
          <w:rFonts w:cs="Arial"/>
          <w:bCs/>
        </w:rPr>
        <w:t xml:space="preserve">be made in February 2026 and the level of external borrowings </w:t>
      </w:r>
      <w:proofErr w:type="gramStart"/>
      <w:r w:rsidRPr="00340E30">
        <w:rPr>
          <w:rFonts w:cs="Arial"/>
          <w:bCs/>
        </w:rPr>
        <w:t>at</w:t>
      </w:r>
      <w:proofErr w:type="gramEnd"/>
      <w:r w:rsidRPr="00340E30">
        <w:rPr>
          <w:rFonts w:cs="Arial"/>
          <w:bCs/>
        </w:rPr>
        <w:t xml:space="preserve"> 31 March 2026 </w:t>
      </w:r>
      <w:r>
        <w:rPr>
          <w:rFonts w:cs="Arial"/>
          <w:bCs/>
        </w:rPr>
        <w:t>was</w:t>
      </w:r>
      <w:r w:rsidRPr="00340E30">
        <w:rPr>
          <w:rFonts w:cs="Arial"/>
          <w:bCs/>
        </w:rPr>
        <w:t xml:space="preserve"> forecast to be £53.3m.</w:t>
      </w:r>
    </w:p>
    <w:p w14:paraId="3EEAB436" w14:textId="77777777" w:rsidR="001D3250" w:rsidRPr="00340E30" w:rsidRDefault="001D3250" w:rsidP="001D3250">
      <w:pPr>
        <w:rPr>
          <w:rFonts w:cs="Arial"/>
          <w:highlight w:val="yellow"/>
        </w:rPr>
      </w:pPr>
    </w:p>
    <w:p w14:paraId="4D104798" w14:textId="77777777" w:rsidR="001D3250" w:rsidRPr="00CB5B5D" w:rsidRDefault="001D3250" w:rsidP="001D3250">
      <w:pPr>
        <w:rPr>
          <w:rFonts w:cs="Arial"/>
          <w:b/>
          <w:bCs/>
        </w:rPr>
      </w:pPr>
      <w:r w:rsidRPr="00340E30">
        <w:rPr>
          <w:rFonts w:cs="Arial"/>
          <w:b/>
          <w:bCs/>
        </w:rPr>
        <w:t>Treasury Management - Debt Related Treasury Activity Limits</w:t>
      </w:r>
    </w:p>
    <w:p w14:paraId="0497731B" w14:textId="22F30845" w:rsidR="001D3250" w:rsidRPr="00340E30" w:rsidRDefault="001D3250" w:rsidP="001D3250">
      <w:pPr>
        <w:rPr>
          <w:rFonts w:cs="Arial"/>
        </w:rPr>
      </w:pPr>
      <w:r w:rsidRPr="00340E30">
        <w:rPr>
          <w:rFonts w:cs="Arial"/>
        </w:rPr>
        <w:t>The tables below show</w:t>
      </w:r>
      <w:r>
        <w:rPr>
          <w:rFonts w:cs="Arial"/>
        </w:rPr>
        <w:t>ed</w:t>
      </w:r>
      <w:r w:rsidRPr="00340E30">
        <w:rPr>
          <w:rFonts w:cs="Arial"/>
        </w:rPr>
        <w:t xml:space="preserve"> the position of all debt related treasury activity limits.  </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417"/>
        <w:gridCol w:w="1418"/>
      </w:tblGrid>
      <w:tr w:rsidR="001D3250" w:rsidRPr="00340E30" w14:paraId="33F082F4" w14:textId="77777777" w:rsidTr="005342B6">
        <w:trPr>
          <w:cantSplit/>
          <w:trHeight w:val="340"/>
        </w:trPr>
        <w:tc>
          <w:tcPr>
            <w:tcW w:w="5812" w:type="dxa"/>
            <w:tcBorders>
              <w:right w:val="single" w:sz="4" w:space="0" w:color="auto"/>
            </w:tcBorders>
            <w:shd w:val="clear" w:color="auto" w:fill="0070C0"/>
            <w:vAlign w:val="center"/>
          </w:tcPr>
          <w:p w14:paraId="412780F7" w14:textId="77777777" w:rsidR="001D3250" w:rsidRPr="00340E30" w:rsidRDefault="001D3250" w:rsidP="001D3250">
            <w:pPr>
              <w:spacing w:after="120" w:line="180" w:lineRule="atLeast"/>
              <w:rPr>
                <w:rFonts w:cs="Arial"/>
                <w:b/>
                <w:bCs/>
                <w:color w:val="FFFFFF" w:themeColor="background1"/>
                <w:sz w:val="22"/>
              </w:rPr>
            </w:pPr>
            <w:r w:rsidRPr="00340E30">
              <w:rPr>
                <w:rFonts w:cs="Arial"/>
                <w:b/>
                <w:bCs/>
                <w:color w:val="FFFFFF" w:themeColor="background1"/>
                <w:sz w:val="22"/>
              </w:rPr>
              <w:lastRenderedPageBreak/>
              <w:t>Table 2.21</w:t>
            </w:r>
          </w:p>
        </w:tc>
        <w:tc>
          <w:tcPr>
            <w:tcW w:w="2835" w:type="dxa"/>
            <w:gridSpan w:val="2"/>
            <w:tcBorders>
              <w:top w:val="nil"/>
              <w:left w:val="single" w:sz="4" w:space="0" w:color="auto"/>
              <w:bottom w:val="single" w:sz="4" w:space="0" w:color="auto"/>
              <w:right w:val="nil"/>
            </w:tcBorders>
            <w:vAlign w:val="center"/>
          </w:tcPr>
          <w:p w14:paraId="238B5960" w14:textId="77777777" w:rsidR="001D3250" w:rsidRPr="00340E30" w:rsidRDefault="001D3250" w:rsidP="001D3250">
            <w:pPr>
              <w:spacing w:after="120" w:line="180" w:lineRule="atLeast"/>
              <w:rPr>
                <w:rFonts w:cs="Arial"/>
                <w:b/>
                <w:bCs/>
                <w:color w:val="FFFFFF" w:themeColor="background1"/>
                <w:sz w:val="22"/>
              </w:rPr>
            </w:pPr>
          </w:p>
        </w:tc>
      </w:tr>
      <w:tr w:rsidR="001D3250" w:rsidRPr="00340E30" w14:paraId="72F62A68" w14:textId="77777777" w:rsidTr="005342B6">
        <w:trPr>
          <w:cantSplit/>
          <w:trHeight w:val="20"/>
        </w:trPr>
        <w:tc>
          <w:tcPr>
            <w:tcW w:w="5812" w:type="dxa"/>
            <w:shd w:val="clear" w:color="auto" w:fill="0070C0"/>
            <w:vAlign w:val="center"/>
          </w:tcPr>
          <w:p w14:paraId="2CDCA4A2" w14:textId="77777777" w:rsidR="001D3250" w:rsidRPr="00340E30" w:rsidRDefault="001D3250" w:rsidP="001D3250">
            <w:pPr>
              <w:spacing w:after="120" w:line="180" w:lineRule="atLeast"/>
              <w:rPr>
                <w:rFonts w:cs="Arial"/>
                <w:b/>
                <w:bCs/>
                <w:color w:val="FFFFFF" w:themeColor="background1"/>
                <w:sz w:val="22"/>
              </w:rPr>
            </w:pPr>
            <w:r w:rsidRPr="00340E30">
              <w:rPr>
                <w:rFonts w:cs="Arial"/>
                <w:b/>
                <w:bCs/>
                <w:color w:val="FFFFFF" w:themeColor="background1"/>
                <w:sz w:val="22"/>
              </w:rPr>
              <w:t>Interest rate exposures</w:t>
            </w:r>
          </w:p>
        </w:tc>
        <w:tc>
          <w:tcPr>
            <w:tcW w:w="1417" w:type="dxa"/>
            <w:tcBorders>
              <w:top w:val="single" w:sz="4" w:space="0" w:color="auto"/>
            </w:tcBorders>
            <w:shd w:val="clear" w:color="auto" w:fill="0070C0"/>
            <w:vAlign w:val="center"/>
          </w:tcPr>
          <w:p w14:paraId="27A49419" w14:textId="77777777" w:rsidR="001D3250" w:rsidRPr="00340E30" w:rsidRDefault="001D3250" w:rsidP="001D3250">
            <w:pPr>
              <w:spacing w:after="120" w:line="180" w:lineRule="atLeast"/>
              <w:rPr>
                <w:rFonts w:cs="Arial"/>
                <w:b/>
                <w:bCs/>
                <w:color w:val="FFFFFF" w:themeColor="background1"/>
                <w:sz w:val="22"/>
              </w:rPr>
            </w:pPr>
            <w:r w:rsidRPr="00340E30">
              <w:rPr>
                <w:rFonts w:cs="Arial"/>
                <w:b/>
                <w:bCs/>
                <w:color w:val="FFFFFF" w:themeColor="background1"/>
                <w:sz w:val="22"/>
              </w:rPr>
              <w:t>Limit 2025/26</w:t>
            </w:r>
          </w:p>
        </w:tc>
        <w:tc>
          <w:tcPr>
            <w:tcW w:w="1418" w:type="dxa"/>
            <w:tcBorders>
              <w:top w:val="single" w:sz="4" w:space="0" w:color="auto"/>
            </w:tcBorders>
            <w:shd w:val="clear" w:color="auto" w:fill="0070C0"/>
            <w:vAlign w:val="center"/>
          </w:tcPr>
          <w:p w14:paraId="6FD2543A" w14:textId="77777777" w:rsidR="001D3250" w:rsidRPr="00340E30" w:rsidRDefault="001D3250" w:rsidP="001D3250">
            <w:pPr>
              <w:spacing w:after="120" w:line="180" w:lineRule="atLeast"/>
              <w:rPr>
                <w:rFonts w:cs="Arial"/>
                <w:b/>
                <w:bCs/>
                <w:color w:val="FFFFFF" w:themeColor="background1"/>
                <w:sz w:val="22"/>
              </w:rPr>
            </w:pPr>
            <w:r w:rsidRPr="00340E30">
              <w:rPr>
                <w:rFonts w:cs="Arial"/>
                <w:b/>
                <w:bCs/>
                <w:color w:val="FFFFFF" w:themeColor="background1"/>
                <w:sz w:val="22"/>
              </w:rPr>
              <w:t>Actual at 30/09/25</w:t>
            </w:r>
          </w:p>
        </w:tc>
      </w:tr>
      <w:tr w:rsidR="001D3250" w:rsidRPr="00340E30" w14:paraId="1A4A04A4" w14:textId="77777777" w:rsidTr="005342B6">
        <w:trPr>
          <w:trHeight w:val="510"/>
        </w:trPr>
        <w:tc>
          <w:tcPr>
            <w:tcW w:w="5812" w:type="dxa"/>
            <w:vAlign w:val="center"/>
          </w:tcPr>
          <w:p w14:paraId="68C5C300" w14:textId="77777777" w:rsidR="001D3250" w:rsidRPr="00340E30" w:rsidRDefault="001D3250" w:rsidP="001D3250">
            <w:pPr>
              <w:spacing w:line="180" w:lineRule="atLeast"/>
              <w:rPr>
                <w:rFonts w:cs="Arial"/>
                <w:b/>
                <w:bCs/>
                <w:sz w:val="22"/>
              </w:rPr>
            </w:pPr>
            <w:r w:rsidRPr="00340E30">
              <w:rPr>
                <w:rFonts w:cs="Arial"/>
                <w:bCs/>
                <w:sz w:val="22"/>
              </w:rPr>
              <w:t>Quantity of debt held at variable interest rates - upper limit</w:t>
            </w:r>
          </w:p>
        </w:tc>
        <w:tc>
          <w:tcPr>
            <w:tcW w:w="1417" w:type="dxa"/>
            <w:vAlign w:val="center"/>
          </w:tcPr>
          <w:p w14:paraId="05D6D482" w14:textId="77777777" w:rsidR="001D3250" w:rsidRPr="00340E30" w:rsidRDefault="001D3250" w:rsidP="001D3250">
            <w:pPr>
              <w:spacing w:after="120" w:line="180" w:lineRule="atLeast"/>
              <w:rPr>
                <w:rFonts w:cs="Arial"/>
                <w:sz w:val="22"/>
              </w:rPr>
            </w:pPr>
            <w:r w:rsidRPr="00340E30">
              <w:rPr>
                <w:rFonts w:cs="Arial"/>
                <w:sz w:val="22"/>
              </w:rPr>
              <w:t>30%</w:t>
            </w:r>
          </w:p>
        </w:tc>
        <w:tc>
          <w:tcPr>
            <w:tcW w:w="1418" w:type="dxa"/>
            <w:vAlign w:val="center"/>
          </w:tcPr>
          <w:p w14:paraId="1DA33C38" w14:textId="77777777" w:rsidR="001D3250" w:rsidRPr="00340E30" w:rsidRDefault="001D3250" w:rsidP="001D3250">
            <w:pPr>
              <w:spacing w:after="120" w:line="180" w:lineRule="atLeast"/>
              <w:rPr>
                <w:rFonts w:cs="Arial"/>
                <w:sz w:val="22"/>
              </w:rPr>
            </w:pPr>
            <w:r w:rsidRPr="00340E30">
              <w:rPr>
                <w:rFonts w:cs="Arial"/>
                <w:sz w:val="22"/>
              </w:rPr>
              <w:t>0%</w:t>
            </w:r>
          </w:p>
        </w:tc>
      </w:tr>
      <w:tr w:rsidR="001D3250" w:rsidRPr="00340E30" w14:paraId="3BC146C4" w14:textId="77777777" w:rsidTr="005342B6">
        <w:trPr>
          <w:trHeight w:val="510"/>
        </w:trPr>
        <w:tc>
          <w:tcPr>
            <w:tcW w:w="5812" w:type="dxa"/>
            <w:vAlign w:val="center"/>
          </w:tcPr>
          <w:p w14:paraId="24A0C851" w14:textId="77777777" w:rsidR="001D3250" w:rsidRPr="00340E30" w:rsidRDefault="001D3250" w:rsidP="001D3250">
            <w:pPr>
              <w:spacing w:line="180" w:lineRule="atLeast"/>
              <w:rPr>
                <w:rFonts w:cs="Arial"/>
                <w:bCs/>
                <w:sz w:val="22"/>
              </w:rPr>
            </w:pPr>
            <w:r w:rsidRPr="00340E30">
              <w:rPr>
                <w:rFonts w:cs="Arial"/>
                <w:bCs/>
                <w:sz w:val="22"/>
              </w:rPr>
              <w:t>Quantity of debt held at fixed interest rates - upper limit</w:t>
            </w:r>
          </w:p>
        </w:tc>
        <w:tc>
          <w:tcPr>
            <w:tcW w:w="1417" w:type="dxa"/>
            <w:vAlign w:val="center"/>
          </w:tcPr>
          <w:p w14:paraId="4731A2DE" w14:textId="77777777" w:rsidR="001D3250" w:rsidRPr="00340E30" w:rsidRDefault="001D3250" w:rsidP="001D3250">
            <w:pPr>
              <w:spacing w:line="180" w:lineRule="atLeast"/>
              <w:rPr>
                <w:rFonts w:cs="Arial"/>
                <w:sz w:val="22"/>
              </w:rPr>
            </w:pPr>
            <w:r w:rsidRPr="00340E30">
              <w:rPr>
                <w:rFonts w:cs="Arial"/>
                <w:sz w:val="22"/>
              </w:rPr>
              <w:t>100%</w:t>
            </w:r>
          </w:p>
        </w:tc>
        <w:tc>
          <w:tcPr>
            <w:tcW w:w="1418" w:type="dxa"/>
            <w:vAlign w:val="center"/>
          </w:tcPr>
          <w:p w14:paraId="5641F783" w14:textId="77777777" w:rsidR="001D3250" w:rsidRPr="00340E30" w:rsidRDefault="001D3250" w:rsidP="001D3250">
            <w:pPr>
              <w:spacing w:line="180" w:lineRule="atLeast"/>
              <w:rPr>
                <w:rFonts w:cs="Arial"/>
                <w:sz w:val="22"/>
              </w:rPr>
            </w:pPr>
            <w:r w:rsidRPr="00340E30">
              <w:rPr>
                <w:rFonts w:cs="Arial"/>
                <w:sz w:val="22"/>
              </w:rPr>
              <w:t>100%</w:t>
            </w:r>
          </w:p>
        </w:tc>
      </w:tr>
    </w:tbl>
    <w:p w14:paraId="00C48F72" w14:textId="77777777" w:rsidR="001D3250" w:rsidRPr="00D644B1" w:rsidRDefault="001D3250" w:rsidP="001D3250">
      <w:pPr>
        <w:rPr>
          <w:sz w:val="18"/>
          <w:szCs w:val="14"/>
        </w:rPr>
      </w:pPr>
      <w:r w:rsidRPr="00340E30">
        <w:rPr>
          <w:sz w:val="36"/>
          <w:szCs w:val="28"/>
        </w:rPr>
        <w:t xml:space="preserve">  </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1560"/>
        <w:gridCol w:w="1559"/>
        <w:gridCol w:w="1134"/>
      </w:tblGrid>
      <w:tr w:rsidR="001D3250" w:rsidRPr="00340E30" w14:paraId="1FAF7273" w14:textId="77777777" w:rsidTr="005342B6">
        <w:trPr>
          <w:cantSplit/>
          <w:trHeight w:val="20"/>
        </w:trPr>
        <w:tc>
          <w:tcPr>
            <w:tcW w:w="4394" w:type="dxa"/>
            <w:tcBorders>
              <w:right w:val="single" w:sz="4" w:space="0" w:color="auto"/>
            </w:tcBorders>
            <w:shd w:val="clear" w:color="auto" w:fill="0070C0"/>
            <w:vAlign w:val="center"/>
          </w:tcPr>
          <w:p w14:paraId="0FBFAB69" w14:textId="77777777" w:rsidR="001D3250" w:rsidRPr="00340E30" w:rsidRDefault="001D3250" w:rsidP="001D3250">
            <w:pPr>
              <w:spacing w:after="120" w:line="180" w:lineRule="atLeast"/>
              <w:rPr>
                <w:rFonts w:cs="Arial"/>
                <w:b/>
                <w:bCs/>
                <w:color w:val="FFFFFF" w:themeColor="background1"/>
                <w:sz w:val="22"/>
              </w:rPr>
            </w:pPr>
            <w:r w:rsidRPr="00340E30">
              <w:rPr>
                <w:rFonts w:cs="Arial"/>
                <w:b/>
                <w:bCs/>
                <w:color w:val="FFFFFF" w:themeColor="background1"/>
                <w:sz w:val="22"/>
              </w:rPr>
              <w:t>Table 2.22</w:t>
            </w:r>
          </w:p>
        </w:tc>
        <w:tc>
          <w:tcPr>
            <w:tcW w:w="4253" w:type="dxa"/>
            <w:gridSpan w:val="3"/>
            <w:tcBorders>
              <w:top w:val="nil"/>
              <w:left w:val="single" w:sz="4" w:space="0" w:color="auto"/>
              <w:bottom w:val="single" w:sz="4" w:space="0" w:color="auto"/>
              <w:right w:val="nil"/>
            </w:tcBorders>
            <w:vAlign w:val="center"/>
          </w:tcPr>
          <w:p w14:paraId="471F87F4" w14:textId="77777777" w:rsidR="001D3250" w:rsidRPr="00340E30" w:rsidRDefault="001D3250" w:rsidP="001D3250">
            <w:pPr>
              <w:spacing w:after="120" w:line="180" w:lineRule="atLeast"/>
              <w:rPr>
                <w:rFonts w:cs="Arial"/>
                <w:b/>
                <w:bCs/>
                <w:color w:val="FFFFFF" w:themeColor="background1"/>
                <w:sz w:val="22"/>
              </w:rPr>
            </w:pPr>
          </w:p>
        </w:tc>
      </w:tr>
      <w:tr w:rsidR="001D3250" w:rsidRPr="00340E30" w14:paraId="30CEE1DA" w14:textId="77777777" w:rsidTr="005342B6">
        <w:trPr>
          <w:cantSplit/>
          <w:trHeight w:val="20"/>
        </w:trPr>
        <w:tc>
          <w:tcPr>
            <w:tcW w:w="4394" w:type="dxa"/>
            <w:shd w:val="clear" w:color="auto" w:fill="0070C0"/>
            <w:vAlign w:val="center"/>
          </w:tcPr>
          <w:p w14:paraId="28C656A2" w14:textId="77777777" w:rsidR="001D3250" w:rsidRPr="00340E30" w:rsidRDefault="001D3250" w:rsidP="001D3250">
            <w:pPr>
              <w:spacing w:after="120" w:line="180" w:lineRule="atLeast"/>
              <w:rPr>
                <w:rFonts w:cs="Arial"/>
                <w:b/>
                <w:bCs/>
                <w:color w:val="FFFFFF" w:themeColor="background1"/>
                <w:sz w:val="22"/>
              </w:rPr>
            </w:pPr>
            <w:r w:rsidRPr="00340E30">
              <w:rPr>
                <w:rFonts w:cs="Arial"/>
                <w:b/>
                <w:bCs/>
                <w:color w:val="FFFFFF" w:themeColor="background1"/>
                <w:sz w:val="22"/>
              </w:rPr>
              <w:t xml:space="preserve">Maturity structure of fixed interest rate borrowing </w:t>
            </w:r>
          </w:p>
        </w:tc>
        <w:tc>
          <w:tcPr>
            <w:tcW w:w="1560" w:type="dxa"/>
            <w:tcBorders>
              <w:top w:val="single" w:sz="4" w:space="0" w:color="auto"/>
            </w:tcBorders>
            <w:shd w:val="clear" w:color="auto" w:fill="0070C0"/>
            <w:vAlign w:val="center"/>
          </w:tcPr>
          <w:p w14:paraId="5BF648CF" w14:textId="77777777" w:rsidR="001D3250" w:rsidRPr="00340E30" w:rsidRDefault="001D3250" w:rsidP="001D3250">
            <w:pPr>
              <w:spacing w:after="120" w:line="180" w:lineRule="atLeast"/>
              <w:rPr>
                <w:rFonts w:cs="Arial"/>
                <w:b/>
                <w:bCs/>
                <w:color w:val="FFFFFF" w:themeColor="background1"/>
                <w:sz w:val="22"/>
              </w:rPr>
            </w:pPr>
            <w:r w:rsidRPr="00340E30">
              <w:rPr>
                <w:rFonts w:cs="Arial"/>
                <w:b/>
                <w:bCs/>
                <w:color w:val="FFFFFF" w:themeColor="background1"/>
                <w:sz w:val="22"/>
              </w:rPr>
              <w:t>Lower Limit 2025/26</w:t>
            </w:r>
          </w:p>
        </w:tc>
        <w:tc>
          <w:tcPr>
            <w:tcW w:w="1559" w:type="dxa"/>
            <w:tcBorders>
              <w:top w:val="single" w:sz="4" w:space="0" w:color="auto"/>
            </w:tcBorders>
            <w:shd w:val="clear" w:color="auto" w:fill="0070C0"/>
            <w:vAlign w:val="center"/>
          </w:tcPr>
          <w:p w14:paraId="125423BD" w14:textId="77777777" w:rsidR="001D3250" w:rsidRPr="00340E30" w:rsidRDefault="001D3250" w:rsidP="001D3250">
            <w:pPr>
              <w:spacing w:after="120" w:line="180" w:lineRule="atLeast"/>
              <w:rPr>
                <w:rFonts w:cs="Arial"/>
                <w:b/>
                <w:bCs/>
                <w:color w:val="FFFFFF" w:themeColor="background1"/>
                <w:sz w:val="22"/>
              </w:rPr>
            </w:pPr>
            <w:r w:rsidRPr="00340E30">
              <w:rPr>
                <w:rFonts w:cs="Arial"/>
                <w:b/>
                <w:bCs/>
                <w:color w:val="FFFFFF" w:themeColor="background1"/>
                <w:sz w:val="22"/>
              </w:rPr>
              <w:t>Upper Limit 2025/26</w:t>
            </w:r>
          </w:p>
        </w:tc>
        <w:tc>
          <w:tcPr>
            <w:tcW w:w="1134" w:type="dxa"/>
            <w:tcBorders>
              <w:top w:val="single" w:sz="4" w:space="0" w:color="auto"/>
            </w:tcBorders>
            <w:shd w:val="clear" w:color="auto" w:fill="0070C0"/>
          </w:tcPr>
          <w:p w14:paraId="40EBCAC6" w14:textId="77777777" w:rsidR="001D3250" w:rsidRPr="00340E30" w:rsidRDefault="001D3250" w:rsidP="001D3250">
            <w:pPr>
              <w:spacing w:after="120" w:line="180" w:lineRule="atLeast"/>
              <w:rPr>
                <w:rFonts w:cs="Arial"/>
                <w:b/>
                <w:bCs/>
                <w:color w:val="FFFFFF" w:themeColor="background1"/>
                <w:sz w:val="22"/>
              </w:rPr>
            </w:pPr>
            <w:r w:rsidRPr="00340E30">
              <w:rPr>
                <w:rFonts w:cs="Arial"/>
                <w:b/>
                <w:bCs/>
                <w:color w:val="FFFFFF" w:themeColor="background1"/>
                <w:sz w:val="22"/>
              </w:rPr>
              <w:t>Forecast 2025/26</w:t>
            </w:r>
          </w:p>
        </w:tc>
      </w:tr>
      <w:tr w:rsidR="001D3250" w:rsidRPr="00340E30" w14:paraId="34748CC7" w14:textId="77777777" w:rsidTr="005342B6">
        <w:trPr>
          <w:cantSplit/>
          <w:trHeight w:val="397"/>
        </w:trPr>
        <w:tc>
          <w:tcPr>
            <w:tcW w:w="4394" w:type="dxa"/>
            <w:vAlign w:val="center"/>
          </w:tcPr>
          <w:p w14:paraId="0BBB2C75" w14:textId="77777777" w:rsidR="001D3250" w:rsidRPr="00340E30" w:rsidRDefault="001D3250" w:rsidP="001D3250">
            <w:pPr>
              <w:rPr>
                <w:rFonts w:cs="Arial"/>
                <w:sz w:val="22"/>
              </w:rPr>
            </w:pPr>
            <w:r w:rsidRPr="00340E30">
              <w:rPr>
                <w:rFonts w:cs="Arial"/>
                <w:sz w:val="22"/>
              </w:rPr>
              <w:t>Under 12 months</w:t>
            </w:r>
          </w:p>
        </w:tc>
        <w:tc>
          <w:tcPr>
            <w:tcW w:w="1560" w:type="dxa"/>
            <w:vAlign w:val="center"/>
          </w:tcPr>
          <w:p w14:paraId="26A54A30" w14:textId="77777777" w:rsidR="001D3250" w:rsidRPr="00340E30" w:rsidRDefault="001D3250" w:rsidP="001D3250">
            <w:pPr>
              <w:rPr>
                <w:rFonts w:cs="Arial"/>
                <w:sz w:val="22"/>
              </w:rPr>
            </w:pPr>
            <w:r w:rsidRPr="00340E30">
              <w:rPr>
                <w:rFonts w:cs="Arial"/>
                <w:sz w:val="22"/>
              </w:rPr>
              <w:t>0%</w:t>
            </w:r>
          </w:p>
        </w:tc>
        <w:tc>
          <w:tcPr>
            <w:tcW w:w="1559" w:type="dxa"/>
            <w:vAlign w:val="center"/>
          </w:tcPr>
          <w:p w14:paraId="2E1BEA6E" w14:textId="77777777" w:rsidR="001D3250" w:rsidRPr="00340E30" w:rsidRDefault="001D3250" w:rsidP="001D3250">
            <w:pPr>
              <w:rPr>
                <w:rFonts w:cs="Arial"/>
                <w:sz w:val="22"/>
              </w:rPr>
            </w:pPr>
            <w:r w:rsidRPr="00340E30">
              <w:rPr>
                <w:rFonts w:cs="Arial"/>
                <w:sz w:val="22"/>
              </w:rPr>
              <w:t>15%</w:t>
            </w:r>
          </w:p>
        </w:tc>
        <w:tc>
          <w:tcPr>
            <w:tcW w:w="1134" w:type="dxa"/>
            <w:vAlign w:val="center"/>
          </w:tcPr>
          <w:p w14:paraId="7FFD5360" w14:textId="77777777" w:rsidR="001D3250" w:rsidRPr="00340E30" w:rsidRDefault="001D3250" w:rsidP="001D3250">
            <w:pPr>
              <w:rPr>
                <w:rFonts w:cs="Arial"/>
                <w:sz w:val="22"/>
              </w:rPr>
            </w:pPr>
            <w:r w:rsidRPr="00340E30">
              <w:rPr>
                <w:rFonts w:cs="Arial"/>
                <w:sz w:val="22"/>
              </w:rPr>
              <w:t xml:space="preserve"> 2%</w:t>
            </w:r>
          </w:p>
        </w:tc>
      </w:tr>
      <w:tr w:rsidR="001D3250" w:rsidRPr="00340E30" w14:paraId="01D06D2D" w14:textId="77777777" w:rsidTr="005342B6">
        <w:trPr>
          <w:cantSplit/>
          <w:trHeight w:val="397"/>
        </w:trPr>
        <w:tc>
          <w:tcPr>
            <w:tcW w:w="4394" w:type="dxa"/>
            <w:vAlign w:val="center"/>
          </w:tcPr>
          <w:p w14:paraId="76496E5B" w14:textId="77777777" w:rsidR="001D3250" w:rsidRPr="00340E30" w:rsidRDefault="001D3250" w:rsidP="001D3250">
            <w:pPr>
              <w:rPr>
                <w:rFonts w:cs="Arial"/>
                <w:sz w:val="22"/>
              </w:rPr>
            </w:pPr>
            <w:r w:rsidRPr="00340E30">
              <w:rPr>
                <w:rFonts w:cs="Arial"/>
                <w:sz w:val="22"/>
              </w:rPr>
              <w:t>12 months to 2 years</w:t>
            </w:r>
          </w:p>
        </w:tc>
        <w:tc>
          <w:tcPr>
            <w:tcW w:w="1560" w:type="dxa"/>
            <w:vAlign w:val="center"/>
          </w:tcPr>
          <w:p w14:paraId="7A1B7E82" w14:textId="77777777" w:rsidR="001D3250" w:rsidRPr="00340E30" w:rsidRDefault="001D3250" w:rsidP="001D3250">
            <w:pPr>
              <w:rPr>
                <w:rFonts w:cs="Arial"/>
                <w:sz w:val="22"/>
              </w:rPr>
            </w:pPr>
            <w:r w:rsidRPr="00340E30">
              <w:rPr>
                <w:rFonts w:cs="Arial"/>
                <w:sz w:val="22"/>
              </w:rPr>
              <w:t>0%</w:t>
            </w:r>
          </w:p>
        </w:tc>
        <w:tc>
          <w:tcPr>
            <w:tcW w:w="1559" w:type="dxa"/>
            <w:vAlign w:val="center"/>
          </w:tcPr>
          <w:p w14:paraId="0BD13F56" w14:textId="77777777" w:rsidR="001D3250" w:rsidRPr="00340E30" w:rsidRDefault="001D3250" w:rsidP="001D3250">
            <w:pPr>
              <w:rPr>
                <w:rFonts w:cs="Arial"/>
                <w:sz w:val="22"/>
              </w:rPr>
            </w:pPr>
            <w:r w:rsidRPr="00340E30">
              <w:rPr>
                <w:rFonts w:cs="Arial"/>
                <w:sz w:val="22"/>
              </w:rPr>
              <w:t>15%</w:t>
            </w:r>
          </w:p>
        </w:tc>
        <w:tc>
          <w:tcPr>
            <w:tcW w:w="1134" w:type="dxa"/>
            <w:vAlign w:val="center"/>
          </w:tcPr>
          <w:p w14:paraId="75776E53" w14:textId="77777777" w:rsidR="001D3250" w:rsidRPr="00340E30" w:rsidRDefault="001D3250" w:rsidP="001D3250">
            <w:pPr>
              <w:rPr>
                <w:rFonts w:cs="Arial"/>
                <w:sz w:val="22"/>
              </w:rPr>
            </w:pPr>
            <w:r w:rsidRPr="00340E30">
              <w:rPr>
                <w:rFonts w:cs="Arial"/>
                <w:sz w:val="22"/>
              </w:rPr>
              <w:t>6%</w:t>
            </w:r>
          </w:p>
        </w:tc>
      </w:tr>
      <w:tr w:rsidR="001D3250" w:rsidRPr="00340E30" w14:paraId="4B5BFEE8" w14:textId="77777777" w:rsidTr="005342B6">
        <w:trPr>
          <w:cantSplit/>
          <w:trHeight w:val="397"/>
        </w:trPr>
        <w:tc>
          <w:tcPr>
            <w:tcW w:w="4394" w:type="dxa"/>
            <w:vAlign w:val="center"/>
          </w:tcPr>
          <w:p w14:paraId="33F9171D" w14:textId="77777777" w:rsidR="001D3250" w:rsidRPr="00340E30" w:rsidRDefault="001D3250" w:rsidP="001D3250">
            <w:pPr>
              <w:rPr>
                <w:rFonts w:cs="Arial"/>
                <w:sz w:val="22"/>
              </w:rPr>
            </w:pPr>
            <w:r w:rsidRPr="00340E30">
              <w:rPr>
                <w:rFonts w:cs="Arial"/>
                <w:sz w:val="22"/>
              </w:rPr>
              <w:t>2 years to 5 years</w:t>
            </w:r>
          </w:p>
        </w:tc>
        <w:tc>
          <w:tcPr>
            <w:tcW w:w="1560" w:type="dxa"/>
            <w:vAlign w:val="center"/>
          </w:tcPr>
          <w:p w14:paraId="75F87D1D" w14:textId="77777777" w:rsidR="001D3250" w:rsidRPr="00340E30" w:rsidRDefault="001D3250" w:rsidP="001D3250">
            <w:pPr>
              <w:rPr>
                <w:rFonts w:cs="Arial"/>
                <w:sz w:val="22"/>
              </w:rPr>
            </w:pPr>
            <w:r w:rsidRPr="00340E30">
              <w:rPr>
                <w:rFonts w:cs="Arial"/>
                <w:sz w:val="22"/>
              </w:rPr>
              <w:t>0%</w:t>
            </w:r>
          </w:p>
        </w:tc>
        <w:tc>
          <w:tcPr>
            <w:tcW w:w="1559" w:type="dxa"/>
            <w:vAlign w:val="center"/>
          </w:tcPr>
          <w:p w14:paraId="58E4C09D" w14:textId="77777777" w:rsidR="001D3250" w:rsidRPr="00340E30" w:rsidRDefault="001D3250" w:rsidP="001D3250">
            <w:pPr>
              <w:rPr>
                <w:rFonts w:cs="Arial"/>
                <w:sz w:val="22"/>
              </w:rPr>
            </w:pPr>
            <w:r w:rsidRPr="00340E30">
              <w:rPr>
                <w:rFonts w:cs="Arial"/>
                <w:sz w:val="22"/>
              </w:rPr>
              <w:t>20%</w:t>
            </w:r>
          </w:p>
        </w:tc>
        <w:tc>
          <w:tcPr>
            <w:tcW w:w="1134" w:type="dxa"/>
            <w:vAlign w:val="center"/>
          </w:tcPr>
          <w:p w14:paraId="5ABE2345" w14:textId="77777777" w:rsidR="001D3250" w:rsidRPr="00340E30" w:rsidRDefault="001D3250" w:rsidP="001D3250">
            <w:pPr>
              <w:rPr>
                <w:rFonts w:cs="Arial"/>
                <w:sz w:val="22"/>
              </w:rPr>
            </w:pPr>
            <w:r w:rsidRPr="00340E30">
              <w:rPr>
                <w:rFonts w:cs="Arial"/>
                <w:sz w:val="22"/>
              </w:rPr>
              <w:t>19%</w:t>
            </w:r>
          </w:p>
        </w:tc>
      </w:tr>
      <w:tr w:rsidR="001D3250" w:rsidRPr="00340E30" w14:paraId="7A12430F" w14:textId="77777777" w:rsidTr="005342B6">
        <w:trPr>
          <w:cantSplit/>
          <w:trHeight w:val="397"/>
        </w:trPr>
        <w:tc>
          <w:tcPr>
            <w:tcW w:w="4394" w:type="dxa"/>
            <w:vAlign w:val="center"/>
          </w:tcPr>
          <w:p w14:paraId="234EF941" w14:textId="77777777" w:rsidR="001D3250" w:rsidRPr="00340E30" w:rsidRDefault="001D3250" w:rsidP="001D3250">
            <w:pPr>
              <w:rPr>
                <w:rFonts w:cs="Arial"/>
                <w:sz w:val="22"/>
              </w:rPr>
            </w:pPr>
            <w:r w:rsidRPr="00340E30">
              <w:rPr>
                <w:rFonts w:cs="Arial"/>
                <w:sz w:val="22"/>
              </w:rPr>
              <w:t>5 years to 10 years</w:t>
            </w:r>
          </w:p>
        </w:tc>
        <w:tc>
          <w:tcPr>
            <w:tcW w:w="1560" w:type="dxa"/>
            <w:vAlign w:val="center"/>
          </w:tcPr>
          <w:p w14:paraId="27BCE677" w14:textId="77777777" w:rsidR="001D3250" w:rsidRPr="00340E30" w:rsidRDefault="001D3250" w:rsidP="001D3250">
            <w:pPr>
              <w:rPr>
                <w:rFonts w:cs="Arial"/>
                <w:sz w:val="22"/>
              </w:rPr>
            </w:pPr>
            <w:r w:rsidRPr="00340E30">
              <w:rPr>
                <w:rFonts w:cs="Arial"/>
                <w:sz w:val="22"/>
              </w:rPr>
              <w:t>0%</w:t>
            </w:r>
          </w:p>
        </w:tc>
        <w:tc>
          <w:tcPr>
            <w:tcW w:w="1559" w:type="dxa"/>
            <w:vAlign w:val="center"/>
          </w:tcPr>
          <w:p w14:paraId="14E23162" w14:textId="77777777" w:rsidR="001D3250" w:rsidRPr="00340E30" w:rsidRDefault="001D3250" w:rsidP="001D3250">
            <w:pPr>
              <w:rPr>
                <w:rFonts w:cs="Arial"/>
                <w:sz w:val="22"/>
              </w:rPr>
            </w:pPr>
            <w:r w:rsidRPr="00340E30">
              <w:rPr>
                <w:rFonts w:cs="Arial"/>
                <w:sz w:val="22"/>
              </w:rPr>
              <w:t>30%</w:t>
            </w:r>
          </w:p>
        </w:tc>
        <w:tc>
          <w:tcPr>
            <w:tcW w:w="1134" w:type="dxa"/>
            <w:vAlign w:val="center"/>
          </w:tcPr>
          <w:p w14:paraId="448D4163" w14:textId="77777777" w:rsidR="001D3250" w:rsidRPr="00340E30" w:rsidRDefault="001D3250" w:rsidP="001D3250">
            <w:pPr>
              <w:rPr>
                <w:rFonts w:cs="Arial"/>
                <w:sz w:val="22"/>
              </w:rPr>
            </w:pPr>
            <w:r w:rsidRPr="00340E30">
              <w:rPr>
                <w:rFonts w:cs="Arial"/>
                <w:sz w:val="22"/>
              </w:rPr>
              <w:t>24%</w:t>
            </w:r>
          </w:p>
        </w:tc>
      </w:tr>
      <w:tr w:rsidR="001D3250" w:rsidRPr="00340E30" w14:paraId="0ECA5DE2" w14:textId="77777777" w:rsidTr="005342B6">
        <w:trPr>
          <w:cantSplit/>
          <w:trHeight w:val="397"/>
        </w:trPr>
        <w:tc>
          <w:tcPr>
            <w:tcW w:w="4394" w:type="dxa"/>
            <w:vAlign w:val="center"/>
          </w:tcPr>
          <w:p w14:paraId="29A39D52" w14:textId="77777777" w:rsidR="001D3250" w:rsidRPr="00340E30" w:rsidRDefault="001D3250" w:rsidP="001D3250">
            <w:pPr>
              <w:rPr>
                <w:rFonts w:cs="Arial"/>
                <w:sz w:val="22"/>
              </w:rPr>
            </w:pPr>
            <w:r w:rsidRPr="00340E30">
              <w:rPr>
                <w:rFonts w:cs="Arial"/>
                <w:sz w:val="22"/>
              </w:rPr>
              <w:t>10 years and above</w:t>
            </w:r>
          </w:p>
        </w:tc>
        <w:tc>
          <w:tcPr>
            <w:tcW w:w="1560" w:type="dxa"/>
            <w:vAlign w:val="center"/>
          </w:tcPr>
          <w:p w14:paraId="04D72AD5" w14:textId="77777777" w:rsidR="001D3250" w:rsidRPr="00340E30" w:rsidRDefault="001D3250" w:rsidP="001D3250">
            <w:pPr>
              <w:rPr>
                <w:rFonts w:cs="Arial"/>
                <w:sz w:val="22"/>
              </w:rPr>
            </w:pPr>
            <w:r w:rsidRPr="00340E30">
              <w:rPr>
                <w:rFonts w:cs="Arial"/>
                <w:sz w:val="22"/>
              </w:rPr>
              <w:t>30%</w:t>
            </w:r>
          </w:p>
        </w:tc>
        <w:tc>
          <w:tcPr>
            <w:tcW w:w="1559" w:type="dxa"/>
            <w:vAlign w:val="center"/>
          </w:tcPr>
          <w:p w14:paraId="4D92F143" w14:textId="77777777" w:rsidR="001D3250" w:rsidRPr="00340E30" w:rsidRDefault="001D3250" w:rsidP="001D3250">
            <w:pPr>
              <w:rPr>
                <w:rFonts w:cs="Arial"/>
                <w:sz w:val="22"/>
              </w:rPr>
            </w:pPr>
            <w:r w:rsidRPr="00340E30">
              <w:rPr>
                <w:rFonts w:cs="Arial"/>
                <w:sz w:val="22"/>
              </w:rPr>
              <w:t>90%</w:t>
            </w:r>
          </w:p>
        </w:tc>
        <w:tc>
          <w:tcPr>
            <w:tcW w:w="1134" w:type="dxa"/>
            <w:vAlign w:val="center"/>
          </w:tcPr>
          <w:p w14:paraId="193E86E9" w14:textId="77777777" w:rsidR="001D3250" w:rsidRPr="00340E30" w:rsidRDefault="001D3250" w:rsidP="001D3250">
            <w:pPr>
              <w:rPr>
                <w:rFonts w:cs="Arial"/>
                <w:sz w:val="22"/>
              </w:rPr>
            </w:pPr>
            <w:r w:rsidRPr="00340E30">
              <w:rPr>
                <w:rFonts w:cs="Arial"/>
                <w:sz w:val="22"/>
              </w:rPr>
              <w:t>49%</w:t>
            </w:r>
          </w:p>
        </w:tc>
      </w:tr>
    </w:tbl>
    <w:p w14:paraId="0480544A" w14:textId="77777777" w:rsidR="001D3250" w:rsidRPr="00340E30" w:rsidRDefault="001D3250" w:rsidP="001D3250">
      <w:pPr>
        <w:rPr>
          <w:b/>
        </w:rPr>
      </w:pPr>
    </w:p>
    <w:p w14:paraId="4A2E3C4D" w14:textId="77777777" w:rsidR="001D3250" w:rsidRPr="00CB5B5D" w:rsidRDefault="001D3250" w:rsidP="001D3250">
      <w:pPr>
        <w:tabs>
          <w:tab w:val="center" w:pos="4513"/>
          <w:tab w:val="right" w:pos="9026"/>
        </w:tabs>
        <w:rPr>
          <w:rFonts w:cs="Arial"/>
          <w:b/>
          <w:bCs/>
        </w:rPr>
      </w:pPr>
      <w:r w:rsidRPr="00340E30">
        <w:rPr>
          <w:rFonts w:cs="Arial"/>
          <w:b/>
          <w:bCs/>
        </w:rPr>
        <w:t>Treasury Management - Investment Activity</w:t>
      </w:r>
    </w:p>
    <w:p w14:paraId="6ACC3042" w14:textId="5CDF9E57" w:rsidR="001D3250" w:rsidRPr="00340E30" w:rsidRDefault="001D3250" w:rsidP="001D3250">
      <w:pPr>
        <w:tabs>
          <w:tab w:val="center" w:pos="4513"/>
          <w:tab w:val="right" w:pos="9026"/>
        </w:tabs>
        <w:rPr>
          <w:rFonts w:cs="Arial"/>
          <w:bCs/>
        </w:rPr>
      </w:pPr>
      <w:r w:rsidRPr="00340E30">
        <w:rPr>
          <w:rFonts w:cs="Arial"/>
          <w:bCs/>
        </w:rPr>
        <w:t xml:space="preserve">The objectives of the Council’s investment strategy </w:t>
      </w:r>
      <w:r>
        <w:rPr>
          <w:rFonts w:cs="Arial"/>
          <w:bCs/>
        </w:rPr>
        <w:t>were</w:t>
      </w:r>
      <w:r w:rsidRPr="00340E30">
        <w:rPr>
          <w:rFonts w:cs="Arial"/>
          <w:bCs/>
        </w:rPr>
        <w:t xml:space="preserve"> safeguarding the repayment of the principal and interest on its investments on time, with the investment return being a secondary objective. The current investment climate continues to be one of overriding risk consideration, particularly that of counterparty risk.  In line with advice provided by treasury management consultants, officers continue to implement an operational investment strategy of placing short-term investments with approved high-quality counterparties.  </w:t>
      </w:r>
    </w:p>
    <w:p w14:paraId="36644F76" w14:textId="77777777" w:rsidR="001D3250" w:rsidRPr="00340E30" w:rsidRDefault="001D3250" w:rsidP="001D3250">
      <w:pPr>
        <w:tabs>
          <w:tab w:val="center" w:pos="4513"/>
          <w:tab w:val="right" w:pos="9026"/>
        </w:tabs>
        <w:rPr>
          <w:rFonts w:cs="Arial"/>
          <w:bCs/>
        </w:rPr>
      </w:pPr>
    </w:p>
    <w:p w14:paraId="41492288" w14:textId="77777777" w:rsidR="001D3250" w:rsidRPr="00340E30" w:rsidRDefault="001D3250" w:rsidP="001D3250">
      <w:pPr>
        <w:tabs>
          <w:tab w:val="center" w:pos="4513"/>
          <w:tab w:val="right" w:pos="9026"/>
        </w:tabs>
        <w:rPr>
          <w:rFonts w:cs="Arial"/>
          <w:bCs/>
        </w:rPr>
      </w:pPr>
      <w:r w:rsidRPr="00340E30">
        <w:rPr>
          <w:rFonts w:cs="Arial"/>
        </w:rPr>
        <w:t>F</w:t>
      </w:r>
      <w:r w:rsidRPr="00340E30">
        <w:rPr>
          <w:rFonts w:cs="Arial"/>
          <w:bCs/>
        </w:rPr>
        <w:t xml:space="preserve">or the period 1 April to 30 September 2025, Council has earned interest of £244k on investment deals with approved financial institutions as summarised below:  </w:t>
      </w:r>
    </w:p>
    <w:p w14:paraId="2DBE8BE1" w14:textId="77777777" w:rsidR="001D3250" w:rsidRPr="00340E30" w:rsidRDefault="001D3250" w:rsidP="001D3250">
      <w:pPr>
        <w:tabs>
          <w:tab w:val="center" w:pos="4513"/>
          <w:tab w:val="right" w:pos="9026"/>
        </w:tabs>
        <w:jc w:val="both"/>
        <w:rPr>
          <w:rFonts w:cs="Arial"/>
          <w:bCs/>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1276"/>
        <w:gridCol w:w="1276"/>
        <w:gridCol w:w="1277"/>
        <w:gridCol w:w="1274"/>
      </w:tblGrid>
      <w:tr w:rsidR="001D3250" w:rsidRPr="00340E30" w14:paraId="5FBFD465" w14:textId="77777777" w:rsidTr="005342B6">
        <w:tc>
          <w:tcPr>
            <w:tcW w:w="3969" w:type="dxa"/>
            <w:shd w:val="clear" w:color="auto" w:fill="0070C0"/>
          </w:tcPr>
          <w:p w14:paraId="020913BA" w14:textId="77777777" w:rsidR="001D3250" w:rsidRPr="00340E30" w:rsidRDefault="001D3250" w:rsidP="005342B6">
            <w:pPr>
              <w:contextualSpacing/>
              <w:rPr>
                <w:rFonts w:cs="Arial"/>
                <w:b/>
                <w:color w:val="FFFFFF" w:themeColor="background1"/>
                <w:sz w:val="22"/>
              </w:rPr>
            </w:pPr>
            <w:r w:rsidRPr="00340E30">
              <w:rPr>
                <w:rFonts w:cs="Arial"/>
                <w:b/>
                <w:color w:val="FFFFFF" w:themeColor="background1"/>
                <w:sz w:val="22"/>
              </w:rPr>
              <w:t>Table 2.31</w:t>
            </w:r>
          </w:p>
        </w:tc>
        <w:tc>
          <w:tcPr>
            <w:tcW w:w="1276" w:type="dxa"/>
            <w:shd w:val="clear" w:color="auto" w:fill="0070C0"/>
            <w:vAlign w:val="center"/>
          </w:tcPr>
          <w:p w14:paraId="31468A02" w14:textId="77777777" w:rsidR="001D3250" w:rsidRPr="00340E30" w:rsidRDefault="001D3250" w:rsidP="005342B6">
            <w:pPr>
              <w:contextualSpacing/>
              <w:jc w:val="center"/>
              <w:rPr>
                <w:rFonts w:cs="Arial"/>
                <w:b/>
                <w:color w:val="FFFFFF" w:themeColor="background1"/>
                <w:sz w:val="22"/>
              </w:rPr>
            </w:pPr>
            <w:r w:rsidRPr="00340E30">
              <w:rPr>
                <w:rFonts w:cs="Arial"/>
                <w:b/>
                <w:color w:val="FFFFFF" w:themeColor="background1"/>
                <w:sz w:val="22"/>
              </w:rPr>
              <w:t>Average Deposit Size</w:t>
            </w:r>
          </w:p>
        </w:tc>
        <w:tc>
          <w:tcPr>
            <w:tcW w:w="1276" w:type="dxa"/>
            <w:shd w:val="clear" w:color="auto" w:fill="0070C0"/>
            <w:vAlign w:val="center"/>
          </w:tcPr>
          <w:p w14:paraId="7A29347C" w14:textId="77777777" w:rsidR="001D3250" w:rsidRPr="00340E30" w:rsidRDefault="001D3250" w:rsidP="005342B6">
            <w:pPr>
              <w:contextualSpacing/>
              <w:jc w:val="center"/>
              <w:rPr>
                <w:rFonts w:cs="Arial"/>
                <w:b/>
                <w:color w:val="FFFFFF" w:themeColor="background1"/>
                <w:sz w:val="22"/>
              </w:rPr>
            </w:pPr>
            <w:r w:rsidRPr="00340E30">
              <w:rPr>
                <w:rFonts w:cs="Arial"/>
                <w:b/>
                <w:color w:val="FFFFFF" w:themeColor="background1"/>
                <w:sz w:val="22"/>
              </w:rPr>
              <w:t>Average Term</w:t>
            </w:r>
          </w:p>
        </w:tc>
        <w:tc>
          <w:tcPr>
            <w:tcW w:w="1277" w:type="dxa"/>
            <w:shd w:val="clear" w:color="auto" w:fill="0070C0"/>
            <w:vAlign w:val="center"/>
          </w:tcPr>
          <w:p w14:paraId="19CF6E03" w14:textId="77777777" w:rsidR="001D3250" w:rsidRPr="00340E30" w:rsidRDefault="001D3250" w:rsidP="005342B6">
            <w:pPr>
              <w:contextualSpacing/>
              <w:jc w:val="center"/>
              <w:rPr>
                <w:rFonts w:cs="Arial"/>
                <w:b/>
                <w:color w:val="FFFFFF" w:themeColor="background1"/>
                <w:sz w:val="22"/>
              </w:rPr>
            </w:pPr>
            <w:r w:rsidRPr="00340E30">
              <w:rPr>
                <w:rFonts w:cs="Arial"/>
                <w:b/>
                <w:color w:val="FFFFFF" w:themeColor="background1"/>
                <w:sz w:val="22"/>
              </w:rPr>
              <w:t>Average Interest Rate</w:t>
            </w:r>
          </w:p>
        </w:tc>
        <w:tc>
          <w:tcPr>
            <w:tcW w:w="1274" w:type="dxa"/>
            <w:shd w:val="clear" w:color="auto" w:fill="0070C0"/>
            <w:vAlign w:val="center"/>
          </w:tcPr>
          <w:p w14:paraId="45BC3165" w14:textId="77777777" w:rsidR="001D3250" w:rsidRPr="00340E30" w:rsidRDefault="001D3250" w:rsidP="005342B6">
            <w:pPr>
              <w:contextualSpacing/>
              <w:jc w:val="center"/>
              <w:rPr>
                <w:rFonts w:cs="Arial"/>
                <w:b/>
                <w:color w:val="FFFFFF" w:themeColor="background1"/>
                <w:sz w:val="22"/>
              </w:rPr>
            </w:pPr>
            <w:r w:rsidRPr="00340E30">
              <w:rPr>
                <w:rFonts w:cs="Arial"/>
                <w:b/>
                <w:color w:val="FFFFFF" w:themeColor="background1"/>
                <w:sz w:val="22"/>
              </w:rPr>
              <w:t>Interest Earned</w:t>
            </w:r>
          </w:p>
        </w:tc>
      </w:tr>
      <w:tr w:rsidR="001D3250" w:rsidRPr="00340E30" w14:paraId="23B50D00" w14:textId="77777777" w:rsidTr="005342B6">
        <w:trPr>
          <w:trHeight w:val="397"/>
        </w:trPr>
        <w:tc>
          <w:tcPr>
            <w:tcW w:w="3969" w:type="dxa"/>
            <w:vAlign w:val="center"/>
          </w:tcPr>
          <w:p w14:paraId="5D440553" w14:textId="77777777" w:rsidR="001D3250" w:rsidRPr="00340E30" w:rsidRDefault="001D3250" w:rsidP="005342B6">
            <w:pPr>
              <w:contextualSpacing/>
              <w:rPr>
                <w:rFonts w:cs="Arial"/>
                <w:bCs/>
                <w:szCs w:val="24"/>
              </w:rPr>
            </w:pPr>
            <w:r w:rsidRPr="00340E30">
              <w:rPr>
                <w:rFonts w:cs="Arial"/>
                <w:bCs/>
                <w:szCs w:val="24"/>
              </w:rPr>
              <w:t>CCLA Public Sector Deposit Fund</w:t>
            </w:r>
          </w:p>
        </w:tc>
        <w:tc>
          <w:tcPr>
            <w:tcW w:w="1276" w:type="dxa"/>
            <w:vAlign w:val="center"/>
          </w:tcPr>
          <w:p w14:paraId="158D2ACE" w14:textId="77777777" w:rsidR="001D3250" w:rsidRPr="00340E30" w:rsidRDefault="001D3250" w:rsidP="005342B6">
            <w:pPr>
              <w:contextualSpacing/>
              <w:jc w:val="center"/>
              <w:rPr>
                <w:rFonts w:cs="Arial"/>
                <w:szCs w:val="24"/>
              </w:rPr>
            </w:pPr>
            <w:r w:rsidRPr="00340E30">
              <w:rPr>
                <w:rFonts w:cs="Arial"/>
                <w:szCs w:val="24"/>
              </w:rPr>
              <w:t>£3.0m</w:t>
            </w:r>
          </w:p>
        </w:tc>
        <w:tc>
          <w:tcPr>
            <w:tcW w:w="1276" w:type="dxa"/>
            <w:vAlign w:val="center"/>
          </w:tcPr>
          <w:p w14:paraId="63AFD8A8" w14:textId="77777777" w:rsidR="001D3250" w:rsidRPr="00340E30" w:rsidRDefault="001D3250" w:rsidP="005342B6">
            <w:pPr>
              <w:contextualSpacing/>
              <w:jc w:val="center"/>
              <w:rPr>
                <w:rFonts w:cs="Arial"/>
                <w:szCs w:val="24"/>
              </w:rPr>
            </w:pPr>
            <w:r w:rsidRPr="00340E30">
              <w:rPr>
                <w:rFonts w:cs="Arial"/>
                <w:szCs w:val="24"/>
              </w:rPr>
              <w:t>Call A/c</w:t>
            </w:r>
          </w:p>
        </w:tc>
        <w:tc>
          <w:tcPr>
            <w:tcW w:w="1277" w:type="dxa"/>
            <w:vAlign w:val="center"/>
          </w:tcPr>
          <w:p w14:paraId="6C178B3B" w14:textId="77777777" w:rsidR="001D3250" w:rsidRPr="00340E30" w:rsidRDefault="001D3250" w:rsidP="005342B6">
            <w:pPr>
              <w:contextualSpacing/>
              <w:jc w:val="center"/>
              <w:rPr>
                <w:rFonts w:cs="Arial"/>
                <w:szCs w:val="24"/>
              </w:rPr>
            </w:pPr>
            <w:r w:rsidRPr="00340E30">
              <w:rPr>
                <w:rFonts w:cs="Arial"/>
                <w:szCs w:val="24"/>
              </w:rPr>
              <w:t>4.46%</w:t>
            </w:r>
          </w:p>
        </w:tc>
        <w:tc>
          <w:tcPr>
            <w:tcW w:w="1274" w:type="dxa"/>
            <w:vAlign w:val="center"/>
          </w:tcPr>
          <w:p w14:paraId="5E454D58" w14:textId="77777777" w:rsidR="001D3250" w:rsidRPr="00340E30" w:rsidRDefault="001D3250" w:rsidP="005342B6">
            <w:pPr>
              <w:contextualSpacing/>
              <w:jc w:val="right"/>
              <w:rPr>
                <w:rFonts w:cs="Arial"/>
                <w:szCs w:val="24"/>
              </w:rPr>
            </w:pPr>
            <w:r w:rsidRPr="00340E30">
              <w:rPr>
                <w:rFonts w:cs="Arial"/>
                <w:szCs w:val="24"/>
              </w:rPr>
              <w:t>£55,053</w:t>
            </w:r>
          </w:p>
        </w:tc>
      </w:tr>
      <w:tr w:rsidR="001D3250" w:rsidRPr="00340E30" w14:paraId="0AA5E3AC" w14:textId="77777777" w:rsidTr="005342B6">
        <w:trPr>
          <w:trHeight w:val="397"/>
        </w:trPr>
        <w:tc>
          <w:tcPr>
            <w:tcW w:w="3969" w:type="dxa"/>
            <w:vAlign w:val="center"/>
          </w:tcPr>
          <w:p w14:paraId="73C07F48" w14:textId="77777777" w:rsidR="001D3250" w:rsidRPr="00340E30" w:rsidRDefault="001D3250" w:rsidP="005342B6">
            <w:pPr>
              <w:contextualSpacing/>
              <w:rPr>
                <w:rFonts w:cs="Arial"/>
                <w:bCs/>
                <w:szCs w:val="24"/>
              </w:rPr>
            </w:pPr>
            <w:r w:rsidRPr="00340E30">
              <w:rPr>
                <w:rFonts w:cs="Arial"/>
                <w:bCs/>
                <w:szCs w:val="24"/>
              </w:rPr>
              <w:t xml:space="preserve">Invesco Investment </w:t>
            </w:r>
            <w:proofErr w:type="spellStart"/>
            <w:r w:rsidRPr="00340E30">
              <w:rPr>
                <w:rFonts w:cs="Arial"/>
                <w:bCs/>
                <w:szCs w:val="24"/>
              </w:rPr>
              <w:t>Mgt</w:t>
            </w:r>
            <w:proofErr w:type="spellEnd"/>
            <w:r w:rsidRPr="00340E30">
              <w:rPr>
                <w:rFonts w:cs="Arial"/>
                <w:bCs/>
                <w:szCs w:val="24"/>
              </w:rPr>
              <w:t xml:space="preserve"> Ltd</w:t>
            </w:r>
          </w:p>
        </w:tc>
        <w:tc>
          <w:tcPr>
            <w:tcW w:w="1276" w:type="dxa"/>
            <w:vAlign w:val="center"/>
          </w:tcPr>
          <w:p w14:paraId="3ADFD588" w14:textId="77777777" w:rsidR="001D3250" w:rsidRPr="00340E30" w:rsidRDefault="001D3250" w:rsidP="005342B6">
            <w:pPr>
              <w:contextualSpacing/>
              <w:jc w:val="center"/>
              <w:rPr>
                <w:rFonts w:cs="Arial"/>
                <w:szCs w:val="24"/>
              </w:rPr>
            </w:pPr>
            <w:r w:rsidRPr="00340E30">
              <w:rPr>
                <w:rFonts w:cs="Arial"/>
                <w:szCs w:val="24"/>
              </w:rPr>
              <w:t>£2.8m</w:t>
            </w:r>
          </w:p>
        </w:tc>
        <w:tc>
          <w:tcPr>
            <w:tcW w:w="1276" w:type="dxa"/>
            <w:vAlign w:val="center"/>
          </w:tcPr>
          <w:p w14:paraId="380F9D4C" w14:textId="77777777" w:rsidR="001D3250" w:rsidRPr="00340E30" w:rsidRDefault="001D3250" w:rsidP="005342B6">
            <w:pPr>
              <w:contextualSpacing/>
              <w:jc w:val="center"/>
              <w:rPr>
                <w:rFonts w:cs="Arial"/>
                <w:szCs w:val="24"/>
              </w:rPr>
            </w:pPr>
            <w:r w:rsidRPr="00340E30">
              <w:rPr>
                <w:rFonts w:cs="Arial"/>
                <w:szCs w:val="24"/>
              </w:rPr>
              <w:t>Call A/c</w:t>
            </w:r>
          </w:p>
        </w:tc>
        <w:tc>
          <w:tcPr>
            <w:tcW w:w="1277" w:type="dxa"/>
            <w:vAlign w:val="center"/>
          </w:tcPr>
          <w:p w14:paraId="4A122CBF" w14:textId="77777777" w:rsidR="001D3250" w:rsidRPr="00340E30" w:rsidRDefault="001D3250" w:rsidP="005342B6">
            <w:pPr>
              <w:contextualSpacing/>
              <w:jc w:val="center"/>
              <w:rPr>
                <w:rFonts w:cs="Arial"/>
                <w:szCs w:val="24"/>
              </w:rPr>
            </w:pPr>
            <w:r w:rsidRPr="00340E30">
              <w:rPr>
                <w:rFonts w:cs="Arial"/>
                <w:szCs w:val="24"/>
              </w:rPr>
              <w:t>4.25%</w:t>
            </w:r>
          </w:p>
        </w:tc>
        <w:tc>
          <w:tcPr>
            <w:tcW w:w="1274" w:type="dxa"/>
            <w:vAlign w:val="center"/>
          </w:tcPr>
          <w:p w14:paraId="364B87CF" w14:textId="77777777" w:rsidR="001D3250" w:rsidRPr="00340E30" w:rsidRDefault="001D3250" w:rsidP="005342B6">
            <w:pPr>
              <w:contextualSpacing/>
              <w:jc w:val="right"/>
              <w:rPr>
                <w:rFonts w:cs="Arial"/>
                <w:szCs w:val="24"/>
              </w:rPr>
            </w:pPr>
            <w:r w:rsidRPr="00340E30">
              <w:rPr>
                <w:rFonts w:cs="Arial"/>
                <w:szCs w:val="24"/>
              </w:rPr>
              <w:t>£59,854</w:t>
            </w:r>
          </w:p>
        </w:tc>
      </w:tr>
      <w:tr w:rsidR="001D3250" w:rsidRPr="00340E30" w14:paraId="3582F5D6" w14:textId="77777777" w:rsidTr="005342B6">
        <w:trPr>
          <w:trHeight w:val="397"/>
        </w:trPr>
        <w:tc>
          <w:tcPr>
            <w:tcW w:w="3969" w:type="dxa"/>
            <w:vAlign w:val="center"/>
          </w:tcPr>
          <w:p w14:paraId="191BFE4D" w14:textId="77777777" w:rsidR="001D3250" w:rsidRPr="00340E30" w:rsidRDefault="001D3250" w:rsidP="005342B6">
            <w:pPr>
              <w:contextualSpacing/>
              <w:rPr>
                <w:rFonts w:cs="Arial"/>
                <w:bCs/>
                <w:szCs w:val="24"/>
              </w:rPr>
            </w:pPr>
            <w:r w:rsidRPr="00340E30">
              <w:rPr>
                <w:rFonts w:cs="Arial"/>
                <w:bCs/>
                <w:szCs w:val="24"/>
              </w:rPr>
              <w:t>State Street Global Advisors</w:t>
            </w:r>
          </w:p>
        </w:tc>
        <w:tc>
          <w:tcPr>
            <w:tcW w:w="1276" w:type="dxa"/>
            <w:vAlign w:val="center"/>
          </w:tcPr>
          <w:p w14:paraId="61F78804" w14:textId="77777777" w:rsidR="001D3250" w:rsidRPr="00340E30" w:rsidRDefault="001D3250" w:rsidP="005342B6">
            <w:pPr>
              <w:contextualSpacing/>
              <w:jc w:val="center"/>
              <w:rPr>
                <w:rFonts w:cs="Arial"/>
                <w:szCs w:val="24"/>
              </w:rPr>
            </w:pPr>
            <w:r w:rsidRPr="00340E30">
              <w:rPr>
                <w:rFonts w:cs="Arial"/>
                <w:szCs w:val="24"/>
              </w:rPr>
              <w:t>£3.0m</w:t>
            </w:r>
          </w:p>
        </w:tc>
        <w:tc>
          <w:tcPr>
            <w:tcW w:w="1276" w:type="dxa"/>
            <w:vAlign w:val="center"/>
          </w:tcPr>
          <w:p w14:paraId="7029FC8F" w14:textId="77777777" w:rsidR="001D3250" w:rsidRPr="00340E30" w:rsidRDefault="001D3250" w:rsidP="005342B6">
            <w:pPr>
              <w:contextualSpacing/>
              <w:jc w:val="center"/>
              <w:rPr>
                <w:rFonts w:cs="Arial"/>
                <w:szCs w:val="24"/>
              </w:rPr>
            </w:pPr>
            <w:r w:rsidRPr="00340E30">
              <w:rPr>
                <w:rFonts w:cs="Arial"/>
                <w:szCs w:val="24"/>
              </w:rPr>
              <w:t>Call A/c</w:t>
            </w:r>
          </w:p>
        </w:tc>
        <w:tc>
          <w:tcPr>
            <w:tcW w:w="1277" w:type="dxa"/>
            <w:vAlign w:val="center"/>
          </w:tcPr>
          <w:p w14:paraId="15CAE480" w14:textId="77777777" w:rsidR="001D3250" w:rsidRPr="00340E30" w:rsidRDefault="001D3250" w:rsidP="005342B6">
            <w:pPr>
              <w:contextualSpacing/>
              <w:jc w:val="center"/>
              <w:rPr>
                <w:rFonts w:cs="Arial"/>
                <w:szCs w:val="24"/>
              </w:rPr>
            </w:pPr>
            <w:r w:rsidRPr="00340E30">
              <w:rPr>
                <w:rFonts w:cs="Arial"/>
                <w:szCs w:val="24"/>
              </w:rPr>
              <w:t>4.22%</w:t>
            </w:r>
          </w:p>
        </w:tc>
        <w:tc>
          <w:tcPr>
            <w:tcW w:w="1274" w:type="dxa"/>
            <w:vAlign w:val="center"/>
          </w:tcPr>
          <w:p w14:paraId="23ACC15E" w14:textId="77777777" w:rsidR="001D3250" w:rsidRPr="00340E30" w:rsidRDefault="001D3250" w:rsidP="005342B6">
            <w:pPr>
              <w:contextualSpacing/>
              <w:jc w:val="right"/>
              <w:rPr>
                <w:rFonts w:cs="Arial"/>
                <w:szCs w:val="24"/>
              </w:rPr>
            </w:pPr>
            <w:r w:rsidRPr="00340E30">
              <w:rPr>
                <w:rFonts w:cs="Arial"/>
                <w:szCs w:val="24"/>
              </w:rPr>
              <w:t>£63,932</w:t>
            </w:r>
          </w:p>
        </w:tc>
      </w:tr>
      <w:tr w:rsidR="001D3250" w:rsidRPr="00340E30" w14:paraId="2B91ED3A" w14:textId="77777777" w:rsidTr="005342B6">
        <w:trPr>
          <w:trHeight w:val="397"/>
        </w:trPr>
        <w:tc>
          <w:tcPr>
            <w:tcW w:w="3969" w:type="dxa"/>
            <w:vAlign w:val="center"/>
          </w:tcPr>
          <w:p w14:paraId="7C1DDF8A" w14:textId="77777777" w:rsidR="001D3250" w:rsidRPr="00340E30" w:rsidRDefault="001D3250" w:rsidP="005342B6">
            <w:pPr>
              <w:contextualSpacing/>
              <w:rPr>
                <w:rFonts w:cs="Arial"/>
                <w:bCs/>
                <w:szCs w:val="24"/>
              </w:rPr>
            </w:pPr>
            <w:r w:rsidRPr="00340E30">
              <w:rPr>
                <w:rFonts w:cs="Arial"/>
                <w:bCs/>
                <w:szCs w:val="24"/>
              </w:rPr>
              <w:t>Barclays Bank</w:t>
            </w:r>
          </w:p>
        </w:tc>
        <w:tc>
          <w:tcPr>
            <w:tcW w:w="1276" w:type="dxa"/>
            <w:vAlign w:val="center"/>
          </w:tcPr>
          <w:p w14:paraId="2115B84E" w14:textId="77777777" w:rsidR="001D3250" w:rsidRPr="00340E30" w:rsidRDefault="001D3250" w:rsidP="005342B6">
            <w:pPr>
              <w:contextualSpacing/>
              <w:jc w:val="center"/>
              <w:rPr>
                <w:rFonts w:cs="Arial"/>
                <w:szCs w:val="24"/>
              </w:rPr>
            </w:pPr>
            <w:r w:rsidRPr="00340E30">
              <w:rPr>
                <w:rFonts w:cs="Arial"/>
                <w:szCs w:val="24"/>
              </w:rPr>
              <w:t>£1.6m</w:t>
            </w:r>
          </w:p>
        </w:tc>
        <w:tc>
          <w:tcPr>
            <w:tcW w:w="1276" w:type="dxa"/>
            <w:vAlign w:val="center"/>
          </w:tcPr>
          <w:p w14:paraId="594C55E3" w14:textId="77777777" w:rsidR="001D3250" w:rsidRPr="00340E30" w:rsidRDefault="001D3250" w:rsidP="005342B6">
            <w:pPr>
              <w:contextualSpacing/>
              <w:jc w:val="center"/>
              <w:rPr>
                <w:rFonts w:cs="Arial"/>
                <w:szCs w:val="24"/>
              </w:rPr>
            </w:pPr>
            <w:r w:rsidRPr="00340E30">
              <w:rPr>
                <w:rFonts w:cs="Arial"/>
                <w:szCs w:val="24"/>
              </w:rPr>
              <w:t>Call A/c</w:t>
            </w:r>
          </w:p>
        </w:tc>
        <w:tc>
          <w:tcPr>
            <w:tcW w:w="1277" w:type="dxa"/>
            <w:vAlign w:val="center"/>
          </w:tcPr>
          <w:p w14:paraId="6087BF3A" w14:textId="77777777" w:rsidR="001D3250" w:rsidRPr="00340E30" w:rsidRDefault="001D3250" w:rsidP="005342B6">
            <w:pPr>
              <w:contextualSpacing/>
              <w:jc w:val="center"/>
              <w:rPr>
                <w:rFonts w:cs="Arial"/>
                <w:szCs w:val="24"/>
              </w:rPr>
            </w:pPr>
            <w:r w:rsidRPr="00340E30">
              <w:rPr>
                <w:rFonts w:cs="Arial"/>
                <w:szCs w:val="24"/>
              </w:rPr>
              <w:t>4.09%</w:t>
            </w:r>
          </w:p>
        </w:tc>
        <w:tc>
          <w:tcPr>
            <w:tcW w:w="1274" w:type="dxa"/>
            <w:vAlign w:val="center"/>
          </w:tcPr>
          <w:p w14:paraId="52C00523" w14:textId="77777777" w:rsidR="001D3250" w:rsidRPr="00340E30" w:rsidRDefault="001D3250" w:rsidP="005342B6">
            <w:pPr>
              <w:contextualSpacing/>
              <w:jc w:val="right"/>
              <w:rPr>
                <w:rFonts w:cs="Arial"/>
                <w:szCs w:val="24"/>
              </w:rPr>
            </w:pPr>
            <w:r w:rsidRPr="00340E30">
              <w:rPr>
                <w:rFonts w:cs="Arial"/>
                <w:szCs w:val="24"/>
              </w:rPr>
              <w:t>£27,787</w:t>
            </w:r>
          </w:p>
        </w:tc>
      </w:tr>
      <w:tr w:rsidR="001D3250" w:rsidRPr="00340E30" w14:paraId="0894FEC3" w14:textId="77777777" w:rsidTr="005342B6">
        <w:trPr>
          <w:trHeight w:val="397"/>
        </w:trPr>
        <w:tc>
          <w:tcPr>
            <w:tcW w:w="3969" w:type="dxa"/>
            <w:vAlign w:val="center"/>
          </w:tcPr>
          <w:p w14:paraId="184697EC" w14:textId="77777777" w:rsidR="001D3250" w:rsidRPr="00340E30" w:rsidRDefault="001D3250" w:rsidP="005342B6">
            <w:pPr>
              <w:contextualSpacing/>
              <w:rPr>
                <w:rFonts w:cs="Arial"/>
                <w:bCs/>
                <w:szCs w:val="24"/>
              </w:rPr>
            </w:pPr>
            <w:r w:rsidRPr="00340E30">
              <w:rPr>
                <w:rFonts w:cs="Arial"/>
                <w:bCs/>
                <w:szCs w:val="24"/>
              </w:rPr>
              <w:t>Bank of Scotland</w:t>
            </w:r>
          </w:p>
        </w:tc>
        <w:tc>
          <w:tcPr>
            <w:tcW w:w="1276" w:type="dxa"/>
            <w:vAlign w:val="center"/>
          </w:tcPr>
          <w:p w14:paraId="673F0802" w14:textId="77777777" w:rsidR="001D3250" w:rsidRPr="00340E30" w:rsidRDefault="001D3250" w:rsidP="005342B6">
            <w:pPr>
              <w:contextualSpacing/>
              <w:jc w:val="center"/>
              <w:rPr>
                <w:rFonts w:cs="Arial"/>
                <w:szCs w:val="24"/>
              </w:rPr>
            </w:pPr>
            <w:r w:rsidRPr="00340E30">
              <w:rPr>
                <w:rFonts w:cs="Arial"/>
                <w:szCs w:val="24"/>
              </w:rPr>
              <w:t>£1.7m</w:t>
            </w:r>
          </w:p>
        </w:tc>
        <w:tc>
          <w:tcPr>
            <w:tcW w:w="1276" w:type="dxa"/>
            <w:vAlign w:val="center"/>
          </w:tcPr>
          <w:p w14:paraId="7823154E" w14:textId="77777777" w:rsidR="001D3250" w:rsidRPr="00340E30" w:rsidRDefault="001D3250" w:rsidP="005342B6">
            <w:pPr>
              <w:contextualSpacing/>
              <w:jc w:val="center"/>
              <w:rPr>
                <w:rFonts w:cs="Arial"/>
                <w:szCs w:val="24"/>
              </w:rPr>
            </w:pPr>
            <w:r w:rsidRPr="00340E30">
              <w:rPr>
                <w:rFonts w:cs="Arial"/>
                <w:szCs w:val="24"/>
              </w:rPr>
              <w:t>Call A/c</w:t>
            </w:r>
          </w:p>
        </w:tc>
        <w:tc>
          <w:tcPr>
            <w:tcW w:w="1277" w:type="dxa"/>
            <w:vAlign w:val="center"/>
          </w:tcPr>
          <w:p w14:paraId="74F556B5" w14:textId="77777777" w:rsidR="001D3250" w:rsidRPr="00340E30" w:rsidRDefault="001D3250" w:rsidP="005342B6">
            <w:pPr>
              <w:contextualSpacing/>
              <w:jc w:val="center"/>
              <w:rPr>
                <w:rFonts w:cs="Arial"/>
                <w:szCs w:val="24"/>
              </w:rPr>
            </w:pPr>
            <w:r w:rsidRPr="00340E30">
              <w:rPr>
                <w:rFonts w:cs="Arial"/>
                <w:szCs w:val="24"/>
              </w:rPr>
              <w:t>4.04%</w:t>
            </w:r>
          </w:p>
        </w:tc>
        <w:tc>
          <w:tcPr>
            <w:tcW w:w="1274" w:type="dxa"/>
            <w:vAlign w:val="center"/>
          </w:tcPr>
          <w:p w14:paraId="030C43E3" w14:textId="77777777" w:rsidR="001D3250" w:rsidRPr="00340E30" w:rsidRDefault="001D3250" w:rsidP="005342B6">
            <w:pPr>
              <w:contextualSpacing/>
              <w:jc w:val="right"/>
              <w:rPr>
                <w:rFonts w:cs="Arial"/>
                <w:szCs w:val="24"/>
              </w:rPr>
            </w:pPr>
            <w:r w:rsidRPr="00340E30">
              <w:rPr>
                <w:rFonts w:cs="Arial"/>
                <w:szCs w:val="24"/>
              </w:rPr>
              <w:t>£34,885</w:t>
            </w:r>
          </w:p>
        </w:tc>
      </w:tr>
      <w:tr w:rsidR="001D3250" w:rsidRPr="00340E30" w14:paraId="23502398" w14:textId="77777777" w:rsidTr="005342B6">
        <w:trPr>
          <w:trHeight w:val="397"/>
        </w:trPr>
        <w:tc>
          <w:tcPr>
            <w:tcW w:w="3969" w:type="dxa"/>
            <w:vAlign w:val="center"/>
          </w:tcPr>
          <w:p w14:paraId="56FE2129" w14:textId="77777777" w:rsidR="001D3250" w:rsidRPr="00340E30" w:rsidRDefault="001D3250" w:rsidP="005342B6">
            <w:pPr>
              <w:contextualSpacing/>
              <w:rPr>
                <w:rFonts w:cs="Arial"/>
                <w:bCs/>
                <w:szCs w:val="24"/>
              </w:rPr>
            </w:pPr>
            <w:r w:rsidRPr="00340E30">
              <w:rPr>
                <w:rFonts w:cs="Arial"/>
                <w:bCs/>
                <w:szCs w:val="24"/>
              </w:rPr>
              <w:t>Santander</w:t>
            </w:r>
          </w:p>
        </w:tc>
        <w:tc>
          <w:tcPr>
            <w:tcW w:w="1276" w:type="dxa"/>
            <w:vAlign w:val="center"/>
          </w:tcPr>
          <w:p w14:paraId="6E4AF3B4" w14:textId="77777777" w:rsidR="001D3250" w:rsidRPr="00340E30" w:rsidRDefault="001D3250" w:rsidP="005342B6">
            <w:pPr>
              <w:contextualSpacing/>
              <w:jc w:val="center"/>
              <w:rPr>
                <w:rFonts w:cs="Arial"/>
                <w:szCs w:val="24"/>
              </w:rPr>
            </w:pPr>
            <w:r w:rsidRPr="00340E30">
              <w:rPr>
                <w:rFonts w:cs="Arial"/>
                <w:szCs w:val="24"/>
              </w:rPr>
              <w:t>£0.4m</w:t>
            </w:r>
          </w:p>
        </w:tc>
        <w:tc>
          <w:tcPr>
            <w:tcW w:w="1276" w:type="dxa"/>
            <w:vAlign w:val="center"/>
          </w:tcPr>
          <w:p w14:paraId="4C743ECB" w14:textId="77777777" w:rsidR="001D3250" w:rsidRPr="00340E30" w:rsidRDefault="001D3250" w:rsidP="005342B6">
            <w:pPr>
              <w:contextualSpacing/>
              <w:jc w:val="center"/>
              <w:rPr>
                <w:rFonts w:cs="Arial"/>
                <w:szCs w:val="24"/>
              </w:rPr>
            </w:pPr>
            <w:r w:rsidRPr="00340E30">
              <w:rPr>
                <w:rFonts w:cs="Arial"/>
                <w:szCs w:val="24"/>
              </w:rPr>
              <w:t>Call A/c</w:t>
            </w:r>
          </w:p>
        </w:tc>
        <w:tc>
          <w:tcPr>
            <w:tcW w:w="1277" w:type="dxa"/>
            <w:vAlign w:val="center"/>
          </w:tcPr>
          <w:p w14:paraId="2299DC12" w14:textId="77777777" w:rsidR="001D3250" w:rsidRPr="00340E30" w:rsidRDefault="001D3250" w:rsidP="005342B6">
            <w:pPr>
              <w:contextualSpacing/>
              <w:jc w:val="center"/>
              <w:rPr>
                <w:rFonts w:cs="Arial"/>
                <w:szCs w:val="24"/>
              </w:rPr>
            </w:pPr>
            <w:r w:rsidRPr="00340E30">
              <w:rPr>
                <w:rFonts w:cs="Arial"/>
                <w:szCs w:val="24"/>
              </w:rPr>
              <w:t>2.60%</w:t>
            </w:r>
          </w:p>
        </w:tc>
        <w:tc>
          <w:tcPr>
            <w:tcW w:w="1274" w:type="dxa"/>
            <w:vAlign w:val="center"/>
          </w:tcPr>
          <w:p w14:paraId="039C6EB7" w14:textId="77777777" w:rsidR="001D3250" w:rsidRPr="00340E30" w:rsidRDefault="001D3250" w:rsidP="005342B6">
            <w:pPr>
              <w:contextualSpacing/>
              <w:jc w:val="right"/>
              <w:rPr>
                <w:rFonts w:cs="Arial"/>
                <w:szCs w:val="24"/>
              </w:rPr>
            </w:pPr>
            <w:r w:rsidRPr="00340E30">
              <w:rPr>
                <w:rFonts w:cs="Arial"/>
                <w:szCs w:val="24"/>
              </w:rPr>
              <w:t>£2,781</w:t>
            </w:r>
          </w:p>
        </w:tc>
      </w:tr>
      <w:tr w:rsidR="001D3250" w:rsidRPr="00340E30" w14:paraId="0515164B" w14:textId="77777777" w:rsidTr="005342B6">
        <w:trPr>
          <w:trHeight w:val="397"/>
        </w:trPr>
        <w:tc>
          <w:tcPr>
            <w:tcW w:w="7798" w:type="dxa"/>
            <w:gridSpan w:val="4"/>
            <w:shd w:val="clear" w:color="auto" w:fill="D9D9D9" w:themeFill="background1" w:themeFillShade="D9"/>
            <w:vAlign w:val="center"/>
          </w:tcPr>
          <w:p w14:paraId="54725223" w14:textId="77777777" w:rsidR="001D3250" w:rsidRPr="00340E30" w:rsidRDefault="001D3250" w:rsidP="005342B6">
            <w:pPr>
              <w:contextualSpacing/>
              <w:rPr>
                <w:rFonts w:cs="Arial"/>
                <w:b/>
                <w:szCs w:val="24"/>
              </w:rPr>
            </w:pPr>
            <w:r w:rsidRPr="00340E30">
              <w:rPr>
                <w:rFonts w:cs="Arial"/>
                <w:b/>
                <w:szCs w:val="24"/>
              </w:rPr>
              <w:t>Totals</w:t>
            </w:r>
          </w:p>
        </w:tc>
        <w:tc>
          <w:tcPr>
            <w:tcW w:w="1274" w:type="dxa"/>
            <w:shd w:val="clear" w:color="auto" w:fill="D9D9D9" w:themeFill="background1" w:themeFillShade="D9"/>
            <w:vAlign w:val="center"/>
          </w:tcPr>
          <w:p w14:paraId="40C5F357" w14:textId="77777777" w:rsidR="001D3250" w:rsidRPr="00340E30" w:rsidRDefault="001D3250" w:rsidP="005342B6">
            <w:pPr>
              <w:contextualSpacing/>
              <w:jc w:val="right"/>
              <w:rPr>
                <w:rFonts w:cs="Arial"/>
                <w:b/>
                <w:szCs w:val="24"/>
              </w:rPr>
            </w:pPr>
            <w:r w:rsidRPr="00340E30">
              <w:rPr>
                <w:rFonts w:cs="Arial"/>
                <w:b/>
                <w:szCs w:val="24"/>
              </w:rPr>
              <w:t>£244,292</w:t>
            </w:r>
          </w:p>
        </w:tc>
      </w:tr>
    </w:tbl>
    <w:p w14:paraId="1504EBE1" w14:textId="77777777" w:rsidR="001D3250" w:rsidRPr="00340E30" w:rsidRDefault="001D3250" w:rsidP="001D3250">
      <w:pPr>
        <w:jc w:val="both"/>
        <w:rPr>
          <w:rFonts w:cs="Arial"/>
        </w:rPr>
      </w:pPr>
    </w:p>
    <w:p w14:paraId="78D9C5CA" w14:textId="46804B1E" w:rsidR="001D3250" w:rsidRPr="00340E30" w:rsidRDefault="001D3250" w:rsidP="001D3250">
      <w:pPr>
        <w:rPr>
          <w:rFonts w:cs="Arial"/>
        </w:rPr>
      </w:pPr>
      <w:r w:rsidRPr="00340E30">
        <w:rPr>
          <w:rFonts w:cs="Arial"/>
        </w:rPr>
        <w:t>Th</w:t>
      </w:r>
      <w:r>
        <w:rPr>
          <w:rFonts w:cs="Arial"/>
        </w:rPr>
        <w:t>at</w:t>
      </w:r>
      <w:r w:rsidRPr="00340E30">
        <w:rPr>
          <w:rFonts w:cs="Arial"/>
        </w:rPr>
        <w:t xml:space="preserve"> compare</w:t>
      </w:r>
      <w:r>
        <w:rPr>
          <w:rFonts w:cs="Arial"/>
        </w:rPr>
        <w:t>d</w:t>
      </w:r>
      <w:r w:rsidRPr="00340E30">
        <w:rPr>
          <w:rFonts w:cs="Arial"/>
        </w:rPr>
        <w:t xml:space="preserve"> unfavourably to the budget set for the same period of £273k, resulting in an adverse variance of £29k. The reason </w:t>
      </w:r>
      <w:r>
        <w:rPr>
          <w:rFonts w:cs="Arial"/>
        </w:rPr>
        <w:t>was</w:t>
      </w:r>
      <w:r w:rsidRPr="00340E30">
        <w:rPr>
          <w:rFonts w:cs="Arial"/>
        </w:rPr>
        <w:t xml:space="preserve"> due to a combination of falling interest rates at the financial institutions and in-year accounting changes.  </w:t>
      </w:r>
    </w:p>
    <w:p w14:paraId="5585D948" w14:textId="77777777" w:rsidR="001D3250" w:rsidRPr="00340E30" w:rsidRDefault="001D3250" w:rsidP="001D3250">
      <w:pPr>
        <w:rPr>
          <w:rFonts w:cs="Arial"/>
        </w:rPr>
      </w:pPr>
    </w:p>
    <w:p w14:paraId="0AED8596" w14:textId="77777777" w:rsidR="001D3250" w:rsidRPr="00340E30" w:rsidRDefault="001D3250" w:rsidP="001D3250">
      <w:pPr>
        <w:rPr>
          <w:rFonts w:cs="Arial"/>
        </w:rPr>
      </w:pPr>
      <w:r w:rsidRPr="00340E30">
        <w:rPr>
          <w:rFonts w:cs="Arial"/>
        </w:rPr>
        <w:lastRenderedPageBreak/>
        <w:t xml:space="preserve">The total balance of funds held in investment accounts </w:t>
      </w:r>
      <w:proofErr w:type="gramStart"/>
      <w:r w:rsidRPr="00340E30">
        <w:rPr>
          <w:rFonts w:cs="Arial"/>
        </w:rPr>
        <w:t>at</w:t>
      </w:r>
      <w:proofErr w:type="gramEnd"/>
      <w:r w:rsidRPr="00340E30">
        <w:rPr>
          <w:rFonts w:cs="Arial"/>
        </w:rPr>
        <w:t xml:space="preserve"> 30 September 2025 was £8.0m.  </w:t>
      </w:r>
    </w:p>
    <w:p w14:paraId="552A8A95" w14:textId="77777777" w:rsidR="001D3250" w:rsidRPr="00340E30" w:rsidRDefault="001D3250" w:rsidP="001D3250">
      <w:pPr>
        <w:rPr>
          <w:rFonts w:cs="Arial"/>
        </w:rPr>
      </w:pPr>
    </w:p>
    <w:p w14:paraId="5C134DB8" w14:textId="77777777" w:rsidR="001D3250" w:rsidRPr="00340E30" w:rsidRDefault="001D3250" w:rsidP="001D3250">
      <w:pPr>
        <w:rPr>
          <w:rFonts w:cs="Arial"/>
        </w:rPr>
      </w:pPr>
      <w:r w:rsidRPr="00340E30">
        <w:rPr>
          <w:rFonts w:cs="Arial"/>
        </w:rPr>
        <w:t xml:space="preserve">The table below shows the risk and </w:t>
      </w:r>
      <w:proofErr w:type="gramStart"/>
      <w:r w:rsidRPr="00340E30">
        <w:rPr>
          <w:rFonts w:cs="Arial"/>
        </w:rPr>
        <w:t>return</w:t>
      </w:r>
      <w:proofErr w:type="gramEnd"/>
      <w:r w:rsidRPr="00340E30">
        <w:rPr>
          <w:rFonts w:cs="Arial"/>
        </w:rPr>
        <w:t xml:space="preserve"> metrics on the Council’s investments held </w:t>
      </w:r>
      <w:proofErr w:type="gramStart"/>
      <w:r w:rsidRPr="00340E30">
        <w:rPr>
          <w:rFonts w:cs="Arial"/>
        </w:rPr>
        <w:t>at</w:t>
      </w:r>
      <w:proofErr w:type="gramEnd"/>
      <w:r w:rsidRPr="00340E30">
        <w:rPr>
          <w:rFonts w:cs="Arial"/>
        </w:rPr>
        <w:t xml:space="preserve"> 30 September 2025 against other NI Councils. </w:t>
      </w:r>
    </w:p>
    <w:p w14:paraId="6B9972A5" w14:textId="77777777" w:rsidR="001D3250" w:rsidRPr="00340E30" w:rsidRDefault="001D3250" w:rsidP="001D3250">
      <w:pPr>
        <w:jc w:val="both"/>
        <w:rPr>
          <w:rFonts w:cs="Arial"/>
        </w:rPr>
      </w:pPr>
    </w:p>
    <w:tbl>
      <w:tblPr>
        <w:tblW w:w="87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4"/>
        <w:gridCol w:w="1984"/>
        <w:gridCol w:w="1418"/>
        <w:gridCol w:w="2268"/>
      </w:tblGrid>
      <w:tr w:rsidR="001D3250" w:rsidRPr="00340E30" w14:paraId="0ED4902B" w14:textId="77777777" w:rsidTr="005342B6">
        <w:trPr>
          <w:trHeight w:val="454"/>
        </w:trPr>
        <w:tc>
          <w:tcPr>
            <w:tcW w:w="3124" w:type="dxa"/>
            <w:tcBorders>
              <w:top w:val="nil"/>
              <w:left w:val="nil"/>
              <w:bottom w:val="single" w:sz="4" w:space="0" w:color="auto"/>
              <w:right w:val="single" w:sz="4" w:space="0" w:color="auto"/>
            </w:tcBorders>
          </w:tcPr>
          <w:p w14:paraId="78D005DF" w14:textId="77777777" w:rsidR="001D3250" w:rsidRPr="00340E30" w:rsidRDefault="001D3250" w:rsidP="005342B6">
            <w:pPr>
              <w:contextualSpacing/>
              <w:rPr>
                <w:rFonts w:cs="Arial"/>
                <w:b/>
                <w:color w:val="FFFFFF" w:themeColor="background1"/>
                <w:sz w:val="22"/>
              </w:rPr>
            </w:pPr>
            <w:r w:rsidRPr="00340E30">
              <w:rPr>
                <w:rFonts w:cs="Arial"/>
                <w:b/>
                <w:color w:val="FFFFFF" w:themeColor="background1"/>
                <w:sz w:val="22"/>
              </w:rPr>
              <w:t>Table 2.3</w:t>
            </w:r>
          </w:p>
        </w:tc>
        <w:tc>
          <w:tcPr>
            <w:tcW w:w="1984" w:type="dxa"/>
            <w:tcBorders>
              <w:top w:val="single" w:sz="4" w:space="0" w:color="auto"/>
              <w:left w:val="single" w:sz="4" w:space="0" w:color="auto"/>
              <w:bottom w:val="single" w:sz="4" w:space="0" w:color="auto"/>
              <w:right w:val="single" w:sz="4" w:space="0" w:color="auto"/>
            </w:tcBorders>
            <w:shd w:val="clear" w:color="auto" w:fill="0070C0"/>
            <w:vAlign w:val="center"/>
          </w:tcPr>
          <w:p w14:paraId="5F7E256F" w14:textId="77777777" w:rsidR="001D3250" w:rsidRPr="00340E30" w:rsidRDefault="001D3250" w:rsidP="005342B6">
            <w:pPr>
              <w:contextualSpacing/>
              <w:jc w:val="center"/>
              <w:rPr>
                <w:rFonts w:cs="Arial"/>
                <w:b/>
                <w:color w:val="FFFFFF" w:themeColor="background1"/>
                <w:sz w:val="22"/>
              </w:rPr>
            </w:pPr>
            <w:r w:rsidRPr="00340E30">
              <w:rPr>
                <w:rFonts w:cs="Arial"/>
                <w:b/>
                <w:color w:val="FFFFFF" w:themeColor="background1"/>
                <w:sz w:val="22"/>
              </w:rPr>
              <w:t>Counterparties</w:t>
            </w:r>
          </w:p>
        </w:tc>
        <w:tc>
          <w:tcPr>
            <w:tcW w:w="3686" w:type="dxa"/>
            <w:gridSpan w:val="2"/>
            <w:tcBorders>
              <w:left w:val="single" w:sz="4" w:space="0" w:color="auto"/>
            </w:tcBorders>
            <w:shd w:val="clear" w:color="auto" w:fill="0070C0"/>
            <w:vAlign w:val="center"/>
          </w:tcPr>
          <w:p w14:paraId="056F030C" w14:textId="77777777" w:rsidR="001D3250" w:rsidRPr="00340E30" w:rsidRDefault="001D3250" w:rsidP="005342B6">
            <w:pPr>
              <w:contextualSpacing/>
              <w:jc w:val="center"/>
              <w:rPr>
                <w:rFonts w:cs="Arial"/>
                <w:b/>
                <w:color w:val="FFFFFF" w:themeColor="background1"/>
                <w:sz w:val="22"/>
              </w:rPr>
            </w:pPr>
            <w:r w:rsidRPr="00340E30">
              <w:rPr>
                <w:rFonts w:cs="Arial"/>
                <w:b/>
                <w:color w:val="FFFFFF" w:themeColor="background1"/>
                <w:sz w:val="22"/>
              </w:rPr>
              <w:t>Investments</w:t>
            </w:r>
          </w:p>
        </w:tc>
      </w:tr>
      <w:tr w:rsidR="001D3250" w:rsidRPr="00340E30" w14:paraId="66D77E99" w14:textId="77777777" w:rsidTr="005342B6">
        <w:trPr>
          <w:trHeight w:val="454"/>
        </w:trPr>
        <w:tc>
          <w:tcPr>
            <w:tcW w:w="3124" w:type="dxa"/>
            <w:tcBorders>
              <w:top w:val="single" w:sz="4" w:space="0" w:color="auto"/>
              <w:left w:val="single" w:sz="4" w:space="0" w:color="auto"/>
              <w:bottom w:val="single" w:sz="4" w:space="0" w:color="auto"/>
              <w:right w:val="single" w:sz="4" w:space="0" w:color="auto"/>
            </w:tcBorders>
            <w:shd w:val="clear" w:color="auto" w:fill="0070C0"/>
          </w:tcPr>
          <w:p w14:paraId="0BAB8CED" w14:textId="77777777" w:rsidR="001D3250" w:rsidRPr="00340E30" w:rsidRDefault="001D3250" w:rsidP="005342B6">
            <w:pPr>
              <w:contextualSpacing/>
              <w:rPr>
                <w:rFonts w:cs="Arial"/>
                <w:b/>
                <w:color w:val="FFFFFF" w:themeColor="background1"/>
                <w:sz w:val="22"/>
              </w:rPr>
            </w:pPr>
            <w:r w:rsidRPr="00340E30">
              <w:rPr>
                <w:rFonts w:cs="Arial"/>
                <w:b/>
                <w:color w:val="FFFFFF" w:themeColor="background1"/>
                <w:sz w:val="22"/>
              </w:rPr>
              <w:t>Table 2.32</w:t>
            </w:r>
          </w:p>
        </w:tc>
        <w:tc>
          <w:tcPr>
            <w:tcW w:w="1984" w:type="dxa"/>
            <w:tcBorders>
              <w:top w:val="single" w:sz="4" w:space="0" w:color="auto"/>
            </w:tcBorders>
            <w:shd w:val="clear" w:color="auto" w:fill="0070C0"/>
            <w:vAlign w:val="center"/>
          </w:tcPr>
          <w:p w14:paraId="4F4A28A1" w14:textId="77777777" w:rsidR="001D3250" w:rsidRPr="00340E30" w:rsidRDefault="001D3250" w:rsidP="005342B6">
            <w:pPr>
              <w:contextualSpacing/>
              <w:jc w:val="center"/>
              <w:rPr>
                <w:rFonts w:cs="Arial"/>
                <w:b/>
                <w:color w:val="FFFFFF" w:themeColor="background1"/>
                <w:sz w:val="22"/>
              </w:rPr>
            </w:pPr>
            <w:r w:rsidRPr="00340E30">
              <w:rPr>
                <w:rFonts w:cs="Arial"/>
                <w:b/>
                <w:color w:val="FFFFFF" w:themeColor="background1"/>
                <w:sz w:val="22"/>
              </w:rPr>
              <w:t xml:space="preserve">Credit Rating </w:t>
            </w:r>
          </w:p>
        </w:tc>
        <w:tc>
          <w:tcPr>
            <w:tcW w:w="1418" w:type="dxa"/>
            <w:shd w:val="clear" w:color="auto" w:fill="0070C0"/>
            <w:vAlign w:val="center"/>
          </w:tcPr>
          <w:p w14:paraId="6B057BBB" w14:textId="77777777" w:rsidR="001D3250" w:rsidRPr="00340E30" w:rsidRDefault="001D3250" w:rsidP="005342B6">
            <w:pPr>
              <w:contextualSpacing/>
              <w:jc w:val="center"/>
              <w:rPr>
                <w:rFonts w:cs="Arial"/>
                <w:b/>
                <w:color w:val="FFFFFF" w:themeColor="background1"/>
                <w:sz w:val="22"/>
              </w:rPr>
            </w:pPr>
            <w:r w:rsidRPr="00340E30">
              <w:rPr>
                <w:rFonts w:cs="Arial"/>
                <w:b/>
                <w:color w:val="FFFFFF" w:themeColor="background1"/>
                <w:sz w:val="22"/>
              </w:rPr>
              <w:t>Liquidity</w:t>
            </w:r>
          </w:p>
        </w:tc>
        <w:tc>
          <w:tcPr>
            <w:tcW w:w="2268" w:type="dxa"/>
            <w:shd w:val="clear" w:color="auto" w:fill="0070C0"/>
            <w:vAlign w:val="center"/>
          </w:tcPr>
          <w:p w14:paraId="4C68AD91" w14:textId="77777777" w:rsidR="001D3250" w:rsidRPr="00340E30" w:rsidRDefault="001D3250" w:rsidP="005342B6">
            <w:pPr>
              <w:contextualSpacing/>
              <w:jc w:val="center"/>
              <w:rPr>
                <w:rFonts w:cs="Arial"/>
                <w:b/>
                <w:color w:val="FFFFFF" w:themeColor="background1"/>
                <w:sz w:val="22"/>
              </w:rPr>
            </w:pPr>
            <w:r w:rsidRPr="00340E30">
              <w:rPr>
                <w:rFonts w:cs="Arial"/>
                <w:b/>
                <w:color w:val="FFFFFF" w:themeColor="background1"/>
                <w:sz w:val="22"/>
              </w:rPr>
              <w:t>Rate of Return (%)</w:t>
            </w:r>
          </w:p>
        </w:tc>
      </w:tr>
      <w:tr w:rsidR="001D3250" w:rsidRPr="00340E30" w14:paraId="244B48C5" w14:textId="77777777" w:rsidTr="005342B6">
        <w:trPr>
          <w:trHeight w:val="340"/>
        </w:trPr>
        <w:tc>
          <w:tcPr>
            <w:tcW w:w="3124" w:type="dxa"/>
            <w:tcBorders>
              <w:top w:val="single" w:sz="4" w:space="0" w:color="auto"/>
            </w:tcBorders>
            <w:vAlign w:val="center"/>
          </w:tcPr>
          <w:p w14:paraId="74209523" w14:textId="77777777" w:rsidR="001D3250" w:rsidRPr="00340E30" w:rsidRDefault="001D3250" w:rsidP="005342B6">
            <w:pPr>
              <w:contextualSpacing/>
              <w:rPr>
                <w:rFonts w:cs="Arial"/>
                <w:bCs/>
                <w:szCs w:val="24"/>
              </w:rPr>
            </w:pPr>
            <w:r w:rsidRPr="00340E30">
              <w:rPr>
                <w:rFonts w:cs="Arial"/>
                <w:bCs/>
                <w:szCs w:val="24"/>
              </w:rPr>
              <w:t>ANDBC</w:t>
            </w:r>
          </w:p>
        </w:tc>
        <w:tc>
          <w:tcPr>
            <w:tcW w:w="1984" w:type="dxa"/>
            <w:vAlign w:val="center"/>
          </w:tcPr>
          <w:p w14:paraId="21064C96" w14:textId="77777777" w:rsidR="001D3250" w:rsidRPr="00340E30" w:rsidRDefault="001D3250" w:rsidP="005342B6">
            <w:pPr>
              <w:contextualSpacing/>
              <w:jc w:val="center"/>
              <w:rPr>
                <w:rFonts w:cs="Arial"/>
                <w:szCs w:val="24"/>
              </w:rPr>
            </w:pPr>
            <w:r w:rsidRPr="00340E30">
              <w:rPr>
                <w:rFonts w:cs="Arial"/>
                <w:szCs w:val="24"/>
              </w:rPr>
              <w:t>A+</w:t>
            </w:r>
          </w:p>
        </w:tc>
        <w:tc>
          <w:tcPr>
            <w:tcW w:w="1418" w:type="dxa"/>
            <w:vAlign w:val="center"/>
          </w:tcPr>
          <w:p w14:paraId="09B4ED7D" w14:textId="77777777" w:rsidR="001D3250" w:rsidRPr="00340E30" w:rsidRDefault="001D3250" w:rsidP="005342B6">
            <w:pPr>
              <w:contextualSpacing/>
              <w:jc w:val="center"/>
              <w:rPr>
                <w:rFonts w:cs="Arial"/>
                <w:szCs w:val="24"/>
              </w:rPr>
            </w:pPr>
            <w:r w:rsidRPr="00340E30">
              <w:rPr>
                <w:rFonts w:cs="Arial"/>
                <w:szCs w:val="24"/>
              </w:rPr>
              <w:t>100%</w:t>
            </w:r>
          </w:p>
        </w:tc>
        <w:tc>
          <w:tcPr>
            <w:tcW w:w="2268" w:type="dxa"/>
            <w:vAlign w:val="center"/>
          </w:tcPr>
          <w:p w14:paraId="7D078376" w14:textId="77777777" w:rsidR="001D3250" w:rsidRPr="00340E30" w:rsidRDefault="001D3250" w:rsidP="005342B6">
            <w:pPr>
              <w:contextualSpacing/>
              <w:jc w:val="center"/>
              <w:rPr>
                <w:rFonts w:cs="Arial"/>
                <w:szCs w:val="24"/>
              </w:rPr>
            </w:pPr>
            <w:r w:rsidRPr="00340E30">
              <w:rPr>
                <w:rFonts w:cs="Arial"/>
                <w:szCs w:val="24"/>
              </w:rPr>
              <w:t>4.00%</w:t>
            </w:r>
          </w:p>
        </w:tc>
      </w:tr>
      <w:tr w:rsidR="001D3250" w:rsidRPr="00340E30" w14:paraId="024C1F74" w14:textId="77777777" w:rsidTr="005342B6">
        <w:trPr>
          <w:trHeight w:val="340"/>
        </w:trPr>
        <w:tc>
          <w:tcPr>
            <w:tcW w:w="3124" w:type="dxa"/>
            <w:vAlign w:val="center"/>
          </w:tcPr>
          <w:p w14:paraId="77336DA1" w14:textId="77777777" w:rsidR="001D3250" w:rsidRPr="00340E30" w:rsidRDefault="001D3250" w:rsidP="005342B6">
            <w:pPr>
              <w:contextualSpacing/>
              <w:rPr>
                <w:rFonts w:cs="Arial"/>
                <w:bCs/>
                <w:szCs w:val="24"/>
              </w:rPr>
            </w:pPr>
            <w:r w:rsidRPr="00340E30">
              <w:rPr>
                <w:rFonts w:cs="Arial"/>
                <w:bCs/>
                <w:szCs w:val="24"/>
              </w:rPr>
              <w:t>NI Council Average</w:t>
            </w:r>
          </w:p>
        </w:tc>
        <w:tc>
          <w:tcPr>
            <w:tcW w:w="1984" w:type="dxa"/>
            <w:vAlign w:val="center"/>
          </w:tcPr>
          <w:p w14:paraId="0B019EF2" w14:textId="77777777" w:rsidR="001D3250" w:rsidRPr="00340E30" w:rsidRDefault="001D3250" w:rsidP="005342B6">
            <w:pPr>
              <w:contextualSpacing/>
              <w:jc w:val="center"/>
              <w:rPr>
                <w:rFonts w:cs="Arial"/>
                <w:szCs w:val="24"/>
              </w:rPr>
            </w:pPr>
            <w:r w:rsidRPr="00340E30">
              <w:rPr>
                <w:rFonts w:cs="Arial"/>
                <w:szCs w:val="24"/>
              </w:rPr>
              <w:t>A+</w:t>
            </w:r>
          </w:p>
        </w:tc>
        <w:tc>
          <w:tcPr>
            <w:tcW w:w="1418" w:type="dxa"/>
            <w:vAlign w:val="center"/>
          </w:tcPr>
          <w:p w14:paraId="583B5B4A" w14:textId="77777777" w:rsidR="001D3250" w:rsidRPr="00340E30" w:rsidRDefault="001D3250" w:rsidP="005342B6">
            <w:pPr>
              <w:contextualSpacing/>
              <w:jc w:val="center"/>
              <w:rPr>
                <w:rFonts w:cs="Arial"/>
                <w:szCs w:val="24"/>
              </w:rPr>
            </w:pPr>
            <w:r w:rsidRPr="00340E30">
              <w:rPr>
                <w:rFonts w:cs="Arial"/>
                <w:szCs w:val="24"/>
              </w:rPr>
              <w:t>60%</w:t>
            </w:r>
          </w:p>
        </w:tc>
        <w:tc>
          <w:tcPr>
            <w:tcW w:w="2268" w:type="dxa"/>
            <w:vAlign w:val="center"/>
          </w:tcPr>
          <w:p w14:paraId="782A1A9E" w14:textId="77777777" w:rsidR="001D3250" w:rsidRPr="00340E30" w:rsidRDefault="001D3250" w:rsidP="005342B6">
            <w:pPr>
              <w:contextualSpacing/>
              <w:jc w:val="center"/>
              <w:rPr>
                <w:rFonts w:cs="Arial"/>
                <w:szCs w:val="24"/>
              </w:rPr>
            </w:pPr>
            <w:r w:rsidRPr="00340E30">
              <w:rPr>
                <w:rFonts w:cs="Arial"/>
                <w:szCs w:val="24"/>
              </w:rPr>
              <w:t>3.99%</w:t>
            </w:r>
          </w:p>
        </w:tc>
      </w:tr>
    </w:tbl>
    <w:p w14:paraId="3D5F68F4" w14:textId="77777777" w:rsidR="001D3250" w:rsidRPr="00340E30" w:rsidRDefault="001D3250" w:rsidP="001D3250">
      <w:pPr>
        <w:jc w:val="both"/>
        <w:rPr>
          <w:rFonts w:cs="Arial"/>
          <w:color w:val="0A2F41" w:themeColor="accent1" w:themeShade="80"/>
          <w:sz w:val="20"/>
          <w:szCs w:val="16"/>
        </w:rPr>
      </w:pPr>
      <w:r w:rsidRPr="00340E30">
        <w:rPr>
          <w:rFonts w:cs="Arial"/>
          <w:color w:val="0A2F41" w:themeColor="accent1" w:themeShade="80"/>
          <w:sz w:val="20"/>
          <w:szCs w:val="16"/>
        </w:rPr>
        <w:t xml:space="preserve">Source: </w:t>
      </w:r>
      <w:proofErr w:type="spellStart"/>
      <w:r w:rsidRPr="00340E30">
        <w:rPr>
          <w:rFonts w:cs="Arial"/>
          <w:color w:val="0A2F41" w:themeColor="accent1" w:themeShade="80"/>
          <w:sz w:val="20"/>
          <w:szCs w:val="16"/>
        </w:rPr>
        <w:t>Arlingclose</w:t>
      </w:r>
      <w:proofErr w:type="spellEnd"/>
      <w:r w:rsidRPr="00340E30">
        <w:rPr>
          <w:rFonts w:cs="Arial"/>
          <w:color w:val="0A2F41" w:themeColor="accent1" w:themeShade="80"/>
          <w:sz w:val="20"/>
          <w:szCs w:val="16"/>
        </w:rPr>
        <w:t xml:space="preserve"> Ltd Local Authority Quarterly Investment Benchmarking report Sept-25</w:t>
      </w:r>
    </w:p>
    <w:p w14:paraId="104A1AE2" w14:textId="77777777" w:rsidR="001D3250" w:rsidRPr="00340E30" w:rsidRDefault="001D3250" w:rsidP="001D3250">
      <w:pPr>
        <w:rPr>
          <w:rFonts w:cs="Arial"/>
        </w:rPr>
      </w:pPr>
    </w:p>
    <w:p w14:paraId="05F60A1A" w14:textId="3C7FF6E7" w:rsidR="001D3250" w:rsidRPr="00340E30" w:rsidRDefault="001D3250" w:rsidP="001D3250">
      <w:pPr>
        <w:rPr>
          <w:rFonts w:cs="Arial"/>
        </w:rPr>
      </w:pPr>
      <w:r w:rsidRPr="00340E30">
        <w:rPr>
          <w:rFonts w:cs="Arial"/>
        </w:rPr>
        <w:t xml:space="preserve">The Council </w:t>
      </w:r>
      <w:r>
        <w:rPr>
          <w:rFonts w:cs="Arial"/>
        </w:rPr>
        <w:t>was</w:t>
      </w:r>
      <w:r w:rsidRPr="00340E30">
        <w:rPr>
          <w:rFonts w:cs="Arial"/>
        </w:rPr>
        <w:t xml:space="preserve"> just above the NI Council average on rates and cash balances. The treasury management function has been managing surplus cash balances well during the first and second quarters of 2025/26, albeit yields h</w:t>
      </w:r>
      <w:r>
        <w:rPr>
          <w:rFonts w:cs="Arial"/>
        </w:rPr>
        <w:t>ad</w:t>
      </w:r>
      <w:r w:rsidRPr="00340E30">
        <w:rPr>
          <w:rFonts w:cs="Arial"/>
        </w:rPr>
        <w:t xml:space="preserve"> been falling since the beginning of 2025.</w:t>
      </w:r>
    </w:p>
    <w:p w14:paraId="4AEE2B30" w14:textId="77777777" w:rsidR="001D3250" w:rsidRPr="00340E30" w:rsidRDefault="001D3250" w:rsidP="001D3250">
      <w:pPr>
        <w:rPr>
          <w:rFonts w:cs="Arial"/>
        </w:rPr>
      </w:pPr>
    </w:p>
    <w:p w14:paraId="43B2EF23" w14:textId="29AFE34E" w:rsidR="001D3250" w:rsidRDefault="001D3250" w:rsidP="001D3250">
      <w:pPr>
        <w:rPr>
          <w:rFonts w:cs="Arial"/>
        </w:rPr>
      </w:pPr>
      <w:r w:rsidRPr="00340E30">
        <w:rPr>
          <w:rFonts w:cs="Arial"/>
        </w:rPr>
        <w:t xml:space="preserve">The Council’s limit for total principal sums invested for periods longer than 364 days </w:t>
      </w:r>
      <w:r w:rsidR="00C57D3A">
        <w:rPr>
          <w:rFonts w:cs="Arial"/>
        </w:rPr>
        <w:t>was</w:t>
      </w:r>
      <w:r w:rsidRPr="00340E30">
        <w:rPr>
          <w:rFonts w:cs="Arial"/>
        </w:rPr>
        <w:t xml:space="preserve"> £500k.  The Council ha</w:t>
      </w:r>
      <w:r>
        <w:rPr>
          <w:rFonts w:cs="Arial"/>
        </w:rPr>
        <w:t>d</w:t>
      </w:r>
      <w:r w:rsidRPr="00340E30">
        <w:rPr>
          <w:rFonts w:cs="Arial"/>
        </w:rPr>
        <w:t xml:space="preserve"> not entered into any such investments during this period. </w:t>
      </w:r>
    </w:p>
    <w:p w14:paraId="46B323E5" w14:textId="77777777" w:rsidR="001D3250" w:rsidRPr="001D3250" w:rsidRDefault="001D3250" w:rsidP="001D3250">
      <w:pPr>
        <w:rPr>
          <w:rFonts w:cs="Arial"/>
          <w:caps/>
        </w:rPr>
      </w:pPr>
    </w:p>
    <w:p w14:paraId="428CE8DB" w14:textId="38A36793" w:rsidR="001D3250" w:rsidRPr="00340E30" w:rsidRDefault="001D3250" w:rsidP="001D3250">
      <w:r w:rsidRPr="001D3250">
        <w:rPr>
          <w:caps/>
        </w:rPr>
        <w:t xml:space="preserve">Recommended </w:t>
      </w:r>
      <w:r w:rsidRPr="00340E30">
        <w:t>that Council notes this report.</w:t>
      </w:r>
    </w:p>
    <w:p w14:paraId="32CDFCEA" w14:textId="77777777" w:rsidR="001D3250" w:rsidRPr="00340E30" w:rsidRDefault="001D3250" w:rsidP="001D3250"/>
    <w:p w14:paraId="31B63E42" w14:textId="75A98ECD" w:rsidR="0049471F" w:rsidRPr="0049471F" w:rsidRDefault="0049471F" w:rsidP="0049471F">
      <w:pPr>
        <w:rPr>
          <w:rFonts w:cs="Arial"/>
          <w:b/>
          <w:bCs/>
          <w:color w:val="000000" w:themeColor="text1"/>
        </w:rPr>
      </w:pPr>
      <w:r w:rsidRPr="0049471F">
        <w:rPr>
          <w:rFonts w:cs="Arial"/>
          <w:b/>
          <w:bCs/>
          <w:color w:val="000000" w:themeColor="text1"/>
        </w:rPr>
        <w:t xml:space="preserve">AGREED TO RECOMMEND, on the proposal of </w:t>
      </w:r>
      <w:r w:rsidR="006A4C0A">
        <w:rPr>
          <w:rFonts w:cs="Arial"/>
          <w:b/>
          <w:bCs/>
          <w:color w:val="000000" w:themeColor="text1"/>
        </w:rPr>
        <w:t>Alderman McRandal</w:t>
      </w:r>
      <w:r w:rsidRPr="0049471F">
        <w:rPr>
          <w:rFonts w:cs="Arial"/>
          <w:b/>
          <w:bCs/>
          <w:color w:val="000000" w:themeColor="text1"/>
        </w:rPr>
        <w:t xml:space="preserve">, seconded by </w:t>
      </w:r>
      <w:r w:rsidR="006A4C0A">
        <w:rPr>
          <w:rFonts w:cs="Arial"/>
          <w:b/>
          <w:bCs/>
          <w:color w:val="000000" w:themeColor="text1"/>
        </w:rPr>
        <w:t>Councillor W Irvine</w:t>
      </w:r>
      <w:r w:rsidRPr="0049471F">
        <w:rPr>
          <w:rFonts w:cs="Arial"/>
          <w:b/>
          <w:bCs/>
          <w:color w:val="000000" w:themeColor="text1"/>
        </w:rPr>
        <w:t xml:space="preserve">, that the recommendation be adopted. </w:t>
      </w:r>
    </w:p>
    <w:p w14:paraId="29173210" w14:textId="77777777" w:rsidR="0049471F" w:rsidRPr="0049471F" w:rsidRDefault="0049471F" w:rsidP="0049471F"/>
    <w:p w14:paraId="3C1F54C3" w14:textId="2990C5B7" w:rsidR="0072384D" w:rsidRPr="0072384D" w:rsidRDefault="00E239F8" w:rsidP="0072384D">
      <w:pPr>
        <w:pStyle w:val="Heading1"/>
        <w:rPr>
          <w:b/>
          <w:bCs/>
          <w:u w:val="single"/>
        </w:rPr>
      </w:pPr>
      <w:r w:rsidRPr="0072384D">
        <w:rPr>
          <w:b/>
          <w:bCs/>
        </w:rPr>
        <w:t>8</w:t>
      </w:r>
      <w:r w:rsidR="00D942C5" w:rsidRPr="0072384D">
        <w:rPr>
          <w:b/>
          <w:bCs/>
        </w:rPr>
        <w:t>(</w:t>
      </w:r>
      <w:r w:rsidR="0072384D" w:rsidRPr="0072384D">
        <w:rPr>
          <w:b/>
          <w:bCs/>
        </w:rPr>
        <w:t>a</w:t>
      </w:r>
      <w:r w:rsidR="00D942C5" w:rsidRPr="0072384D">
        <w:rPr>
          <w:b/>
          <w:bCs/>
        </w:rPr>
        <w:t xml:space="preserve">) </w:t>
      </w:r>
      <w:r w:rsidR="0072384D">
        <w:rPr>
          <w:b/>
          <w:bCs/>
        </w:rPr>
        <w:tab/>
      </w:r>
      <w:proofErr w:type="gramStart"/>
      <w:r w:rsidR="00D942C5" w:rsidRPr="0072384D">
        <w:rPr>
          <w:b/>
          <w:bCs/>
          <w:u w:val="single"/>
        </w:rPr>
        <w:t>Notice</w:t>
      </w:r>
      <w:proofErr w:type="gramEnd"/>
      <w:r w:rsidR="00D942C5" w:rsidRPr="0072384D">
        <w:rPr>
          <w:b/>
          <w:bCs/>
          <w:u w:val="single"/>
        </w:rPr>
        <w:t xml:space="preserve"> of Motion submitted by Councillor </w:t>
      </w:r>
    </w:p>
    <w:p w14:paraId="35DC36EB" w14:textId="5F1823B9" w:rsidR="00D942C5" w:rsidRPr="0072384D" w:rsidRDefault="00D942C5" w:rsidP="0072384D">
      <w:pPr>
        <w:pStyle w:val="Heading1"/>
        <w:ind w:firstLine="720"/>
        <w:rPr>
          <w:b/>
          <w:bCs/>
        </w:rPr>
      </w:pPr>
      <w:r w:rsidRPr="0072384D">
        <w:rPr>
          <w:b/>
          <w:bCs/>
          <w:u w:val="single"/>
        </w:rPr>
        <w:t>Cochrane &amp; Councillor Gilmour</w:t>
      </w:r>
      <w:r w:rsidRPr="0072384D">
        <w:rPr>
          <w:b/>
          <w:bCs/>
        </w:rPr>
        <w:t>:</w:t>
      </w:r>
    </w:p>
    <w:p w14:paraId="5C33A7B7" w14:textId="77777777" w:rsidR="00D942C5" w:rsidRPr="00E4144A" w:rsidRDefault="00D942C5" w:rsidP="00D942C5">
      <w:pPr>
        <w:rPr>
          <w:rFonts w:cs="Arial"/>
          <w:color w:val="000000" w:themeColor="text1"/>
          <w:szCs w:val="24"/>
        </w:rPr>
      </w:pPr>
    </w:p>
    <w:p w14:paraId="44B60939" w14:textId="77777777" w:rsidR="00D942C5" w:rsidRPr="00E4144A" w:rsidRDefault="00D942C5" w:rsidP="00D45F81">
      <w:pPr>
        <w:rPr>
          <w:rFonts w:cs="Arial"/>
          <w:color w:val="000000" w:themeColor="text1"/>
          <w:szCs w:val="24"/>
        </w:rPr>
      </w:pPr>
      <w:r w:rsidRPr="00E4144A">
        <w:rPr>
          <w:rFonts w:cs="Arial"/>
          <w:color w:val="000000" w:themeColor="text1"/>
          <w:szCs w:val="24"/>
        </w:rPr>
        <w:t>That this Council is deeply alarmed that the definition of victim in the Victims and Survivors (Northern Ireland) Order 2006 does not distinguish between those who perpetrated wrongdoing during the Troubles and the innocent victims they harmed, injured, killed or bereaved; believes that innocent victims should not have to interact with terrorists and their supporters when accessing victim support services; asserts that there is no moral equivalence between victim-makers and innocent victims; welcomes the fact that the victims pension legislation makes a clear distinction between perpetrator and victim; condemns the Alliance Party’s decision to intentionally blur this line by removing the word "innocent" from the description of a victim in a recent Assembly motion addressing the legacy of the past; and resolves to write to the Justice Minister requesting that she personally apologise for suggesting that victim makers could also be considered victims.</w:t>
      </w:r>
    </w:p>
    <w:p w14:paraId="168C9F35" w14:textId="77777777" w:rsidR="00D942C5" w:rsidRDefault="00D942C5" w:rsidP="00D942C5">
      <w:pPr>
        <w:rPr>
          <w:rFonts w:cs="Arial"/>
          <w:color w:val="000000" w:themeColor="text1"/>
          <w:szCs w:val="24"/>
        </w:rPr>
      </w:pPr>
    </w:p>
    <w:p w14:paraId="7589400C" w14:textId="0966B0A6" w:rsidR="006A4C0A" w:rsidRDefault="006A4C0A" w:rsidP="00D942C5">
      <w:pPr>
        <w:rPr>
          <w:rFonts w:cs="Arial"/>
          <w:color w:val="000000" w:themeColor="text1"/>
          <w:szCs w:val="24"/>
        </w:rPr>
      </w:pPr>
      <w:r>
        <w:rPr>
          <w:rFonts w:cs="Arial"/>
          <w:color w:val="000000" w:themeColor="text1"/>
          <w:szCs w:val="24"/>
        </w:rPr>
        <w:t xml:space="preserve">The Chair vacated the </w:t>
      </w:r>
      <w:proofErr w:type="gramStart"/>
      <w:r>
        <w:rPr>
          <w:rFonts w:cs="Arial"/>
          <w:color w:val="000000" w:themeColor="text1"/>
          <w:szCs w:val="24"/>
        </w:rPr>
        <w:t>position</w:t>
      </w:r>
      <w:proofErr w:type="gramEnd"/>
      <w:r>
        <w:rPr>
          <w:rFonts w:cs="Arial"/>
          <w:color w:val="000000" w:themeColor="text1"/>
          <w:szCs w:val="24"/>
        </w:rPr>
        <w:t xml:space="preserve"> and the Vice-Chair (Councillor Ir</w:t>
      </w:r>
      <w:r w:rsidR="00A363C3">
        <w:rPr>
          <w:rFonts w:cs="Arial"/>
          <w:color w:val="000000" w:themeColor="text1"/>
          <w:szCs w:val="24"/>
        </w:rPr>
        <w:t>win</w:t>
      </w:r>
      <w:r>
        <w:rPr>
          <w:rFonts w:cs="Arial"/>
          <w:color w:val="000000" w:themeColor="text1"/>
          <w:szCs w:val="24"/>
        </w:rPr>
        <w:t xml:space="preserve">) took the position for the item.  </w:t>
      </w:r>
    </w:p>
    <w:p w14:paraId="5E5BDF28" w14:textId="77777777" w:rsidR="006A4C0A" w:rsidRDefault="006A4C0A" w:rsidP="00D942C5">
      <w:pPr>
        <w:rPr>
          <w:rFonts w:cs="Arial"/>
          <w:color w:val="000000" w:themeColor="text1"/>
          <w:szCs w:val="24"/>
        </w:rPr>
      </w:pPr>
    </w:p>
    <w:p w14:paraId="0A4100BC" w14:textId="7F1AEFE9" w:rsidR="006A4C0A" w:rsidRDefault="006A4C0A" w:rsidP="00D942C5">
      <w:pPr>
        <w:rPr>
          <w:rFonts w:cs="Arial"/>
          <w:color w:val="000000" w:themeColor="text1"/>
          <w:szCs w:val="24"/>
        </w:rPr>
      </w:pPr>
      <w:r>
        <w:rPr>
          <w:rFonts w:cs="Arial"/>
          <w:color w:val="000000" w:themeColor="text1"/>
          <w:szCs w:val="24"/>
        </w:rPr>
        <w:t xml:space="preserve">Proposed by Councillor Cochrane, seconded by Councillor Gilmour, that the Notice of Motion be adopted. </w:t>
      </w:r>
    </w:p>
    <w:p w14:paraId="7A9212E3" w14:textId="77777777" w:rsidR="006A4C0A" w:rsidRDefault="006A4C0A" w:rsidP="00D942C5">
      <w:pPr>
        <w:rPr>
          <w:rFonts w:cs="Arial"/>
          <w:color w:val="000000" w:themeColor="text1"/>
          <w:szCs w:val="24"/>
        </w:rPr>
      </w:pPr>
    </w:p>
    <w:p w14:paraId="7CD05769" w14:textId="77777777" w:rsidR="000A0464" w:rsidRDefault="00AE5A50" w:rsidP="00D942C5">
      <w:pPr>
        <w:rPr>
          <w:rFonts w:cs="Arial"/>
          <w:color w:val="000000" w:themeColor="text1"/>
          <w:szCs w:val="24"/>
        </w:rPr>
      </w:pPr>
      <w:r>
        <w:rPr>
          <w:rFonts w:cs="Arial"/>
          <w:color w:val="000000" w:themeColor="text1"/>
          <w:szCs w:val="24"/>
        </w:rPr>
        <w:lastRenderedPageBreak/>
        <w:t xml:space="preserve">Councillor Cochrane outlined that the </w:t>
      </w:r>
      <w:r w:rsidR="000A0464">
        <w:rPr>
          <w:rFonts w:cs="Arial"/>
          <w:color w:val="000000" w:themeColor="text1"/>
          <w:szCs w:val="24"/>
        </w:rPr>
        <w:t>m</w:t>
      </w:r>
      <w:r>
        <w:rPr>
          <w:rFonts w:cs="Arial"/>
          <w:color w:val="000000" w:themeColor="text1"/>
          <w:szCs w:val="24"/>
        </w:rPr>
        <w:t xml:space="preserve">otion expressed deep concern that </w:t>
      </w:r>
      <w:proofErr w:type="gramStart"/>
      <w:r>
        <w:rPr>
          <w:rFonts w:cs="Arial"/>
          <w:color w:val="000000" w:themeColor="text1"/>
          <w:szCs w:val="24"/>
        </w:rPr>
        <w:t>the  definition</w:t>
      </w:r>
      <w:proofErr w:type="gramEnd"/>
      <w:r>
        <w:rPr>
          <w:rFonts w:cs="Arial"/>
          <w:color w:val="000000" w:themeColor="text1"/>
          <w:szCs w:val="24"/>
        </w:rPr>
        <w:t xml:space="preserve"> of a victim in current policy and political language failed to draw a clear line on those that committed acts of violence during </w:t>
      </w:r>
      <w:r w:rsidR="000A0464">
        <w:rPr>
          <w:rFonts w:cs="Arial"/>
          <w:color w:val="000000" w:themeColor="text1"/>
          <w:szCs w:val="24"/>
        </w:rPr>
        <w:t>T</w:t>
      </w:r>
      <w:r>
        <w:rPr>
          <w:rFonts w:cs="Arial"/>
          <w:color w:val="000000" w:themeColor="text1"/>
          <w:szCs w:val="24"/>
        </w:rPr>
        <w:t xml:space="preserve">he </w:t>
      </w:r>
      <w:r w:rsidR="000A0464">
        <w:rPr>
          <w:rFonts w:cs="Arial"/>
          <w:color w:val="000000" w:themeColor="text1"/>
          <w:szCs w:val="24"/>
        </w:rPr>
        <w:t>T</w:t>
      </w:r>
      <w:r>
        <w:rPr>
          <w:rFonts w:cs="Arial"/>
          <w:color w:val="000000" w:themeColor="text1"/>
          <w:szCs w:val="24"/>
        </w:rPr>
        <w:t xml:space="preserve">roubles and those that were harmed by them. </w:t>
      </w:r>
      <w:r w:rsidR="00BF0007">
        <w:rPr>
          <w:rFonts w:cs="Arial"/>
          <w:color w:val="000000" w:themeColor="text1"/>
          <w:szCs w:val="24"/>
        </w:rPr>
        <w:t xml:space="preserve">The motion further expressed concern regarding recent comments from the Justice Minister </w:t>
      </w:r>
      <w:r w:rsidR="00B533CE">
        <w:rPr>
          <w:rFonts w:cs="Arial"/>
          <w:color w:val="000000" w:themeColor="text1"/>
          <w:szCs w:val="24"/>
        </w:rPr>
        <w:t xml:space="preserve">that </w:t>
      </w:r>
      <w:r w:rsidR="00BF0007">
        <w:rPr>
          <w:rFonts w:cs="Arial"/>
          <w:color w:val="000000" w:themeColor="text1"/>
          <w:szCs w:val="24"/>
        </w:rPr>
        <w:t xml:space="preserve">had compounded confusion by suggesting that those who carried out acts of terrorism could also be considered victims themselves. </w:t>
      </w:r>
    </w:p>
    <w:p w14:paraId="6EDD7EB3" w14:textId="77777777" w:rsidR="000A0464" w:rsidRDefault="000A0464" w:rsidP="00D942C5">
      <w:pPr>
        <w:rPr>
          <w:rFonts w:cs="Arial"/>
          <w:color w:val="000000" w:themeColor="text1"/>
          <w:szCs w:val="24"/>
        </w:rPr>
      </w:pPr>
    </w:p>
    <w:p w14:paraId="71639114" w14:textId="77777777" w:rsidR="000A0464" w:rsidRDefault="00BF0007" w:rsidP="00D942C5">
      <w:pPr>
        <w:rPr>
          <w:rFonts w:cs="Arial"/>
          <w:color w:val="000000" w:themeColor="text1"/>
          <w:szCs w:val="24"/>
        </w:rPr>
      </w:pPr>
      <w:r>
        <w:rPr>
          <w:rFonts w:cs="Arial"/>
          <w:color w:val="000000" w:themeColor="text1"/>
          <w:szCs w:val="24"/>
        </w:rPr>
        <w:t xml:space="preserve">Councillor Cochrane emphasised that was not a minor matter and went to </w:t>
      </w:r>
      <w:r w:rsidR="00B96861">
        <w:rPr>
          <w:rFonts w:cs="Arial"/>
          <w:color w:val="000000" w:themeColor="text1"/>
          <w:szCs w:val="24"/>
        </w:rPr>
        <w:t xml:space="preserve">the </w:t>
      </w:r>
      <w:r>
        <w:rPr>
          <w:rFonts w:cs="Arial"/>
          <w:color w:val="000000" w:themeColor="text1"/>
          <w:szCs w:val="24"/>
        </w:rPr>
        <w:t>very heart of justice, morality and truth. There was no equivalence between victim makers and innocent victims. Those that planted bombs, pulled triggers and brought fear to communities were not victims of the conflict, instead</w:t>
      </w:r>
      <w:r w:rsidR="00B96861">
        <w:rPr>
          <w:rFonts w:cs="Arial"/>
          <w:color w:val="000000" w:themeColor="text1"/>
          <w:szCs w:val="24"/>
        </w:rPr>
        <w:t xml:space="preserve"> they were</w:t>
      </w:r>
      <w:r>
        <w:rPr>
          <w:rFonts w:cs="Arial"/>
          <w:color w:val="000000" w:themeColor="text1"/>
          <w:szCs w:val="24"/>
        </w:rPr>
        <w:t xml:space="preserve"> perpetrators. To blur that line whether through legislation, language or political compromise was an insult to those that suffered most. </w:t>
      </w:r>
    </w:p>
    <w:p w14:paraId="05870600" w14:textId="77777777" w:rsidR="000A0464" w:rsidRDefault="000A0464" w:rsidP="00D942C5">
      <w:pPr>
        <w:rPr>
          <w:rFonts w:cs="Arial"/>
          <w:color w:val="000000" w:themeColor="text1"/>
          <w:szCs w:val="24"/>
        </w:rPr>
      </w:pPr>
    </w:p>
    <w:p w14:paraId="09391F71" w14:textId="77777777" w:rsidR="000A0464" w:rsidRDefault="00BF0007" w:rsidP="00D942C5">
      <w:pPr>
        <w:rPr>
          <w:rFonts w:cs="Arial"/>
          <w:color w:val="000000" w:themeColor="text1"/>
          <w:szCs w:val="24"/>
        </w:rPr>
      </w:pPr>
      <w:r>
        <w:rPr>
          <w:rFonts w:cs="Arial"/>
          <w:color w:val="000000" w:themeColor="text1"/>
          <w:szCs w:val="24"/>
        </w:rPr>
        <w:t xml:space="preserve">Councillor Cochrane referred to the events that occurred in Main Street, Bangor on </w:t>
      </w:r>
      <w:r w:rsidR="00B533CE">
        <w:rPr>
          <w:rFonts w:cs="Arial"/>
          <w:color w:val="000000" w:themeColor="text1"/>
          <w:szCs w:val="24"/>
        </w:rPr>
        <w:t xml:space="preserve">7 </w:t>
      </w:r>
      <w:r>
        <w:rPr>
          <w:rFonts w:cs="Arial"/>
          <w:color w:val="000000" w:themeColor="text1"/>
          <w:szCs w:val="24"/>
        </w:rPr>
        <w:t xml:space="preserve">March 1993 when </w:t>
      </w:r>
      <w:r w:rsidR="00B96861">
        <w:rPr>
          <w:rFonts w:cs="Arial"/>
          <w:color w:val="000000" w:themeColor="text1"/>
          <w:szCs w:val="24"/>
        </w:rPr>
        <w:t>the</w:t>
      </w:r>
      <w:r>
        <w:rPr>
          <w:rFonts w:cs="Arial"/>
          <w:color w:val="000000" w:themeColor="text1"/>
          <w:szCs w:val="24"/>
        </w:rPr>
        <w:t xml:space="preserve"> IRA </w:t>
      </w:r>
      <w:r w:rsidR="00767C56" w:rsidRPr="00767C56">
        <w:rPr>
          <w:rFonts w:cs="Arial"/>
          <w:color w:val="000000" w:themeColor="text1"/>
          <w:szCs w:val="24"/>
        </w:rPr>
        <w:t xml:space="preserve">detonated </w:t>
      </w:r>
      <w:r>
        <w:rPr>
          <w:rFonts w:cs="Arial"/>
          <w:color w:val="000000" w:themeColor="text1"/>
          <w:szCs w:val="24"/>
        </w:rPr>
        <w:t xml:space="preserve">a car bomb, four RUC </w:t>
      </w:r>
      <w:r w:rsidR="000A0464">
        <w:rPr>
          <w:rFonts w:cs="Arial"/>
          <w:color w:val="000000" w:themeColor="text1"/>
          <w:szCs w:val="24"/>
        </w:rPr>
        <w:t>o</w:t>
      </w:r>
      <w:r>
        <w:rPr>
          <w:rFonts w:cs="Arial"/>
          <w:color w:val="000000" w:themeColor="text1"/>
          <w:szCs w:val="24"/>
        </w:rPr>
        <w:t xml:space="preserve">fficers were injured in the explosion and the blast caused devastation throughout </w:t>
      </w:r>
      <w:r w:rsidR="00904F0D">
        <w:rPr>
          <w:rFonts w:cs="Arial"/>
          <w:color w:val="000000" w:themeColor="text1"/>
          <w:szCs w:val="24"/>
        </w:rPr>
        <w:t>the area. The Justice Minister</w:t>
      </w:r>
      <w:r w:rsidR="00B533CE">
        <w:rPr>
          <w:rFonts w:cs="Arial"/>
          <w:color w:val="000000" w:themeColor="text1"/>
          <w:szCs w:val="24"/>
        </w:rPr>
        <w:t>’</w:t>
      </w:r>
      <w:r w:rsidR="00904F0D">
        <w:rPr>
          <w:rFonts w:cs="Arial"/>
          <w:color w:val="000000" w:themeColor="text1"/>
          <w:szCs w:val="24"/>
        </w:rPr>
        <w:t>s recent comment</w:t>
      </w:r>
      <w:r w:rsidR="00CA7D27">
        <w:rPr>
          <w:rFonts w:cs="Arial"/>
          <w:color w:val="000000" w:themeColor="text1"/>
          <w:szCs w:val="24"/>
        </w:rPr>
        <w:t>s</w:t>
      </w:r>
      <w:r w:rsidR="00B533CE">
        <w:rPr>
          <w:rFonts w:cs="Arial"/>
          <w:color w:val="000000" w:themeColor="text1"/>
          <w:szCs w:val="24"/>
        </w:rPr>
        <w:t>,</w:t>
      </w:r>
      <w:r w:rsidR="00904F0D">
        <w:rPr>
          <w:rFonts w:cs="Arial"/>
          <w:color w:val="000000" w:themeColor="text1"/>
          <w:szCs w:val="24"/>
        </w:rPr>
        <w:t xml:space="preserve"> </w:t>
      </w:r>
      <w:r w:rsidR="00B533CE">
        <w:rPr>
          <w:rFonts w:cs="Arial"/>
          <w:color w:val="000000" w:themeColor="text1"/>
          <w:szCs w:val="24"/>
        </w:rPr>
        <w:t xml:space="preserve">which </w:t>
      </w:r>
      <w:r w:rsidR="00904F0D">
        <w:rPr>
          <w:rFonts w:cs="Arial"/>
          <w:color w:val="000000" w:themeColor="text1"/>
          <w:szCs w:val="24"/>
        </w:rPr>
        <w:t>implied that those that perpetrated violence might also be considered as victims</w:t>
      </w:r>
      <w:r w:rsidR="00B533CE">
        <w:rPr>
          <w:rFonts w:cs="Arial"/>
          <w:color w:val="000000" w:themeColor="text1"/>
          <w:szCs w:val="24"/>
        </w:rPr>
        <w:t>,</w:t>
      </w:r>
      <w:r w:rsidR="00904F0D">
        <w:rPr>
          <w:rFonts w:cs="Arial"/>
          <w:color w:val="000000" w:themeColor="text1"/>
          <w:szCs w:val="24"/>
        </w:rPr>
        <w:t xml:space="preserve"> were deeply hurtful to many innocent families. Th</w:t>
      </w:r>
      <w:r w:rsidR="000A0464">
        <w:rPr>
          <w:rFonts w:cs="Arial"/>
          <w:color w:val="000000" w:themeColor="text1"/>
          <w:szCs w:val="24"/>
        </w:rPr>
        <w:t>at</w:t>
      </w:r>
      <w:r w:rsidR="00904F0D">
        <w:rPr>
          <w:rFonts w:cs="Arial"/>
          <w:color w:val="000000" w:themeColor="text1"/>
          <w:szCs w:val="24"/>
        </w:rPr>
        <w:t xml:space="preserve"> matter was not about political point </w:t>
      </w:r>
      <w:proofErr w:type="gramStart"/>
      <w:r w:rsidR="00904F0D">
        <w:rPr>
          <w:rFonts w:cs="Arial"/>
          <w:color w:val="000000" w:themeColor="text1"/>
          <w:szCs w:val="24"/>
        </w:rPr>
        <w:t>scoring,</w:t>
      </w:r>
      <w:proofErr w:type="gramEnd"/>
      <w:r w:rsidR="00904F0D">
        <w:rPr>
          <w:rFonts w:cs="Arial"/>
          <w:color w:val="000000" w:themeColor="text1"/>
          <w:szCs w:val="24"/>
        </w:rPr>
        <w:t xml:space="preserve"> it was about leadership and sensitivity.</w:t>
      </w:r>
    </w:p>
    <w:p w14:paraId="641DAFB0" w14:textId="77777777" w:rsidR="000A0464" w:rsidRDefault="000A0464" w:rsidP="00D942C5">
      <w:pPr>
        <w:rPr>
          <w:rFonts w:cs="Arial"/>
          <w:color w:val="000000" w:themeColor="text1"/>
          <w:szCs w:val="24"/>
        </w:rPr>
      </w:pPr>
    </w:p>
    <w:p w14:paraId="0EC9B39A" w14:textId="77777777" w:rsidR="000A0464" w:rsidRDefault="000A0464" w:rsidP="00D942C5">
      <w:pPr>
        <w:rPr>
          <w:rFonts w:cs="Arial"/>
          <w:color w:val="000000" w:themeColor="text1"/>
          <w:szCs w:val="24"/>
        </w:rPr>
      </w:pPr>
      <w:r>
        <w:rPr>
          <w:rFonts w:cs="Arial"/>
          <w:color w:val="000000" w:themeColor="text1"/>
          <w:szCs w:val="24"/>
        </w:rPr>
        <w:t>He went on to state that s</w:t>
      </w:r>
      <w:r w:rsidR="00904F0D">
        <w:rPr>
          <w:rFonts w:cs="Arial"/>
          <w:color w:val="000000" w:themeColor="text1"/>
          <w:szCs w:val="24"/>
        </w:rPr>
        <w:t>uch comments knock</w:t>
      </w:r>
      <w:r w:rsidR="00B96861">
        <w:rPr>
          <w:rFonts w:cs="Arial"/>
          <w:color w:val="000000" w:themeColor="text1"/>
          <w:szCs w:val="24"/>
        </w:rPr>
        <w:t>ed</w:t>
      </w:r>
      <w:r w:rsidR="00904F0D">
        <w:rPr>
          <w:rFonts w:cs="Arial"/>
          <w:color w:val="000000" w:themeColor="text1"/>
          <w:szCs w:val="24"/>
        </w:rPr>
        <w:t xml:space="preserve"> confidence for </w:t>
      </w:r>
      <w:r w:rsidR="00CA7D27">
        <w:rPr>
          <w:rFonts w:cs="Arial"/>
          <w:color w:val="000000" w:themeColor="text1"/>
          <w:szCs w:val="24"/>
        </w:rPr>
        <w:t xml:space="preserve">victims and </w:t>
      </w:r>
      <w:proofErr w:type="gramStart"/>
      <w:r w:rsidR="00904F0D">
        <w:rPr>
          <w:rFonts w:cs="Arial"/>
          <w:color w:val="000000" w:themeColor="text1"/>
          <w:szCs w:val="24"/>
        </w:rPr>
        <w:t>survivors</w:t>
      </w:r>
      <w:proofErr w:type="gramEnd"/>
      <w:r>
        <w:rPr>
          <w:rFonts w:cs="Arial"/>
          <w:color w:val="000000" w:themeColor="text1"/>
          <w:szCs w:val="24"/>
        </w:rPr>
        <w:t xml:space="preserve"> and i</w:t>
      </w:r>
      <w:r w:rsidR="00904F0D">
        <w:rPr>
          <w:rFonts w:cs="Arial"/>
          <w:color w:val="000000" w:themeColor="text1"/>
          <w:szCs w:val="24"/>
        </w:rPr>
        <w:t xml:space="preserve">t undermined their faith that the system would protect and respect them. Councillor Cochrane believed the role of </w:t>
      </w:r>
      <w:r w:rsidR="00B96861">
        <w:rPr>
          <w:rFonts w:cs="Arial"/>
          <w:color w:val="000000" w:themeColor="text1"/>
          <w:szCs w:val="24"/>
        </w:rPr>
        <w:t xml:space="preserve">the </w:t>
      </w:r>
      <w:r w:rsidR="00904F0D">
        <w:rPr>
          <w:rFonts w:cs="Arial"/>
          <w:color w:val="000000" w:themeColor="text1"/>
          <w:szCs w:val="24"/>
        </w:rPr>
        <w:t>Justice Minister above all should be</w:t>
      </w:r>
      <w:r w:rsidR="00B96861">
        <w:rPr>
          <w:rFonts w:cs="Arial"/>
          <w:color w:val="000000" w:themeColor="text1"/>
          <w:szCs w:val="24"/>
        </w:rPr>
        <w:t xml:space="preserve"> to</w:t>
      </w:r>
      <w:r w:rsidR="00904F0D">
        <w:rPr>
          <w:rFonts w:cs="Arial"/>
          <w:color w:val="000000" w:themeColor="text1"/>
          <w:szCs w:val="24"/>
        </w:rPr>
        <w:t xml:space="preserve"> uphold moral clarity and ensure that innocent victims were never made to feel that th</w:t>
      </w:r>
      <w:r w:rsidR="00B96861">
        <w:rPr>
          <w:rFonts w:cs="Arial"/>
          <w:color w:val="000000" w:themeColor="text1"/>
          <w:szCs w:val="24"/>
        </w:rPr>
        <w:t>eir</w:t>
      </w:r>
      <w:r w:rsidR="00904F0D">
        <w:rPr>
          <w:rFonts w:cs="Arial"/>
          <w:color w:val="000000" w:themeColor="text1"/>
          <w:szCs w:val="24"/>
        </w:rPr>
        <w:t xml:space="preserve"> suffering could be equated to those that caused that suffering. </w:t>
      </w:r>
    </w:p>
    <w:p w14:paraId="57D4C64B" w14:textId="77777777" w:rsidR="000A0464" w:rsidRDefault="000A0464" w:rsidP="00D942C5">
      <w:pPr>
        <w:rPr>
          <w:rFonts w:cs="Arial"/>
          <w:color w:val="000000" w:themeColor="text1"/>
          <w:szCs w:val="24"/>
        </w:rPr>
      </w:pPr>
    </w:p>
    <w:p w14:paraId="4DEAFAF5" w14:textId="77777777" w:rsidR="000A0464" w:rsidRDefault="00904F0D" w:rsidP="00D942C5">
      <w:pPr>
        <w:rPr>
          <w:rFonts w:cs="Arial"/>
          <w:color w:val="000000" w:themeColor="text1"/>
          <w:szCs w:val="24"/>
        </w:rPr>
      </w:pPr>
      <w:r>
        <w:rPr>
          <w:rFonts w:cs="Arial"/>
          <w:color w:val="000000" w:themeColor="text1"/>
          <w:szCs w:val="24"/>
        </w:rPr>
        <w:t xml:space="preserve">The motion called on the Justice Minister to </w:t>
      </w:r>
      <w:r w:rsidR="00CA7D27">
        <w:rPr>
          <w:rFonts w:cs="Arial"/>
          <w:color w:val="000000" w:themeColor="text1"/>
          <w:szCs w:val="24"/>
        </w:rPr>
        <w:t xml:space="preserve">personally </w:t>
      </w:r>
      <w:r>
        <w:rPr>
          <w:rFonts w:cs="Arial"/>
          <w:color w:val="000000" w:themeColor="text1"/>
          <w:szCs w:val="24"/>
        </w:rPr>
        <w:t>apologise t</w:t>
      </w:r>
      <w:r w:rsidR="00B96861">
        <w:rPr>
          <w:rFonts w:cs="Arial"/>
          <w:color w:val="000000" w:themeColor="text1"/>
          <w:szCs w:val="24"/>
        </w:rPr>
        <w:t>o t</w:t>
      </w:r>
      <w:r>
        <w:rPr>
          <w:rFonts w:cs="Arial"/>
          <w:color w:val="000000" w:themeColor="text1"/>
          <w:szCs w:val="24"/>
        </w:rPr>
        <w:t xml:space="preserve">he victims and families who had been hurt by the words. </w:t>
      </w:r>
      <w:r w:rsidR="000A0464">
        <w:rPr>
          <w:rFonts w:cs="Arial"/>
          <w:color w:val="000000" w:themeColor="text1"/>
          <w:szCs w:val="24"/>
        </w:rPr>
        <w:t xml:space="preserve"> </w:t>
      </w:r>
      <w:r>
        <w:rPr>
          <w:rFonts w:cs="Arial"/>
          <w:color w:val="000000" w:themeColor="text1"/>
          <w:szCs w:val="24"/>
        </w:rPr>
        <w:t xml:space="preserve">By removing the word innocent, there was a risk </w:t>
      </w:r>
      <w:r w:rsidR="00B96861">
        <w:rPr>
          <w:rFonts w:cs="Arial"/>
          <w:color w:val="000000" w:themeColor="text1"/>
          <w:szCs w:val="24"/>
        </w:rPr>
        <w:t xml:space="preserve">of </w:t>
      </w:r>
      <w:r>
        <w:rPr>
          <w:rFonts w:cs="Arial"/>
          <w:color w:val="000000" w:themeColor="text1"/>
          <w:szCs w:val="24"/>
        </w:rPr>
        <w:t xml:space="preserve">sending </w:t>
      </w:r>
      <w:r w:rsidR="00B96861">
        <w:rPr>
          <w:rFonts w:cs="Arial"/>
          <w:color w:val="000000" w:themeColor="text1"/>
          <w:szCs w:val="24"/>
        </w:rPr>
        <w:t>a</w:t>
      </w:r>
      <w:r>
        <w:rPr>
          <w:rFonts w:cs="Arial"/>
          <w:color w:val="000000" w:themeColor="text1"/>
          <w:szCs w:val="24"/>
        </w:rPr>
        <w:t xml:space="preserve"> message that all suffering was </w:t>
      </w:r>
      <w:proofErr w:type="gramStart"/>
      <w:r>
        <w:rPr>
          <w:rFonts w:cs="Arial"/>
          <w:color w:val="000000" w:themeColor="text1"/>
          <w:szCs w:val="24"/>
        </w:rPr>
        <w:t>equal</w:t>
      </w:r>
      <w:proofErr w:type="gramEnd"/>
      <w:r>
        <w:rPr>
          <w:rFonts w:cs="Arial"/>
          <w:color w:val="000000" w:themeColor="text1"/>
          <w:szCs w:val="24"/>
        </w:rPr>
        <w:t xml:space="preserve"> and responsibility was shared</w:t>
      </w:r>
      <w:r w:rsidR="000A0464">
        <w:rPr>
          <w:rFonts w:cs="Arial"/>
          <w:color w:val="000000" w:themeColor="text1"/>
          <w:szCs w:val="24"/>
        </w:rPr>
        <w:t xml:space="preserve"> and </w:t>
      </w:r>
      <w:r>
        <w:rPr>
          <w:rFonts w:cs="Arial"/>
          <w:color w:val="000000" w:themeColor="text1"/>
          <w:szCs w:val="24"/>
        </w:rPr>
        <w:t>that was not the reality of what happened in N</w:t>
      </w:r>
      <w:r w:rsidR="000A0464">
        <w:rPr>
          <w:rFonts w:cs="Arial"/>
          <w:color w:val="000000" w:themeColor="text1"/>
          <w:szCs w:val="24"/>
        </w:rPr>
        <w:t xml:space="preserve">orthern </w:t>
      </w:r>
      <w:r>
        <w:rPr>
          <w:rFonts w:cs="Arial"/>
          <w:color w:val="000000" w:themeColor="text1"/>
          <w:szCs w:val="24"/>
        </w:rPr>
        <w:t>I</w:t>
      </w:r>
      <w:r w:rsidR="000A0464">
        <w:rPr>
          <w:rFonts w:cs="Arial"/>
          <w:color w:val="000000" w:themeColor="text1"/>
          <w:szCs w:val="24"/>
        </w:rPr>
        <w:t>reland</w:t>
      </w:r>
      <w:r>
        <w:rPr>
          <w:rFonts w:cs="Arial"/>
          <w:color w:val="000000" w:themeColor="text1"/>
          <w:szCs w:val="24"/>
        </w:rPr>
        <w:t xml:space="preserve">. </w:t>
      </w:r>
      <w:r w:rsidR="000A0464">
        <w:rPr>
          <w:rFonts w:cs="Arial"/>
          <w:color w:val="000000" w:themeColor="text1"/>
          <w:szCs w:val="24"/>
        </w:rPr>
        <w:t xml:space="preserve"> </w:t>
      </w:r>
      <w:r>
        <w:rPr>
          <w:rFonts w:cs="Arial"/>
          <w:color w:val="000000" w:themeColor="text1"/>
          <w:szCs w:val="24"/>
        </w:rPr>
        <w:t xml:space="preserve">Many people were targeted because they wore a uniform, they served the community </w:t>
      </w:r>
      <w:r w:rsidR="00FD1597">
        <w:rPr>
          <w:rFonts w:cs="Arial"/>
          <w:color w:val="000000" w:themeColor="text1"/>
          <w:szCs w:val="24"/>
        </w:rPr>
        <w:t>or w</w:t>
      </w:r>
      <w:r w:rsidR="00CA7D27">
        <w:rPr>
          <w:rFonts w:cs="Arial"/>
          <w:color w:val="000000" w:themeColor="text1"/>
          <w:szCs w:val="24"/>
        </w:rPr>
        <w:t>h</w:t>
      </w:r>
      <w:r w:rsidR="00FD1597">
        <w:rPr>
          <w:rFonts w:cs="Arial"/>
          <w:color w:val="000000" w:themeColor="text1"/>
          <w:szCs w:val="24"/>
        </w:rPr>
        <w:t>ere in the wrong place at the wrong time. Their innoce</w:t>
      </w:r>
      <w:r w:rsidR="00B533CE">
        <w:rPr>
          <w:rFonts w:cs="Arial"/>
          <w:color w:val="000000" w:themeColor="text1"/>
          <w:szCs w:val="24"/>
        </w:rPr>
        <w:t>nce</w:t>
      </w:r>
      <w:r w:rsidR="00FD1597">
        <w:rPr>
          <w:rFonts w:cs="Arial"/>
          <w:color w:val="000000" w:themeColor="text1"/>
          <w:szCs w:val="24"/>
        </w:rPr>
        <w:t xml:space="preserve"> was beyond question and should never be erased for political </w:t>
      </w:r>
      <w:r w:rsidR="00CA7D27">
        <w:rPr>
          <w:rFonts w:cs="Arial"/>
          <w:color w:val="000000" w:themeColor="text1"/>
          <w:szCs w:val="24"/>
        </w:rPr>
        <w:t>convenience</w:t>
      </w:r>
      <w:r w:rsidR="00FD1597">
        <w:rPr>
          <w:rFonts w:cs="Arial"/>
          <w:color w:val="000000" w:themeColor="text1"/>
          <w:szCs w:val="24"/>
        </w:rPr>
        <w:t>.</w:t>
      </w:r>
      <w:r w:rsidR="00CA7D27">
        <w:rPr>
          <w:rFonts w:cs="Arial"/>
          <w:color w:val="000000" w:themeColor="text1"/>
          <w:szCs w:val="24"/>
        </w:rPr>
        <w:t xml:space="preserve"> </w:t>
      </w:r>
    </w:p>
    <w:p w14:paraId="0753B67D" w14:textId="77777777" w:rsidR="000A0464" w:rsidRDefault="000A0464" w:rsidP="00D942C5">
      <w:pPr>
        <w:rPr>
          <w:rFonts w:cs="Arial"/>
          <w:color w:val="000000" w:themeColor="text1"/>
          <w:szCs w:val="24"/>
        </w:rPr>
      </w:pPr>
    </w:p>
    <w:p w14:paraId="79F0D65E" w14:textId="680497E5" w:rsidR="00BF0007" w:rsidRDefault="000A0464" w:rsidP="00D942C5">
      <w:pPr>
        <w:rPr>
          <w:rFonts w:cs="Arial"/>
          <w:color w:val="000000" w:themeColor="text1"/>
          <w:szCs w:val="24"/>
        </w:rPr>
      </w:pPr>
      <w:r>
        <w:rPr>
          <w:rFonts w:cs="Arial"/>
          <w:color w:val="000000" w:themeColor="text1"/>
          <w:szCs w:val="24"/>
        </w:rPr>
        <w:t xml:space="preserve">He suggested that the </w:t>
      </w:r>
      <w:r w:rsidR="00CA7D27">
        <w:rPr>
          <w:rFonts w:cs="Arial"/>
          <w:color w:val="000000" w:themeColor="text1"/>
          <w:szCs w:val="24"/>
        </w:rPr>
        <w:t>Council had a moral duty to speak up for those whose voices were often overlooked; the be</w:t>
      </w:r>
      <w:r w:rsidR="00B96861">
        <w:rPr>
          <w:rFonts w:cs="Arial"/>
          <w:color w:val="000000" w:themeColor="text1"/>
          <w:szCs w:val="24"/>
        </w:rPr>
        <w:t>reaved</w:t>
      </w:r>
      <w:r w:rsidR="00CA7D27">
        <w:rPr>
          <w:rFonts w:cs="Arial"/>
          <w:color w:val="000000" w:themeColor="text1"/>
          <w:szCs w:val="24"/>
        </w:rPr>
        <w:t xml:space="preserve">, the injured, the families who lived with those </w:t>
      </w:r>
      <w:r w:rsidR="00B96861">
        <w:rPr>
          <w:rFonts w:cs="Arial"/>
          <w:color w:val="000000" w:themeColor="text1"/>
          <w:szCs w:val="24"/>
        </w:rPr>
        <w:t xml:space="preserve">memories </w:t>
      </w:r>
      <w:r w:rsidR="00CA7D27">
        <w:rPr>
          <w:rFonts w:cs="Arial"/>
          <w:color w:val="000000" w:themeColor="text1"/>
          <w:szCs w:val="24"/>
        </w:rPr>
        <w:t xml:space="preserve">every day. </w:t>
      </w:r>
      <w:r>
        <w:rPr>
          <w:rFonts w:cs="Arial"/>
          <w:color w:val="000000" w:themeColor="text1"/>
          <w:szCs w:val="24"/>
        </w:rPr>
        <w:t xml:space="preserve"> </w:t>
      </w:r>
      <w:r w:rsidR="00CA7D27">
        <w:rPr>
          <w:rFonts w:cs="Arial"/>
          <w:color w:val="000000" w:themeColor="text1"/>
          <w:szCs w:val="24"/>
        </w:rPr>
        <w:t xml:space="preserve">Councillor Cochrane stated that what had been done could not be undone but </w:t>
      </w:r>
      <w:r w:rsidR="00B96861">
        <w:rPr>
          <w:rFonts w:cs="Arial"/>
          <w:color w:val="000000" w:themeColor="text1"/>
          <w:szCs w:val="24"/>
        </w:rPr>
        <w:t>he</w:t>
      </w:r>
      <w:r w:rsidR="00CA7D27">
        <w:rPr>
          <w:rFonts w:cs="Arial"/>
          <w:color w:val="000000" w:themeColor="text1"/>
          <w:szCs w:val="24"/>
        </w:rPr>
        <w:t xml:space="preserve"> refuse</w:t>
      </w:r>
      <w:r w:rsidR="00B96861">
        <w:rPr>
          <w:rFonts w:cs="Arial"/>
          <w:color w:val="000000" w:themeColor="text1"/>
          <w:szCs w:val="24"/>
        </w:rPr>
        <w:t>d</w:t>
      </w:r>
      <w:r w:rsidR="00CA7D27">
        <w:rPr>
          <w:rFonts w:cs="Arial"/>
          <w:color w:val="000000" w:themeColor="text1"/>
          <w:szCs w:val="24"/>
        </w:rPr>
        <w:t xml:space="preserve"> to mix the innocent with the guilt</w:t>
      </w:r>
      <w:r w:rsidR="00B533CE">
        <w:rPr>
          <w:rFonts w:cs="Arial"/>
          <w:color w:val="000000" w:themeColor="text1"/>
          <w:szCs w:val="24"/>
        </w:rPr>
        <w:t>y</w:t>
      </w:r>
      <w:r w:rsidR="00CA7D27">
        <w:rPr>
          <w:rFonts w:cs="Arial"/>
          <w:color w:val="000000" w:themeColor="text1"/>
          <w:szCs w:val="24"/>
        </w:rPr>
        <w:t xml:space="preserve"> and to let moral clarity be replaced with political ambiguity</w:t>
      </w:r>
      <w:r>
        <w:rPr>
          <w:rFonts w:cs="Arial"/>
          <w:color w:val="000000" w:themeColor="text1"/>
          <w:szCs w:val="24"/>
        </w:rPr>
        <w:t xml:space="preserve"> and he thought that t</w:t>
      </w:r>
      <w:r w:rsidR="00CA7D27">
        <w:rPr>
          <w:rFonts w:cs="Arial"/>
          <w:color w:val="000000" w:themeColor="text1"/>
          <w:szCs w:val="24"/>
        </w:rPr>
        <w:t xml:space="preserve">his motion provided the opportunity to stand for fairness, decency and truth. </w:t>
      </w:r>
    </w:p>
    <w:p w14:paraId="5B0D5316" w14:textId="77777777" w:rsidR="00AE5A50" w:rsidRDefault="00AE5A50" w:rsidP="00D942C5">
      <w:pPr>
        <w:rPr>
          <w:rFonts w:cs="Arial"/>
          <w:color w:val="000000" w:themeColor="text1"/>
          <w:szCs w:val="24"/>
        </w:rPr>
      </w:pPr>
    </w:p>
    <w:p w14:paraId="57C80545" w14:textId="34CD6563" w:rsidR="00AE5A50" w:rsidRPr="003C2877" w:rsidRDefault="00AE5A50" w:rsidP="00AE5A50">
      <w:r>
        <w:rPr>
          <w:rFonts w:cs="Arial"/>
          <w:color w:val="000000" w:themeColor="text1"/>
          <w:szCs w:val="24"/>
        </w:rPr>
        <w:t xml:space="preserve">Councillor Gilmour </w:t>
      </w:r>
      <w:r w:rsidR="00FD1597">
        <w:rPr>
          <w:rFonts w:cs="Arial"/>
          <w:color w:val="000000" w:themeColor="text1"/>
          <w:szCs w:val="24"/>
        </w:rPr>
        <w:t xml:space="preserve">rose to </w:t>
      </w:r>
      <w:r w:rsidRPr="003C2877">
        <w:t xml:space="preserve">second </w:t>
      </w:r>
      <w:r w:rsidR="00FD1597">
        <w:t xml:space="preserve">the </w:t>
      </w:r>
      <w:r w:rsidRPr="003C2877">
        <w:t>motion and thank</w:t>
      </w:r>
      <w:r w:rsidR="00FD1597">
        <w:t>ed</w:t>
      </w:r>
      <w:r w:rsidRPr="003C2877">
        <w:t xml:space="preserve"> Councillor Cochrane for such a principled proposal. The issues raised </w:t>
      </w:r>
      <w:r w:rsidR="00B96861">
        <w:t>went</w:t>
      </w:r>
      <w:r w:rsidRPr="003C2877">
        <w:t xml:space="preserve"> to the heart of what it mean</w:t>
      </w:r>
      <w:r w:rsidR="00FD1597">
        <w:t xml:space="preserve">t </w:t>
      </w:r>
      <w:r w:rsidRPr="003C2877">
        <w:t xml:space="preserve">to serve </w:t>
      </w:r>
      <w:r w:rsidR="00FD1597">
        <w:t xml:space="preserve">the </w:t>
      </w:r>
      <w:r w:rsidRPr="003C2877">
        <w:t>community with integrity and compassion.  Those who serve</w:t>
      </w:r>
      <w:r w:rsidR="00FD1597">
        <w:t>d</w:t>
      </w:r>
      <w:r w:rsidRPr="003C2877">
        <w:t xml:space="preserve"> in elected roles ha</w:t>
      </w:r>
      <w:r w:rsidR="00FD1597">
        <w:t>d</w:t>
      </w:r>
      <w:r w:rsidRPr="003C2877">
        <w:t xml:space="preserve"> to have integrity, respect and the trust of the electorate who </w:t>
      </w:r>
      <w:r w:rsidR="00FD1597" w:rsidRPr="003C2877">
        <w:t>appoint</w:t>
      </w:r>
      <w:r w:rsidR="00FD1597">
        <w:t>ed</w:t>
      </w:r>
      <w:r w:rsidRPr="003C2877">
        <w:t xml:space="preserve"> </w:t>
      </w:r>
      <w:r w:rsidR="00FD1597">
        <w:t>them. She highlighted that the motion was being discussed on R</w:t>
      </w:r>
      <w:r w:rsidRPr="003C2877">
        <w:t xml:space="preserve">emembrance Day. Across </w:t>
      </w:r>
      <w:r w:rsidR="00FD1597">
        <w:t>the B</w:t>
      </w:r>
      <w:r w:rsidRPr="003C2877">
        <w:t xml:space="preserve">orough and country, </w:t>
      </w:r>
      <w:r w:rsidR="00FD1597">
        <w:t xml:space="preserve">people </w:t>
      </w:r>
      <w:r w:rsidRPr="003C2877">
        <w:t>pause</w:t>
      </w:r>
      <w:r w:rsidR="00B96861">
        <w:t>d</w:t>
      </w:r>
      <w:r w:rsidRPr="003C2877">
        <w:t xml:space="preserve"> to remember the fallen</w:t>
      </w:r>
      <w:r w:rsidR="00B96861">
        <w:t>,</w:t>
      </w:r>
      <w:r w:rsidRPr="003C2877">
        <w:t xml:space="preserve"> those who gave their lives in service and in pursuit of peace. On th</w:t>
      </w:r>
      <w:r w:rsidR="00B96861">
        <w:t>e</w:t>
      </w:r>
      <w:r w:rsidRPr="003C2877">
        <w:t xml:space="preserve"> day of reflection, it </w:t>
      </w:r>
      <w:r w:rsidR="00FD1597">
        <w:t xml:space="preserve">was </w:t>
      </w:r>
      <w:r w:rsidRPr="003C2877">
        <w:t xml:space="preserve">only right </w:t>
      </w:r>
      <w:r w:rsidR="00FD1597">
        <w:t xml:space="preserve">to </w:t>
      </w:r>
      <w:r w:rsidRPr="003C2877">
        <w:t xml:space="preserve">also remember the innocent victims of violence in </w:t>
      </w:r>
      <w:r w:rsidR="00FD1597">
        <w:t>the</w:t>
      </w:r>
      <w:r w:rsidRPr="003C2877">
        <w:t xml:space="preserve"> community and </w:t>
      </w:r>
      <w:r w:rsidRPr="003C2877">
        <w:lastRenderedPageBreak/>
        <w:t>across Northern Ireland.</w:t>
      </w:r>
      <w:r w:rsidR="00FD1597">
        <w:t xml:space="preserve"> </w:t>
      </w:r>
      <w:r w:rsidRPr="003C2877">
        <w:t>Councillor Cochrane ha</w:t>
      </w:r>
      <w:r w:rsidR="00FD1597">
        <w:t>d</w:t>
      </w:r>
      <w:r w:rsidRPr="003C2877">
        <w:t xml:space="preserve"> spoke</w:t>
      </w:r>
      <w:r w:rsidR="00B96861">
        <w:t>n</w:t>
      </w:r>
      <w:r w:rsidRPr="003C2877">
        <w:t xml:space="preserve"> of one Bangor bombing </w:t>
      </w:r>
      <w:r w:rsidR="0082390C">
        <w:t xml:space="preserve">that </w:t>
      </w:r>
      <w:r w:rsidRPr="003C2877">
        <w:t>left churches and businesses in ruins. Th</w:t>
      </w:r>
      <w:r w:rsidR="00FD1597">
        <w:t>o</w:t>
      </w:r>
      <w:r w:rsidRPr="003C2877">
        <w:t>se were ordinary citizens, targeted by terrorism.</w:t>
      </w:r>
      <w:r w:rsidR="00FD1597">
        <w:t xml:space="preserve"> </w:t>
      </w:r>
      <w:r w:rsidRPr="003C2877">
        <w:t>Across Northern Ireland, the IRA and other paramilitary groups carried out thousands of bombings, leaving communities scarred.</w:t>
      </w:r>
      <w:r w:rsidR="00FD1597">
        <w:t xml:space="preserve"> There w</w:t>
      </w:r>
      <w:r w:rsidR="00B96861">
        <w:t>ere</w:t>
      </w:r>
      <w:r w:rsidR="00FD1597">
        <w:t xml:space="preserve"> a</w:t>
      </w:r>
      <w:r w:rsidRPr="003C2877">
        <w:t xml:space="preserve"> large number of those who served and continue</w:t>
      </w:r>
      <w:r w:rsidR="00FD1597">
        <w:t>d</w:t>
      </w:r>
      <w:r w:rsidRPr="003C2877">
        <w:t xml:space="preserve"> to serve in the security forces residing in th</w:t>
      </w:r>
      <w:r w:rsidR="00B96861">
        <w:t>e Bo</w:t>
      </w:r>
      <w:r w:rsidRPr="003C2877">
        <w:t>rough</w:t>
      </w:r>
      <w:r w:rsidR="00B96861">
        <w:t xml:space="preserve">.  </w:t>
      </w:r>
      <w:r w:rsidRPr="003C2877">
        <w:t>The Royal Ulster Constabulary lost 312 officers, with almost 9,000 more injured.  The Army and UDR also paid a heavy price, with over 198 UDR personnel killed.  Th</w:t>
      </w:r>
      <w:r w:rsidR="00FD1597">
        <w:t xml:space="preserve">at </w:t>
      </w:r>
      <w:r w:rsidRPr="003C2877">
        <w:t>include</w:t>
      </w:r>
      <w:r w:rsidR="00FD1597">
        <w:t>d</w:t>
      </w:r>
      <w:r w:rsidRPr="003C2877">
        <w:t xml:space="preserve"> 4 </w:t>
      </w:r>
      <w:r w:rsidR="000A0464">
        <w:t>G</w:t>
      </w:r>
      <w:r w:rsidRPr="003C2877">
        <w:t>reenfinches</w:t>
      </w:r>
      <w:r w:rsidR="00FD1597">
        <w:t>.</w:t>
      </w:r>
      <w:r w:rsidRPr="003C2877">
        <w:t xml:space="preserve"> Th</w:t>
      </w:r>
      <w:r w:rsidR="00FD1597">
        <w:t>o</w:t>
      </w:r>
      <w:r w:rsidRPr="003C2877">
        <w:t xml:space="preserve">se men and women wore a uniform to protect their neighbours and uphold the rule of </w:t>
      </w:r>
      <w:proofErr w:type="gramStart"/>
      <w:r w:rsidRPr="003C2877">
        <w:t>law</w:t>
      </w:r>
      <w:proofErr w:type="gramEnd"/>
      <w:r w:rsidR="00FD1597">
        <w:t xml:space="preserve"> and their</w:t>
      </w:r>
      <w:r w:rsidRPr="003C2877">
        <w:t xml:space="preserve"> sacrifice must never be forgotten. Those who came to murder them had choice.</w:t>
      </w:r>
    </w:p>
    <w:p w14:paraId="2F7F00A2" w14:textId="77777777" w:rsidR="00AE5A50" w:rsidRPr="003C2877" w:rsidRDefault="00AE5A50" w:rsidP="00AE5A50"/>
    <w:p w14:paraId="374C31AF" w14:textId="5AC46F42" w:rsidR="00AE5A50" w:rsidRDefault="00FD1597" w:rsidP="00AE5A50">
      <w:r>
        <w:t xml:space="preserve">Councillor Gilmour paid tribute to </w:t>
      </w:r>
      <w:r w:rsidR="00AE5A50" w:rsidRPr="003C2877">
        <w:t>Mildred Ann Harrison, a Reserve Constable in the RUC and a resident of Bangor. On 16 March 1975, while on foot patrol, she was murdered by a terrorist bomb on High Street</w:t>
      </w:r>
      <w:r w:rsidR="000A0464">
        <w:t xml:space="preserve"> and was only </w:t>
      </w:r>
      <w:r w:rsidR="00AE5A50" w:rsidRPr="003C2877">
        <w:t>26 years old</w:t>
      </w:r>
      <w:r w:rsidR="00B96861">
        <w:t xml:space="preserve">, </w:t>
      </w:r>
      <w:r w:rsidR="00AE5A50" w:rsidRPr="003C2877">
        <w:t>a wife and mother of two young daughters</w:t>
      </w:r>
      <w:r w:rsidR="00B96861">
        <w:t xml:space="preserve">. </w:t>
      </w:r>
      <w:r w:rsidR="00AE5A50" w:rsidRPr="003C2877">
        <w:t xml:space="preserve">Mildred Harrison was the first female RUC officer killed during </w:t>
      </w:r>
      <w:r w:rsidR="000A0464">
        <w:t>T</w:t>
      </w:r>
      <w:r w:rsidR="00AE5A50" w:rsidRPr="003C2877">
        <w:t xml:space="preserve">he Troubles. </w:t>
      </w:r>
      <w:r w:rsidR="000A0464">
        <w:t xml:space="preserve"> </w:t>
      </w:r>
      <w:r w:rsidR="00AE5A50" w:rsidRPr="003C2877">
        <w:t>Her sacrifice st</w:t>
      </w:r>
      <w:r>
        <w:t>ood</w:t>
      </w:r>
      <w:r w:rsidR="00AE5A50" w:rsidRPr="003C2877">
        <w:t xml:space="preserve"> as a stark reminder of the innocent lives lost in service to </w:t>
      </w:r>
      <w:r w:rsidR="000A0464">
        <w:t>the</w:t>
      </w:r>
      <w:r w:rsidR="00AE5A50" w:rsidRPr="003C2877">
        <w:t xml:space="preserve"> community.</w:t>
      </w:r>
      <w:r>
        <w:t xml:space="preserve"> </w:t>
      </w:r>
      <w:r w:rsidR="000A0464">
        <w:t xml:space="preserve"> </w:t>
      </w:r>
      <w:r>
        <w:t xml:space="preserve">She also referred to the </w:t>
      </w:r>
      <w:r w:rsidR="00AE5A50" w:rsidRPr="003C2877">
        <w:t xml:space="preserve">innocent victims of the Enniskillen Poppy Day massacre. </w:t>
      </w:r>
      <w:r w:rsidR="000A0464">
        <w:t xml:space="preserve"> </w:t>
      </w:r>
      <w:r w:rsidR="00AE5A50" w:rsidRPr="003C2877">
        <w:t xml:space="preserve">On Remembrance Sunday in 1987, a bomb at the war memorial killed eleven innocent people and injured dozens more. The horror of that day shocked the world and </w:t>
      </w:r>
      <w:r w:rsidR="00823534">
        <w:t xml:space="preserve">was a reminder of </w:t>
      </w:r>
      <w:r w:rsidR="00AE5A50" w:rsidRPr="003C2877">
        <w:t>why moral clarity matter</w:t>
      </w:r>
      <w:r w:rsidR="00823534">
        <w:t>ed</w:t>
      </w:r>
      <w:r w:rsidR="00AE5A50" w:rsidRPr="003C2877">
        <w:t xml:space="preserve">. </w:t>
      </w:r>
      <w:r w:rsidR="00823534">
        <w:t xml:space="preserve"> </w:t>
      </w:r>
      <w:r w:rsidR="00AE5A50" w:rsidRPr="003C2877">
        <w:t xml:space="preserve">On this Remembrance Day, </w:t>
      </w:r>
      <w:r w:rsidR="00823534">
        <w:t xml:space="preserve">their </w:t>
      </w:r>
      <w:r w:rsidR="00AE5A50" w:rsidRPr="003C2877">
        <w:t xml:space="preserve">memory </w:t>
      </w:r>
      <w:r w:rsidR="00823534">
        <w:t xml:space="preserve">could be honoured </w:t>
      </w:r>
      <w:r w:rsidR="00AE5A50" w:rsidRPr="003C2877">
        <w:t>and reaffirm</w:t>
      </w:r>
      <w:r w:rsidR="00823534">
        <w:t>ed and a comm</w:t>
      </w:r>
      <w:r w:rsidR="00AE5A50" w:rsidRPr="003C2877">
        <w:t>itment to justice for all innocent victims</w:t>
      </w:r>
      <w:r w:rsidR="00823534">
        <w:t xml:space="preserve"> could be made</w:t>
      </w:r>
      <w:r w:rsidR="00AE5A50" w:rsidRPr="003C2877">
        <w:t>.  There was a clear choice made that day, that define</w:t>
      </w:r>
      <w:r>
        <w:t>d</w:t>
      </w:r>
      <w:r w:rsidR="00AE5A50" w:rsidRPr="003C2877">
        <w:t xml:space="preserve"> the innocent victims and the victim makers. </w:t>
      </w:r>
      <w:r>
        <w:t>T</w:t>
      </w:r>
      <w:r w:rsidR="00AE5A50" w:rsidRPr="003C2877">
        <w:t xml:space="preserve">o compare those who were murdered as they went about their daily </w:t>
      </w:r>
      <w:proofErr w:type="gramStart"/>
      <w:r w:rsidR="00AE5A50" w:rsidRPr="003C2877">
        <w:t>lives, or</w:t>
      </w:r>
      <w:proofErr w:type="gramEnd"/>
      <w:r w:rsidR="00AE5A50" w:rsidRPr="003C2877">
        <w:t xml:space="preserve"> were serving to protect us or were hunted down due to their occupation, with those who went out with murder in their heart</w:t>
      </w:r>
      <w:r w:rsidR="00B96861">
        <w:t xml:space="preserve">, </w:t>
      </w:r>
      <w:r w:rsidR="00AE5A50" w:rsidRPr="003C2877">
        <w:t>with bombs, bullets, and a kill list in their pockets</w:t>
      </w:r>
      <w:r>
        <w:t xml:space="preserve"> was</w:t>
      </w:r>
      <w:r w:rsidR="00AE5A50" w:rsidRPr="003C2877">
        <w:t xml:space="preserve"> wrong. It </w:t>
      </w:r>
      <w:r>
        <w:t>was</w:t>
      </w:r>
      <w:r w:rsidR="00AE5A50" w:rsidRPr="003C2877">
        <w:t xml:space="preserve"> morally wrong, offensive, and insulting to the innocent victims.</w:t>
      </w:r>
    </w:p>
    <w:p w14:paraId="24A061D2" w14:textId="77777777" w:rsidR="00FD1597" w:rsidRPr="003C2877" w:rsidRDefault="00FD1597" w:rsidP="00AE5A50"/>
    <w:p w14:paraId="53DB17BD" w14:textId="3977D1BD" w:rsidR="00FD1597" w:rsidRDefault="00FD1597" w:rsidP="00AE5A50">
      <w:r>
        <w:t>Councillor Gilmour a</w:t>
      </w:r>
      <w:r w:rsidR="00AE5A50" w:rsidRPr="003C2877">
        <w:t>lso pa</w:t>
      </w:r>
      <w:r>
        <w:t>id</w:t>
      </w:r>
      <w:r w:rsidR="00AE5A50" w:rsidRPr="003C2877">
        <w:t xml:space="preserve"> tribute to the late Gina Murray, a remarkable woman who </w:t>
      </w:r>
      <w:r w:rsidR="00823534">
        <w:t xml:space="preserve">had </w:t>
      </w:r>
      <w:r w:rsidR="00AE5A50" w:rsidRPr="003C2877">
        <w:t xml:space="preserve">lived in Bangor. </w:t>
      </w:r>
      <w:r w:rsidR="00823534">
        <w:t xml:space="preserve"> </w:t>
      </w:r>
      <w:r w:rsidR="00AE5A50" w:rsidRPr="003C2877">
        <w:t xml:space="preserve">Gina’s 13-year-old daughter, Leanne, was murdered in the Shankill bomb in 1993. </w:t>
      </w:r>
      <w:r w:rsidR="00823534">
        <w:t xml:space="preserve"> </w:t>
      </w:r>
      <w:r w:rsidR="00AE5A50" w:rsidRPr="003C2877">
        <w:t xml:space="preserve">Gina </w:t>
      </w:r>
      <w:r w:rsidR="00823534">
        <w:t xml:space="preserve">had </w:t>
      </w:r>
      <w:r w:rsidR="00AE5A50" w:rsidRPr="003C2877">
        <w:t>spoke</w:t>
      </w:r>
      <w:r w:rsidR="00823534">
        <w:t>n</w:t>
      </w:r>
      <w:r w:rsidR="00AE5A50" w:rsidRPr="003C2877">
        <w:t xml:space="preserve"> </w:t>
      </w:r>
      <w:r w:rsidR="00B96861">
        <w:t xml:space="preserve">of </w:t>
      </w:r>
      <w:r w:rsidR="00AE5A50" w:rsidRPr="003C2877">
        <w:t>that terrible day</w:t>
      </w:r>
      <w:r w:rsidR="00823534">
        <w:t>,</w:t>
      </w:r>
      <w:r w:rsidR="00AE5A50" w:rsidRPr="003C2877">
        <w:t xml:space="preserve"> and when the bomb went </w:t>
      </w:r>
      <w:proofErr w:type="gramStart"/>
      <w:r w:rsidRPr="003C2877">
        <w:t>off</w:t>
      </w:r>
      <w:proofErr w:type="gramEnd"/>
      <w:r w:rsidR="00AE5A50" w:rsidRPr="003C2877">
        <w:t xml:space="preserve"> she was looking for Leanne and one of the first people she came across lying in the street asking for help was Sean Kelly</w:t>
      </w:r>
      <w:r w:rsidR="00B96861">
        <w:t xml:space="preserve">, </w:t>
      </w:r>
      <w:r w:rsidR="00AE5A50" w:rsidRPr="003C2877">
        <w:t xml:space="preserve">who she later found out was one of the bombers.  Gina spent her life campaigning for justice and supporting other victims. Even in the face of unimaginable loss, she refused to be defined by an act of terror. Her legacy </w:t>
      </w:r>
      <w:r>
        <w:t>was</w:t>
      </w:r>
      <w:r w:rsidR="00AE5A50" w:rsidRPr="003C2877">
        <w:t xml:space="preserve"> one of love, resilience, and unwavering commitment to truth.  But there was a clear distinction on the Shankill </w:t>
      </w:r>
      <w:r w:rsidR="007E36F7">
        <w:t>R</w:t>
      </w:r>
      <w:r w:rsidR="00AE5A50" w:rsidRPr="003C2877">
        <w:t xml:space="preserve">oad that day </w:t>
      </w:r>
      <w:r w:rsidR="007E36F7">
        <w:t xml:space="preserve">between those </w:t>
      </w:r>
      <w:r w:rsidR="00AE5A50" w:rsidRPr="003C2877">
        <w:t xml:space="preserve">who were innocent victims with their lives destroyed and the victim makers who </w:t>
      </w:r>
      <w:r w:rsidR="00823534">
        <w:t xml:space="preserve">had </w:t>
      </w:r>
      <w:r w:rsidR="00AE5A50" w:rsidRPr="003C2877">
        <w:t xml:space="preserve">caused the explosion.  </w:t>
      </w:r>
    </w:p>
    <w:p w14:paraId="570FDA7D" w14:textId="77777777" w:rsidR="00FD1597" w:rsidRDefault="00FD1597" w:rsidP="00AE5A50"/>
    <w:p w14:paraId="31EDF547" w14:textId="5786FB18" w:rsidR="00AE5A50" w:rsidRPr="003C2877" w:rsidRDefault="00FD1597" w:rsidP="00AE5A50">
      <w:r>
        <w:t xml:space="preserve">Councillor Gilmour outlined that the </w:t>
      </w:r>
      <w:r w:rsidR="00AE5A50" w:rsidRPr="003C2877">
        <w:t xml:space="preserve">motion </w:t>
      </w:r>
      <w:r>
        <w:t>was</w:t>
      </w:r>
      <w:r w:rsidR="00AE5A50" w:rsidRPr="003C2877">
        <w:t xml:space="preserve"> not about divisio</w:t>
      </w:r>
      <w:r>
        <w:t xml:space="preserve">n, </w:t>
      </w:r>
      <w:r w:rsidR="00AE5A50" w:rsidRPr="003C2877">
        <w:t xml:space="preserve">it </w:t>
      </w:r>
      <w:r>
        <w:t>was</w:t>
      </w:r>
      <w:r w:rsidR="00AE5A50" w:rsidRPr="003C2877">
        <w:t xml:space="preserve"> about truth and respect. It </w:t>
      </w:r>
      <w:r>
        <w:t>was</w:t>
      </w:r>
      <w:r w:rsidR="00AE5A50" w:rsidRPr="003C2877">
        <w:t xml:space="preserve"> about ensuring that those who lost loved ones, or who continue</w:t>
      </w:r>
      <w:r>
        <w:t>d</w:t>
      </w:r>
      <w:r w:rsidR="00AE5A50" w:rsidRPr="003C2877">
        <w:t xml:space="preserve"> to live with the scars of </w:t>
      </w:r>
      <w:r w:rsidR="00823534">
        <w:t>T</w:t>
      </w:r>
      <w:r w:rsidR="00AE5A50" w:rsidRPr="003C2877">
        <w:t xml:space="preserve">he Troubles, </w:t>
      </w:r>
      <w:r>
        <w:t xml:space="preserve">were </w:t>
      </w:r>
      <w:r w:rsidR="00AE5A50" w:rsidRPr="003C2877">
        <w:t xml:space="preserve">not asked to accept a false equivalence between their suffering and the actions of those who </w:t>
      </w:r>
      <w:r w:rsidR="00823534">
        <w:t xml:space="preserve">had </w:t>
      </w:r>
      <w:r w:rsidR="00AE5A50" w:rsidRPr="003C2877">
        <w:t xml:space="preserve">caused it. </w:t>
      </w:r>
      <w:r w:rsidR="00823534">
        <w:t>She suggested t</w:t>
      </w:r>
      <w:r w:rsidR="00AE5A50" w:rsidRPr="003C2877">
        <w:t>his Council must stand firmly with innocent victims and not allow political convenience or ambiguous language to dilute that truth.</w:t>
      </w:r>
      <w:r>
        <w:t xml:space="preserve"> </w:t>
      </w:r>
      <w:r w:rsidR="00AE5A50" w:rsidRPr="003C2877">
        <w:t>When public officials blur</w:t>
      </w:r>
      <w:r w:rsidR="00823534">
        <w:t>red</w:t>
      </w:r>
      <w:r w:rsidR="00AE5A50" w:rsidRPr="003C2877">
        <w:t xml:space="preserve"> the line between perpetrator and victim, it </w:t>
      </w:r>
      <w:r>
        <w:t>was</w:t>
      </w:r>
      <w:r w:rsidR="00AE5A50" w:rsidRPr="003C2877">
        <w:t xml:space="preserve"> not just poor judgement</w:t>
      </w:r>
      <w:r>
        <w:t xml:space="preserve">, it was </w:t>
      </w:r>
      <w:r w:rsidR="00AE5A50" w:rsidRPr="003C2877">
        <w:t xml:space="preserve">a breach of trust. </w:t>
      </w:r>
      <w:r w:rsidR="00823534">
        <w:t xml:space="preserve"> </w:t>
      </w:r>
      <w:r w:rsidR="00AE5A50" w:rsidRPr="003C2877">
        <w:t xml:space="preserve">An apology </w:t>
      </w:r>
      <w:r>
        <w:t>was</w:t>
      </w:r>
      <w:r w:rsidR="00AE5A50" w:rsidRPr="003C2877">
        <w:t xml:space="preserve"> not only appropriate</w:t>
      </w:r>
      <w:r w:rsidR="00B96861">
        <w:t>,</w:t>
      </w:r>
      <w:r w:rsidR="00AE5A50" w:rsidRPr="003C2877">
        <w:t xml:space="preserve"> </w:t>
      </w:r>
      <w:proofErr w:type="gramStart"/>
      <w:r w:rsidR="00AE5A50" w:rsidRPr="003C2877">
        <w:t xml:space="preserve">it </w:t>
      </w:r>
      <w:r>
        <w:t>was</w:t>
      </w:r>
      <w:proofErr w:type="gramEnd"/>
      <w:r w:rsidR="00AE5A50" w:rsidRPr="003C2877">
        <w:t xml:space="preserve"> necessary for healing and for restoring confidence among victims and survivors.</w:t>
      </w:r>
    </w:p>
    <w:p w14:paraId="03098F11" w14:textId="77777777" w:rsidR="00FD1597" w:rsidRDefault="00FD1597" w:rsidP="00AE5A50"/>
    <w:p w14:paraId="10E77D3F" w14:textId="768350AF" w:rsidR="00AE5A50" w:rsidRPr="003C2877" w:rsidRDefault="00AE5A50" w:rsidP="00AE5A50">
      <w:r w:rsidRPr="003C2877">
        <w:lastRenderedPageBreak/>
        <w:t>In conclusion, C</w:t>
      </w:r>
      <w:r w:rsidR="00FD1597">
        <w:t xml:space="preserve">ouncillor Gilmour stated that </w:t>
      </w:r>
      <w:r w:rsidRPr="003C2877">
        <w:t xml:space="preserve">behind every statistic and headline, there </w:t>
      </w:r>
      <w:r w:rsidR="00FD1597">
        <w:t xml:space="preserve">were </w:t>
      </w:r>
      <w:r w:rsidRPr="003C2877">
        <w:t>real peopl</w:t>
      </w:r>
      <w:r w:rsidR="00FD1597">
        <w:t xml:space="preserve">e, </w:t>
      </w:r>
      <w:r w:rsidRPr="003C2877">
        <w:t>families who h</w:t>
      </w:r>
      <w:r w:rsidR="00FD1597">
        <w:t>ad</w:t>
      </w:r>
      <w:r w:rsidRPr="003C2877">
        <w:t xml:space="preserve"> lost loved ones, individuals who carr</w:t>
      </w:r>
      <w:r w:rsidR="00FD1597">
        <w:t xml:space="preserve">ied </w:t>
      </w:r>
      <w:r w:rsidRPr="003C2877">
        <w:t xml:space="preserve">physical and emotional scars, and communities still striving for peace and justice. </w:t>
      </w:r>
    </w:p>
    <w:p w14:paraId="1BBC9CCD" w14:textId="3439BA2E" w:rsidR="00AE5A50" w:rsidRPr="003C2877" w:rsidRDefault="00AE5A50" w:rsidP="00AE5A50">
      <w:r w:rsidRPr="003C2877">
        <w:t xml:space="preserve">On this Remembrance Day, </w:t>
      </w:r>
      <w:r w:rsidR="00AE1201">
        <w:t xml:space="preserve">she called on </w:t>
      </w:r>
      <w:r w:rsidR="00CA7D27">
        <w:t>the Committee</w:t>
      </w:r>
      <w:r w:rsidR="00AE1201">
        <w:t xml:space="preserve"> to</w:t>
      </w:r>
      <w:r w:rsidRPr="003C2877">
        <w:t xml:space="preserve"> honour the fallen</w:t>
      </w:r>
      <w:r w:rsidR="00AE1201">
        <w:t xml:space="preserve">. </w:t>
      </w:r>
    </w:p>
    <w:p w14:paraId="6F36512F" w14:textId="77777777" w:rsidR="00AE5A50" w:rsidRDefault="00AE5A50" w:rsidP="00D942C5">
      <w:pPr>
        <w:rPr>
          <w:rFonts w:cs="Arial"/>
          <w:color w:val="000000" w:themeColor="text1"/>
          <w:szCs w:val="24"/>
        </w:rPr>
      </w:pPr>
    </w:p>
    <w:p w14:paraId="33355B8A" w14:textId="1D87450C" w:rsidR="00AE5A50" w:rsidRDefault="00AE1201" w:rsidP="00D942C5">
      <w:pPr>
        <w:rPr>
          <w:rFonts w:cs="Arial"/>
          <w:color w:val="000000" w:themeColor="text1"/>
          <w:szCs w:val="24"/>
        </w:rPr>
      </w:pPr>
      <w:r>
        <w:rPr>
          <w:rFonts w:cs="Arial"/>
          <w:color w:val="000000" w:themeColor="text1"/>
          <w:szCs w:val="24"/>
        </w:rPr>
        <w:t xml:space="preserve">Alderman McRandal stated that the Alliance Party had always been </w:t>
      </w:r>
      <w:r w:rsidR="007E36F7">
        <w:rPr>
          <w:rFonts w:cs="Arial"/>
          <w:color w:val="000000" w:themeColor="text1"/>
          <w:szCs w:val="24"/>
        </w:rPr>
        <w:t>unequivocal that t</w:t>
      </w:r>
      <w:r>
        <w:rPr>
          <w:rFonts w:cs="Arial"/>
          <w:color w:val="000000" w:themeColor="text1"/>
          <w:szCs w:val="24"/>
        </w:rPr>
        <w:t xml:space="preserve">here was no moral equivalence to those that had </w:t>
      </w:r>
      <w:r w:rsidR="00A77129">
        <w:rPr>
          <w:rFonts w:cs="Arial"/>
          <w:color w:val="000000" w:themeColor="text1"/>
          <w:szCs w:val="24"/>
        </w:rPr>
        <w:t xml:space="preserve">deliberately </w:t>
      </w:r>
      <w:r>
        <w:rPr>
          <w:rFonts w:cs="Arial"/>
          <w:color w:val="000000" w:themeColor="text1"/>
          <w:szCs w:val="24"/>
        </w:rPr>
        <w:t xml:space="preserve">caused harm during </w:t>
      </w:r>
      <w:r w:rsidR="00823534">
        <w:rPr>
          <w:rFonts w:cs="Arial"/>
          <w:color w:val="000000" w:themeColor="text1"/>
          <w:szCs w:val="24"/>
        </w:rPr>
        <w:t>T</w:t>
      </w:r>
      <w:r>
        <w:rPr>
          <w:rFonts w:cs="Arial"/>
          <w:color w:val="000000" w:themeColor="text1"/>
          <w:szCs w:val="24"/>
        </w:rPr>
        <w:t xml:space="preserve">he </w:t>
      </w:r>
      <w:r w:rsidR="00823534">
        <w:rPr>
          <w:rFonts w:cs="Arial"/>
          <w:color w:val="000000" w:themeColor="text1"/>
          <w:szCs w:val="24"/>
        </w:rPr>
        <w:t>T</w:t>
      </w:r>
      <w:r>
        <w:rPr>
          <w:rFonts w:cs="Arial"/>
          <w:color w:val="000000" w:themeColor="text1"/>
          <w:szCs w:val="24"/>
        </w:rPr>
        <w:t xml:space="preserve">roubles and those that suffered because of their actions. </w:t>
      </w:r>
      <w:r w:rsidR="00823534">
        <w:rPr>
          <w:rFonts w:cs="Arial"/>
          <w:color w:val="000000" w:themeColor="text1"/>
          <w:szCs w:val="24"/>
        </w:rPr>
        <w:t xml:space="preserve"> </w:t>
      </w:r>
      <w:r>
        <w:rPr>
          <w:rFonts w:cs="Arial"/>
          <w:color w:val="000000" w:themeColor="text1"/>
          <w:szCs w:val="24"/>
        </w:rPr>
        <w:t>He believed that anyone who listened to the Justice Minister</w:t>
      </w:r>
      <w:r w:rsidR="007E36F7">
        <w:rPr>
          <w:rFonts w:cs="Arial"/>
          <w:color w:val="000000" w:themeColor="text1"/>
          <w:szCs w:val="24"/>
        </w:rPr>
        <w:t>’</w:t>
      </w:r>
      <w:r>
        <w:rPr>
          <w:rFonts w:cs="Arial"/>
          <w:color w:val="000000" w:themeColor="text1"/>
          <w:szCs w:val="24"/>
        </w:rPr>
        <w:t xml:space="preserve">s interview would have heard her </w:t>
      </w:r>
      <w:r w:rsidR="00CA7D27">
        <w:rPr>
          <w:rFonts w:cs="Arial"/>
          <w:color w:val="000000" w:themeColor="text1"/>
          <w:szCs w:val="24"/>
        </w:rPr>
        <w:t xml:space="preserve">state </w:t>
      </w:r>
      <w:r>
        <w:rPr>
          <w:rFonts w:cs="Arial"/>
          <w:color w:val="000000" w:themeColor="text1"/>
          <w:szCs w:val="24"/>
        </w:rPr>
        <w:t xml:space="preserve">that clearly. </w:t>
      </w:r>
      <w:r w:rsidR="00A77129">
        <w:rPr>
          <w:rFonts w:cs="Arial"/>
          <w:color w:val="000000" w:themeColor="text1"/>
          <w:szCs w:val="24"/>
        </w:rPr>
        <w:t xml:space="preserve">He wished to make it </w:t>
      </w:r>
      <w:proofErr w:type="gramStart"/>
      <w:r w:rsidR="00A77129">
        <w:rPr>
          <w:rFonts w:cs="Arial"/>
          <w:color w:val="000000" w:themeColor="text1"/>
          <w:szCs w:val="24"/>
        </w:rPr>
        <w:t>clear,</w:t>
      </w:r>
      <w:proofErr w:type="gramEnd"/>
      <w:r w:rsidR="00A77129">
        <w:rPr>
          <w:rFonts w:cs="Arial"/>
          <w:color w:val="000000" w:themeColor="text1"/>
          <w:szCs w:val="24"/>
        </w:rPr>
        <w:t xml:space="preserve"> it was not an Alliance Party amendment and wondered why the party responsible for tabling it </w:t>
      </w:r>
      <w:r w:rsidR="00B96861">
        <w:rPr>
          <w:rFonts w:cs="Arial"/>
          <w:color w:val="000000" w:themeColor="text1"/>
          <w:szCs w:val="24"/>
        </w:rPr>
        <w:t xml:space="preserve">was </w:t>
      </w:r>
      <w:r w:rsidR="00A77129">
        <w:rPr>
          <w:rFonts w:cs="Arial"/>
          <w:color w:val="000000" w:themeColor="text1"/>
          <w:szCs w:val="24"/>
        </w:rPr>
        <w:t>not mention</w:t>
      </w:r>
      <w:r w:rsidR="00B96861">
        <w:rPr>
          <w:rFonts w:cs="Arial"/>
          <w:color w:val="000000" w:themeColor="text1"/>
          <w:szCs w:val="24"/>
        </w:rPr>
        <w:t>ed</w:t>
      </w:r>
      <w:r w:rsidR="00A77129">
        <w:rPr>
          <w:rFonts w:cs="Arial"/>
          <w:color w:val="000000" w:themeColor="text1"/>
          <w:szCs w:val="24"/>
        </w:rPr>
        <w:t xml:space="preserve"> in the motion.</w:t>
      </w:r>
      <w:r w:rsidR="00823534">
        <w:rPr>
          <w:rFonts w:cs="Arial"/>
          <w:color w:val="000000" w:themeColor="text1"/>
          <w:szCs w:val="24"/>
        </w:rPr>
        <w:t xml:space="preserve">  He noted that </w:t>
      </w:r>
      <w:r w:rsidR="00A77129">
        <w:rPr>
          <w:rFonts w:cs="Arial"/>
          <w:color w:val="000000" w:themeColor="text1"/>
          <w:szCs w:val="24"/>
        </w:rPr>
        <w:t xml:space="preserve">Naomi Long MLA was not even in the Chamber during the </w:t>
      </w:r>
      <w:proofErr w:type="gramStart"/>
      <w:r w:rsidR="00A77129">
        <w:rPr>
          <w:rFonts w:cs="Arial"/>
          <w:color w:val="000000" w:themeColor="text1"/>
          <w:szCs w:val="24"/>
        </w:rPr>
        <w:t>debate</w:t>
      </w:r>
      <w:proofErr w:type="gramEnd"/>
      <w:r w:rsidR="00A77129">
        <w:rPr>
          <w:rFonts w:cs="Arial"/>
          <w:color w:val="000000" w:themeColor="text1"/>
          <w:szCs w:val="24"/>
        </w:rPr>
        <w:t xml:space="preserve"> yet she was the one wh</w:t>
      </w:r>
      <w:r w:rsidR="007E36F7">
        <w:rPr>
          <w:rFonts w:cs="Arial"/>
          <w:color w:val="000000" w:themeColor="text1"/>
          <w:szCs w:val="24"/>
        </w:rPr>
        <w:t xml:space="preserve">o </w:t>
      </w:r>
      <w:r w:rsidR="00A77129">
        <w:rPr>
          <w:rFonts w:cs="Arial"/>
          <w:color w:val="000000" w:themeColor="text1"/>
          <w:szCs w:val="24"/>
        </w:rPr>
        <w:t>the DUP had chose</w:t>
      </w:r>
      <w:r w:rsidR="00B96861">
        <w:rPr>
          <w:rFonts w:cs="Arial"/>
          <w:color w:val="000000" w:themeColor="text1"/>
          <w:szCs w:val="24"/>
        </w:rPr>
        <w:t>n</w:t>
      </w:r>
      <w:r w:rsidR="00A77129">
        <w:rPr>
          <w:rFonts w:cs="Arial"/>
          <w:color w:val="000000" w:themeColor="text1"/>
          <w:szCs w:val="24"/>
        </w:rPr>
        <w:t xml:space="preserve"> to attack.</w:t>
      </w:r>
      <w:r w:rsidR="00823534">
        <w:rPr>
          <w:rFonts w:cs="Arial"/>
          <w:color w:val="000000" w:themeColor="text1"/>
          <w:szCs w:val="24"/>
        </w:rPr>
        <w:t xml:space="preserve">  </w:t>
      </w:r>
      <w:r w:rsidR="00B96861">
        <w:rPr>
          <w:rFonts w:cs="Arial"/>
          <w:color w:val="000000" w:themeColor="text1"/>
          <w:szCs w:val="24"/>
        </w:rPr>
        <w:t xml:space="preserve">The </w:t>
      </w:r>
      <w:r w:rsidR="00A77129">
        <w:rPr>
          <w:rFonts w:cs="Arial"/>
          <w:color w:val="000000" w:themeColor="text1"/>
          <w:szCs w:val="24"/>
        </w:rPr>
        <w:t>Alliance</w:t>
      </w:r>
      <w:r w:rsidR="00B96861">
        <w:rPr>
          <w:rFonts w:cs="Arial"/>
          <w:color w:val="000000" w:themeColor="text1"/>
          <w:szCs w:val="24"/>
        </w:rPr>
        <w:t xml:space="preserve"> Party</w:t>
      </w:r>
      <w:r w:rsidR="00A77129">
        <w:rPr>
          <w:rFonts w:cs="Arial"/>
          <w:color w:val="000000" w:themeColor="text1"/>
          <w:szCs w:val="24"/>
        </w:rPr>
        <w:t xml:space="preserve"> did not support the </w:t>
      </w:r>
      <w:r w:rsidR="00A77129" w:rsidRPr="00CA7D27">
        <w:rPr>
          <w:rFonts w:cs="Arial"/>
          <w:color w:val="000000" w:themeColor="text1"/>
          <w:szCs w:val="24"/>
        </w:rPr>
        <w:t>DUP motion in the Assembly</w:t>
      </w:r>
      <w:r w:rsidR="007E36F7">
        <w:rPr>
          <w:rFonts w:cs="Arial"/>
          <w:color w:val="000000" w:themeColor="text1"/>
          <w:szCs w:val="24"/>
        </w:rPr>
        <w:t>,</w:t>
      </w:r>
      <w:r w:rsidR="00A77129" w:rsidRPr="00CA7D27">
        <w:rPr>
          <w:rFonts w:cs="Arial"/>
          <w:color w:val="000000" w:themeColor="text1"/>
          <w:szCs w:val="24"/>
        </w:rPr>
        <w:t xml:space="preserve"> not because </w:t>
      </w:r>
      <w:r w:rsidR="00CA7D27" w:rsidRPr="00CA7D27">
        <w:rPr>
          <w:rFonts w:cs="Arial"/>
          <w:color w:val="000000" w:themeColor="text1"/>
          <w:szCs w:val="24"/>
        </w:rPr>
        <w:t xml:space="preserve">it included the term </w:t>
      </w:r>
      <w:r w:rsidR="00A77129" w:rsidRPr="00CA7D27">
        <w:rPr>
          <w:rFonts w:cs="Arial"/>
          <w:color w:val="000000" w:themeColor="text1"/>
          <w:szCs w:val="24"/>
        </w:rPr>
        <w:t>innocent victims</w:t>
      </w:r>
      <w:r w:rsidR="007E36F7">
        <w:rPr>
          <w:rFonts w:cs="Arial"/>
          <w:color w:val="000000" w:themeColor="text1"/>
          <w:szCs w:val="24"/>
        </w:rPr>
        <w:t>,</w:t>
      </w:r>
      <w:r w:rsidR="00A77129" w:rsidRPr="00CA7D27">
        <w:rPr>
          <w:rFonts w:cs="Arial"/>
          <w:color w:val="000000" w:themeColor="text1"/>
          <w:szCs w:val="24"/>
        </w:rPr>
        <w:t xml:space="preserve"> but because</w:t>
      </w:r>
      <w:r w:rsidR="00CA7D27">
        <w:rPr>
          <w:rFonts w:cs="Arial"/>
          <w:color w:val="000000" w:themeColor="text1"/>
          <w:szCs w:val="24"/>
        </w:rPr>
        <w:t xml:space="preserve"> it sought to exclude the </w:t>
      </w:r>
      <w:r w:rsidR="00CA7D27" w:rsidRPr="00CA7D27">
        <w:rPr>
          <w:rFonts w:cs="Arial"/>
          <w:color w:val="000000" w:themeColor="text1"/>
          <w:szCs w:val="24"/>
        </w:rPr>
        <w:t>Irish</w:t>
      </w:r>
      <w:r w:rsidR="00A77129" w:rsidRPr="00CA7D27">
        <w:rPr>
          <w:rFonts w:cs="Arial"/>
          <w:color w:val="000000" w:themeColor="text1"/>
          <w:szCs w:val="24"/>
        </w:rPr>
        <w:t xml:space="preserve"> government from the legacy process. </w:t>
      </w:r>
    </w:p>
    <w:p w14:paraId="26A3D1B0" w14:textId="77777777" w:rsidR="00CA7D27" w:rsidRPr="00A77129" w:rsidRDefault="00CA7D27" w:rsidP="00D942C5">
      <w:pPr>
        <w:rPr>
          <w:rFonts w:cs="Arial"/>
          <w:color w:val="000000" w:themeColor="text1"/>
          <w:szCs w:val="24"/>
        </w:rPr>
      </w:pPr>
    </w:p>
    <w:p w14:paraId="7D94B0E6" w14:textId="77777777" w:rsidR="00823534" w:rsidRDefault="00A77129" w:rsidP="00D942C5">
      <w:pPr>
        <w:rPr>
          <w:rFonts w:cs="Arial"/>
          <w:color w:val="000000" w:themeColor="text1"/>
          <w:szCs w:val="24"/>
        </w:rPr>
      </w:pPr>
      <w:r>
        <w:rPr>
          <w:rFonts w:cs="Arial"/>
          <w:color w:val="000000" w:themeColor="text1"/>
          <w:szCs w:val="24"/>
        </w:rPr>
        <w:t>Alderman McRandal stated that t</w:t>
      </w:r>
      <w:r w:rsidR="00AE1201">
        <w:rPr>
          <w:rFonts w:cs="Arial"/>
          <w:color w:val="000000" w:themeColor="text1"/>
          <w:szCs w:val="24"/>
        </w:rPr>
        <w:t xml:space="preserve">hose who set out to kill or injure should be held fully accountable for their actions. </w:t>
      </w:r>
      <w:r>
        <w:rPr>
          <w:rFonts w:cs="Arial"/>
          <w:color w:val="000000" w:themeColor="text1"/>
          <w:szCs w:val="24"/>
        </w:rPr>
        <w:t>The Alliance Party could stand tall</w:t>
      </w:r>
      <w:r w:rsidR="00430114">
        <w:rPr>
          <w:rFonts w:cs="Arial"/>
          <w:color w:val="000000" w:themeColor="text1"/>
          <w:szCs w:val="24"/>
        </w:rPr>
        <w:t xml:space="preserve"> as </w:t>
      </w:r>
      <w:r>
        <w:rPr>
          <w:rFonts w:cs="Arial"/>
          <w:color w:val="000000" w:themeColor="text1"/>
          <w:szCs w:val="24"/>
        </w:rPr>
        <w:t xml:space="preserve">it had never endorsed the activity of paramilitary </w:t>
      </w:r>
      <w:r w:rsidR="00CB5157">
        <w:rPr>
          <w:rFonts w:cs="Arial"/>
          <w:color w:val="000000" w:themeColor="text1"/>
          <w:szCs w:val="24"/>
        </w:rPr>
        <w:t>or other subscribed groups</w:t>
      </w:r>
      <w:r w:rsidR="007E36F7">
        <w:rPr>
          <w:rFonts w:cs="Arial"/>
          <w:color w:val="000000" w:themeColor="text1"/>
          <w:szCs w:val="24"/>
        </w:rPr>
        <w:t>,</w:t>
      </w:r>
      <w:r>
        <w:rPr>
          <w:rFonts w:cs="Arial"/>
          <w:color w:val="000000" w:themeColor="text1"/>
          <w:szCs w:val="24"/>
        </w:rPr>
        <w:t xml:space="preserve"> nor sought advice on government policy from their umbrella organisation</w:t>
      </w:r>
      <w:r w:rsidR="00CB5157">
        <w:rPr>
          <w:rFonts w:cs="Arial"/>
          <w:color w:val="000000" w:themeColor="text1"/>
          <w:szCs w:val="24"/>
        </w:rPr>
        <w:t>s</w:t>
      </w:r>
      <w:r>
        <w:rPr>
          <w:rFonts w:cs="Arial"/>
          <w:color w:val="000000" w:themeColor="text1"/>
          <w:szCs w:val="24"/>
        </w:rPr>
        <w:t xml:space="preserve">. </w:t>
      </w:r>
      <w:r w:rsidR="00823534">
        <w:rPr>
          <w:rFonts w:cs="Arial"/>
          <w:color w:val="000000" w:themeColor="text1"/>
          <w:szCs w:val="24"/>
        </w:rPr>
        <w:t xml:space="preserve"> </w:t>
      </w:r>
      <w:r w:rsidR="00BE5701">
        <w:rPr>
          <w:rFonts w:cs="Arial"/>
          <w:color w:val="000000" w:themeColor="text1"/>
          <w:szCs w:val="24"/>
        </w:rPr>
        <w:t xml:space="preserve">Since </w:t>
      </w:r>
      <w:r w:rsidR="00823534">
        <w:rPr>
          <w:rFonts w:cs="Arial"/>
          <w:color w:val="000000" w:themeColor="text1"/>
          <w:szCs w:val="24"/>
        </w:rPr>
        <w:t>its</w:t>
      </w:r>
      <w:r w:rsidR="00BE5701">
        <w:rPr>
          <w:rFonts w:cs="Arial"/>
          <w:color w:val="000000" w:themeColor="text1"/>
          <w:szCs w:val="24"/>
        </w:rPr>
        <w:t xml:space="preserve"> foundation in 1970, the Alliance Party had stoo</w:t>
      </w:r>
      <w:r>
        <w:rPr>
          <w:rFonts w:cs="Arial"/>
          <w:color w:val="000000" w:themeColor="text1"/>
          <w:szCs w:val="24"/>
        </w:rPr>
        <w:t>d</w:t>
      </w:r>
      <w:r w:rsidR="00BE5701">
        <w:rPr>
          <w:rFonts w:cs="Arial"/>
          <w:color w:val="000000" w:themeColor="text1"/>
          <w:szCs w:val="24"/>
        </w:rPr>
        <w:t xml:space="preserve"> </w:t>
      </w:r>
      <w:r w:rsidR="00430114">
        <w:rPr>
          <w:rFonts w:cs="Arial"/>
          <w:color w:val="000000" w:themeColor="text1"/>
          <w:szCs w:val="24"/>
        </w:rPr>
        <w:t xml:space="preserve">unequivocally </w:t>
      </w:r>
      <w:r w:rsidR="00CB5157">
        <w:rPr>
          <w:rFonts w:cs="Arial"/>
          <w:color w:val="000000" w:themeColor="text1"/>
          <w:szCs w:val="24"/>
        </w:rPr>
        <w:t>for</w:t>
      </w:r>
      <w:r w:rsidR="00BE5701">
        <w:rPr>
          <w:rFonts w:cs="Arial"/>
          <w:color w:val="000000" w:themeColor="text1"/>
          <w:szCs w:val="24"/>
        </w:rPr>
        <w:t xml:space="preserve"> the rule of law. He found it disappointing that some political parties had</w:t>
      </w:r>
      <w:r>
        <w:rPr>
          <w:rFonts w:cs="Arial"/>
          <w:color w:val="000000" w:themeColor="text1"/>
          <w:szCs w:val="24"/>
        </w:rPr>
        <w:t xml:space="preserve"> chosen</w:t>
      </w:r>
      <w:r w:rsidR="00BE5701">
        <w:rPr>
          <w:rFonts w:cs="Arial"/>
          <w:color w:val="000000" w:themeColor="text1"/>
          <w:szCs w:val="24"/>
        </w:rPr>
        <w:t xml:space="preserve"> </w:t>
      </w:r>
      <w:r w:rsidR="00430114">
        <w:rPr>
          <w:rFonts w:cs="Arial"/>
          <w:color w:val="000000" w:themeColor="text1"/>
          <w:szCs w:val="24"/>
        </w:rPr>
        <w:t xml:space="preserve">to </w:t>
      </w:r>
      <w:r w:rsidR="00BE5701">
        <w:rPr>
          <w:rFonts w:cs="Arial"/>
          <w:color w:val="000000" w:themeColor="text1"/>
          <w:szCs w:val="24"/>
        </w:rPr>
        <w:t>wilfully misrepresent the Justice Minister’s comments fo</w:t>
      </w:r>
      <w:r w:rsidR="007E36F7">
        <w:rPr>
          <w:rFonts w:cs="Arial"/>
          <w:color w:val="000000" w:themeColor="text1"/>
          <w:szCs w:val="24"/>
        </w:rPr>
        <w:t xml:space="preserve">r, </w:t>
      </w:r>
      <w:r w:rsidR="00BE5701">
        <w:rPr>
          <w:rFonts w:cs="Arial"/>
          <w:color w:val="000000" w:themeColor="text1"/>
          <w:szCs w:val="24"/>
        </w:rPr>
        <w:t>he believed</w:t>
      </w:r>
      <w:r w:rsidR="007E36F7">
        <w:rPr>
          <w:rFonts w:cs="Arial"/>
          <w:color w:val="000000" w:themeColor="text1"/>
          <w:szCs w:val="24"/>
        </w:rPr>
        <w:t>,</w:t>
      </w:r>
      <w:r w:rsidR="00BE5701">
        <w:rPr>
          <w:rFonts w:cs="Arial"/>
          <w:color w:val="000000" w:themeColor="text1"/>
          <w:szCs w:val="24"/>
        </w:rPr>
        <w:t xml:space="preserve"> cheap political gain.  </w:t>
      </w:r>
      <w:r w:rsidR="00CB5157">
        <w:rPr>
          <w:rFonts w:cs="Arial"/>
          <w:color w:val="000000" w:themeColor="text1"/>
          <w:szCs w:val="24"/>
        </w:rPr>
        <w:t>Such</w:t>
      </w:r>
      <w:r w:rsidR="00BE5701">
        <w:rPr>
          <w:rFonts w:cs="Arial"/>
          <w:color w:val="000000" w:themeColor="text1"/>
          <w:szCs w:val="24"/>
        </w:rPr>
        <w:t xml:space="preserve"> distortion</w:t>
      </w:r>
      <w:r>
        <w:rPr>
          <w:rFonts w:cs="Arial"/>
          <w:color w:val="000000" w:themeColor="text1"/>
          <w:szCs w:val="24"/>
        </w:rPr>
        <w:t xml:space="preserve"> could only undermine positive debate and cause</w:t>
      </w:r>
      <w:r w:rsidR="00CB5157">
        <w:rPr>
          <w:rFonts w:cs="Arial"/>
          <w:color w:val="000000" w:themeColor="text1"/>
          <w:szCs w:val="24"/>
        </w:rPr>
        <w:t>d</w:t>
      </w:r>
      <w:r>
        <w:rPr>
          <w:rFonts w:cs="Arial"/>
          <w:color w:val="000000" w:themeColor="text1"/>
          <w:szCs w:val="24"/>
        </w:rPr>
        <w:t xml:space="preserve"> real hurt to victims and survivors</w:t>
      </w:r>
      <w:r w:rsidR="00CB5157">
        <w:rPr>
          <w:rFonts w:cs="Arial"/>
          <w:color w:val="000000" w:themeColor="text1"/>
          <w:szCs w:val="24"/>
        </w:rPr>
        <w:t>, people who</w:t>
      </w:r>
      <w:r w:rsidR="007E36F7">
        <w:rPr>
          <w:rFonts w:cs="Arial"/>
          <w:color w:val="000000" w:themeColor="text1"/>
          <w:szCs w:val="24"/>
        </w:rPr>
        <w:t>se</w:t>
      </w:r>
      <w:r w:rsidR="00CB5157">
        <w:rPr>
          <w:rFonts w:cs="Arial"/>
          <w:color w:val="000000" w:themeColor="text1"/>
          <w:szCs w:val="24"/>
        </w:rPr>
        <w:t xml:space="preserve"> suffering deserved respect not exploitation. </w:t>
      </w:r>
    </w:p>
    <w:p w14:paraId="34256D3A" w14:textId="77777777" w:rsidR="00823534" w:rsidRDefault="00823534" w:rsidP="00D942C5">
      <w:pPr>
        <w:rPr>
          <w:rFonts w:cs="Arial"/>
          <w:color w:val="000000" w:themeColor="text1"/>
          <w:szCs w:val="24"/>
        </w:rPr>
      </w:pPr>
    </w:p>
    <w:p w14:paraId="652CA74B" w14:textId="77777777" w:rsidR="00BB4CEB" w:rsidRDefault="00823534" w:rsidP="00D942C5">
      <w:pPr>
        <w:rPr>
          <w:rFonts w:cs="Arial"/>
          <w:color w:val="000000" w:themeColor="text1"/>
          <w:szCs w:val="24"/>
        </w:rPr>
      </w:pPr>
      <w:r>
        <w:rPr>
          <w:rFonts w:cs="Arial"/>
          <w:color w:val="000000" w:themeColor="text1"/>
          <w:szCs w:val="24"/>
        </w:rPr>
        <w:t xml:space="preserve">He said that </w:t>
      </w:r>
      <w:r w:rsidR="00CB5157">
        <w:rPr>
          <w:rFonts w:cs="Arial"/>
          <w:color w:val="000000" w:themeColor="text1"/>
          <w:szCs w:val="24"/>
        </w:rPr>
        <w:t xml:space="preserve">The Victims and Survivors Order Northern Ireland 2006 established a framework to ensure access to vital services, some of which Alderman McRandal outlined. Recognising the complexity of the past and that some individuals could have been both victims and perpetrators at different times was neither new </w:t>
      </w:r>
      <w:r w:rsidR="007E36F7">
        <w:rPr>
          <w:rFonts w:cs="Arial"/>
          <w:color w:val="000000" w:themeColor="text1"/>
          <w:szCs w:val="24"/>
        </w:rPr>
        <w:t>n</w:t>
      </w:r>
      <w:r w:rsidR="00CB5157">
        <w:rPr>
          <w:rFonts w:cs="Arial"/>
          <w:color w:val="000000" w:themeColor="text1"/>
          <w:szCs w:val="24"/>
        </w:rPr>
        <w:t xml:space="preserve">or controversial and was built into the 2006 </w:t>
      </w:r>
      <w:r w:rsidR="00BB4CEB">
        <w:rPr>
          <w:rFonts w:cs="Arial"/>
          <w:color w:val="000000" w:themeColor="text1"/>
          <w:szCs w:val="24"/>
        </w:rPr>
        <w:t>O</w:t>
      </w:r>
      <w:r w:rsidR="00CB5157">
        <w:rPr>
          <w:rFonts w:cs="Arial"/>
          <w:color w:val="000000" w:themeColor="text1"/>
          <w:szCs w:val="24"/>
        </w:rPr>
        <w:t xml:space="preserve">rder and reflected in the work of the victims and </w:t>
      </w:r>
      <w:proofErr w:type="gramStart"/>
      <w:r w:rsidR="00CB5157">
        <w:rPr>
          <w:rFonts w:cs="Arial"/>
          <w:color w:val="000000" w:themeColor="text1"/>
          <w:szCs w:val="24"/>
        </w:rPr>
        <w:t>survivors</w:t>
      </w:r>
      <w:proofErr w:type="gramEnd"/>
      <w:r w:rsidR="00CB5157">
        <w:rPr>
          <w:rFonts w:cs="Arial"/>
          <w:color w:val="000000" w:themeColor="text1"/>
          <w:szCs w:val="24"/>
        </w:rPr>
        <w:t xml:space="preserve"> service. </w:t>
      </w:r>
    </w:p>
    <w:p w14:paraId="087A61D0" w14:textId="77777777" w:rsidR="00BB4CEB" w:rsidRDefault="00BB4CEB" w:rsidP="00D942C5">
      <w:pPr>
        <w:rPr>
          <w:rFonts w:cs="Arial"/>
          <w:color w:val="000000" w:themeColor="text1"/>
          <w:szCs w:val="24"/>
        </w:rPr>
      </w:pPr>
    </w:p>
    <w:p w14:paraId="6BCC46C5" w14:textId="2D24B7E4" w:rsidR="00BB4CEB" w:rsidRDefault="00CB5157" w:rsidP="00D942C5">
      <w:pPr>
        <w:rPr>
          <w:rFonts w:cs="Arial"/>
          <w:color w:val="000000" w:themeColor="text1"/>
          <w:szCs w:val="24"/>
        </w:rPr>
      </w:pPr>
      <w:r>
        <w:rPr>
          <w:rFonts w:cs="Arial"/>
          <w:color w:val="000000" w:themeColor="text1"/>
          <w:szCs w:val="24"/>
        </w:rPr>
        <w:t>Alderman McRandal referred to the case of Billy Wright as an example</w:t>
      </w:r>
      <w:r w:rsidR="00BB4CEB">
        <w:rPr>
          <w:rFonts w:cs="Arial"/>
          <w:color w:val="000000" w:themeColor="text1"/>
          <w:szCs w:val="24"/>
        </w:rPr>
        <w:t xml:space="preserve">.  </w:t>
      </w:r>
      <w:r w:rsidR="007E36F7">
        <w:rPr>
          <w:rFonts w:cs="Arial"/>
          <w:color w:val="000000" w:themeColor="text1"/>
          <w:szCs w:val="24"/>
        </w:rPr>
        <w:t xml:space="preserve">No </w:t>
      </w:r>
      <w:r>
        <w:rPr>
          <w:rFonts w:cs="Arial"/>
          <w:color w:val="000000" w:themeColor="text1"/>
          <w:szCs w:val="24"/>
        </w:rPr>
        <w:t xml:space="preserve">one in the Chamber would deny that he was a major perpetrator of violence during </w:t>
      </w:r>
      <w:r w:rsidR="00BB4CEB">
        <w:rPr>
          <w:rFonts w:cs="Arial"/>
          <w:color w:val="000000" w:themeColor="text1"/>
          <w:szCs w:val="24"/>
        </w:rPr>
        <w:t>T</w:t>
      </w:r>
      <w:r>
        <w:rPr>
          <w:rFonts w:cs="Arial"/>
          <w:color w:val="000000" w:themeColor="text1"/>
          <w:szCs w:val="24"/>
        </w:rPr>
        <w:t xml:space="preserve">he </w:t>
      </w:r>
      <w:r w:rsidR="00BB4CEB">
        <w:rPr>
          <w:rFonts w:cs="Arial"/>
          <w:color w:val="000000" w:themeColor="text1"/>
          <w:szCs w:val="24"/>
        </w:rPr>
        <w:t>T</w:t>
      </w:r>
      <w:r>
        <w:rPr>
          <w:rFonts w:cs="Arial"/>
          <w:color w:val="000000" w:themeColor="text1"/>
          <w:szCs w:val="24"/>
        </w:rPr>
        <w:t>roubles and</w:t>
      </w:r>
      <w:r w:rsidR="007E36F7">
        <w:rPr>
          <w:rFonts w:cs="Arial"/>
          <w:color w:val="000000" w:themeColor="text1"/>
          <w:szCs w:val="24"/>
        </w:rPr>
        <w:t xml:space="preserve"> </w:t>
      </w:r>
      <w:r>
        <w:rPr>
          <w:rFonts w:cs="Arial"/>
          <w:color w:val="000000" w:themeColor="text1"/>
          <w:szCs w:val="24"/>
        </w:rPr>
        <w:t xml:space="preserve">questioned under DUP policy would </w:t>
      </w:r>
      <w:r w:rsidR="00430114">
        <w:rPr>
          <w:rFonts w:cs="Arial"/>
          <w:color w:val="000000" w:themeColor="text1"/>
          <w:szCs w:val="24"/>
        </w:rPr>
        <w:t>h</w:t>
      </w:r>
      <w:r>
        <w:rPr>
          <w:rFonts w:cs="Arial"/>
          <w:color w:val="000000" w:themeColor="text1"/>
          <w:szCs w:val="24"/>
        </w:rPr>
        <w:t>e</w:t>
      </w:r>
      <w:r w:rsidR="00430114">
        <w:rPr>
          <w:rFonts w:cs="Arial"/>
          <w:color w:val="000000" w:themeColor="text1"/>
          <w:szCs w:val="24"/>
        </w:rPr>
        <w:t xml:space="preserve"> be</w:t>
      </w:r>
      <w:r>
        <w:rPr>
          <w:rFonts w:cs="Arial"/>
          <w:color w:val="000000" w:themeColor="text1"/>
          <w:szCs w:val="24"/>
        </w:rPr>
        <w:t xml:space="preserve"> excluded as being treated as a victim. </w:t>
      </w:r>
      <w:r w:rsidR="00BB4CEB">
        <w:rPr>
          <w:rFonts w:cs="Arial"/>
          <w:color w:val="000000" w:themeColor="text1"/>
          <w:szCs w:val="24"/>
        </w:rPr>
        <w:t xml:space="preserve"> </w:t>
      </w:r>
      <w:proofErr w:type="gramStart"/>
      <w:r>
        <w:rPr>
          <w:rFonts w:cs="Arial"/>
          <w:color w:val="000000" w:themeColor="text1"/>
          <w:szCs w:val="24"/>
        </w:rPr>
        <w:t>However</w:t>
      </w:r>
      <w:proofErr w:type="gramEnd"/>
      <w:r>
        <w:rPr>
          <w:rFonts w:cs="Arial"/>
          <w:color w:val="000000" w:themeColor="text1"/>
          <w:szCs w:val="24"/>
        </w:rPr>
        <w:t xml:space="preserve"> both the UUP and DUP championed Billy Wright’s case for a public </w:t>
      </w:r>
      <w:r w:rsidR="007E36F7">
        <w:rPr>
          <w:rFonts w:cs="Arial"/>
          <w:color w:val="000000" w:themeColor="text1"/>
          <w:szCs w:val="24"/>
        </w:rPr>
        <w:t>i</w:t>
      </w:r>
      <w:r>
        <w:rPr>
          <w:rFonts w:cs="Arial"/>
          <w:color w:val="000000" w:themeColor="text1"/>
          <w:szCs w:val="24"/>
        </w:rPr>
        <w:t>nquiry</w:t>
      </w:r>
      <w:r w:rsidR="00430114">
        <w:rPr>
          <w:rFonts w:cs="Arial"/>
          <w:color w:val="000000" w:themeColor="text1"/>
          <w:szCs w:val="24"/>
        </w:rPr>
        <w:t xml:space="preserve">, </w:t>
      </w:r>
      <w:r>
        <w:rPr>
          <w:rFonts w:cs="Arial"/>
          <w:color w:val="000000" w:themeColor="text1"/>
          <w:szCs w:val="24"/>
        </w:rPr>
        <w:t xml:space="preserve">focused on its recommendations and in doing so treated him as a victim of state failure. </w:t>
      </w:r>
      <w:r w:rsidR="00BB4CEB">
        <w:rPr>
          <w:rFonts w:cs="Arial"/>
          <w:color w:val="000000" w:themeColor="text1"/>
          <w:szCs w:val="24"/>
        </w:rPr>
        <w:t xml:space="preserve"> </w:t>
      </w:r>
      <w:r>
        <w:rPr>
          <w:rFonts w:cs="Arial"/>
          <w:color w:val="000000" w:themeColor="text1"/>
          <w:szCs w:val="24"/>
        </w:rPr>
        <w:t xml:space="preserve">Alderman McRandal felt that case exposed the massive inconsistency in the DUP’s current argument that the categories of victim and perpetrator could never </w:t>
      </w:r>
      <w:proofErr w:type="gramStart"/>
      <w:r>
        <w:rPr>
          <w:rFonts w:cs="Arial"/>
          <w:color w:val="000000" w:themeColor="text1"/>
          <w:szCs w:val="24"/>
        </w:rPr>
        <w:t>overlap,</w:t>
      </w:r>
      <w:proofErr w:type="gramEnd"/>
      <w:r>
        <w:rPr>
          <w:rFonts w:cs="Arial"/>
          <w:color w:val="000000" w:themeColor="text1"/>
          <w:szCs w:val="24"/>
        </w:rPr>
        <w:t xml:space="preserve"> the truth was far more complex. </w:t>
      </w:r>
    </w:p>
    <w:p w14:paraId="739FDE96" w14:textId="2D6A3F01" w:rsidR="00BB4CEB" w:rsidRDefault="00BB4CEB" w:rsidP="00D942C5">
      <w:pPr>
        <w:rPr>
          <w:rFonts w:cs="Arial"/>
          <w:color w:val="000000" w:themeColor="text1"/>
          <w:szCs w:val="24"/>
        </w:rPr>
      </w:pPr>
    </w:p>
    <w:p w14:paraId="781F7418" w14:textId="58AD1CC9" w:rsidR="00970498" w:rsidRDefault="00970498" w:rsidP="00D942C5">
      <w:pPr>
        <w:rPr>
          <w:rFonts w:cs="Arial"/>
          <w:color w:val="000000" w:themeColor="text1"/>
          <w:szCs w:val="24"/>
        </w:rPr>
      </w:pPr>
      <w:r>
        <w:rPr>
          <w:rFonts w:cs="Arial"/>
          <w:color w:val="000000" w:themeColor="text1"/>
          <w:szCs w:val="24"/>
        </w:rPr>
        <w:t>Alderman McRandal reemphasised that there was no moral equivalence between perpetrators and the innocent, justice should hold people to account for what they did, victimhood should recognise the harm that was done. Treating them as entirely binary only created more division a</w:t>
      </w:r>
      <w:r w:rsidR="00430114">
        <w:rPr>
          <w:rFonts w:cs="Arial"/>
          <w:color w:val="000000" w:themeColor="text1"/>
          <w:szCs w:val="24"/>
        </w:rPr>
        <w:t>n</w:t>
      </w:r>
      <w:r>
        <w:rPr>
          <w:rFonts w:cs="Arial"/>
          <w:color w:val="000000" w:themeColor="text1"/>
          <w:szCs w:val="24"/>
        </w:rPr>
        <w:t xml:space="preserve">d caused more pain for those that had already suffered. Alderman McRandal outlined the measures </w:t>
      </w:r>
      <w:r w:rsidR="007E36F7">
        <w:rPr>
          <w:rFonts w:cs="Arial"/>
          <w:color w:val="000000" w:themeColor="text1"/>
          <w:szCs w:val="24"/>
        </w:rPr>
        <w:t>that</w:t>
      </w:r>
      <w:r>
        <w:rPr>
          <w:rFonts w:cs="Arial"/>
          <w:color w:val="000000" w:themeColor="text1"/>
          <w:szCs w:val="24"/>
        </w:rPr>
        <w:t xml:space="preserve"> the Alliance Party supported for delivery for victims and stated that N</w:t>
      </w:r>
      <w:r w:rsidR="0048662E">
        <w:rPr>
          <w:rFonts w:cs="Arial"/>
          <w:color w:val="000000" w:themeColor="text1"/>
          <w:szCs w:val="24"/>
        </w:rPr>
        <w:t xml:space="preserve">orthern </w:t>
      </w:r>
      <w:r>
        <w:rPr>
          <w:rFonts w:cs="Arial"/>
          <w:color w:val="000000" w:themeColor="text1"/>
          <w:szCs w:val="24"/>
        </w:rPr>
        <w:t>I</w:t>
      </w:r>
      <w:r w:rsidR="0048662E">
        <w:rPr>
          <w:rFonts w:cs="Arial"/>
          <w:color w:val="000000" w:themeColor="text1"/>
          <w:szCs w:val="24"/>
        </w:rPr>
        <w:t>reland</w:t>
      </w:r>
      <w:r>
        <w:rPr>
          <w:rFonts w:cs="Arial"/>
          <w:color w:val="000000" w:themeColor="text1"/>
          <w:szCs w:val="24"/>
        </w:rPr>
        <w:t xml:space="preserve"> would only move forward when all parties committed to reconciliation, recovery and responsibility</w:t>
      </w:r>
      <w:r w:rsidR="00430114">
        <w:rPr>
          <w:rFonts w:cs="Arial"/>
          <w:color w:val="000000" w:themeColor="text1"/>
          <w:szCs w:val="24"/>
        </w:rPr>
        <w:t xml:space="preserve">. </w:t>
      </w:r>
      <w:r>
        <w:rPr>
          <w:rFonts w:cs="Arial"/>
          <w:color w:val="000000" w:themeColor="text1"/>
          <w:szCs w:val="24"/>
        </w:rPr>
        <w:t xml:space="preserve"> </w:t>
      </w:r>
    </w:p>
    <w:p w14:paraId="404C3144" w14:textId="77777777" w:rsidR="00BE5701" w:rsidRPr="00E4144A" w:rsidRDefault="00BE5701" w:rsidP="00D942C5">
      <w:pPr>
        <w:rPr>
          <w:rFonts w:cs="Arial"/>
          <w:color w:val="000000" w:themeColor="text1"/>
          <w:szCs w:val="24"/>
        </w:rPr>
      </w:pPr>
    </w:p>
    <w:p w14:paraId="6D6ECDAE" w14:textId="6C2EFF4C" w:rsidR="0072384D" w:rsidRDefault="00AE1201" w:rsidP="0072384D">
      <w:pPr>
        <w:rPr>
          <w:rFonts w:cs="Arial"/>
          <w:color w:val="000000" w:themeColor="text1"/>
          <w:szCs w:val="24"/>
        </w:rPr>
      </w:pPr>
      <w:r>
        <w:rPr>
          <w:rFonts w:cs="Arial"/>
          <w:color w:val="000000" w:themeColor="text1"/>
          <w:szCs w:val="24"/>
        </w:rPr>
        <w:t xml:space="preserve">Councillor Chambers wished to make remarks however experienced problems with his audio, via </w:t>
      </w:r>
      <w:r w:rsidR="001564DC">
        <w:rPr>
          <w:rFonts w:cs="Arial"/>
          <w:color w:val="000000" w:themeColor="text1"/>
          <w:szCs w:val="24"/>
        </w:rPr>
        <w:t>Z</w:t>
      </w:r>
      <w:r>
        <w:rPr>
          <w:rFonts w:cs="Arial"/>
          <w:color w:val="000000" w:themeColor="text1"/>
          <w:szCs w:val="24"/>
        </w:rPr>
        <w:t xml:space="preserve">oom. </w:t>
      </w:r>
    </w:p>
    <w:p w14:paraId="7FF27C25" w14:textId="77777777" w:rsidR="00AE1201" w:rsidRDefault="00AE1201" w:rsidP="0072384D">
      <w:pPr>
        <w:rPr>
          <w:rFonts w:cs="Arial"/>
          <w:color w:val="000000" w:themeColor="text1"/>
          <w:szCs w:val="24"/>
        </w:rPr>
      </w:pPr>
    </w:p>
    <w:p w14:paraId="5C371309" w14:textId="01B9B7D9" w:rsidR="00BE5B89" w:rsidRDefault="00BE5701" w:rsidP="0072384D">
      <w:pPr>
        <w:rPr>
          <w:rFonts w:cs="Arial"/>
          <w:color w:val="000000" w:themeColor="text1"/>
          <w:szCs w:val="24"/>
        </w:rPr>
      </w:pPr>
      <w:r>
        <w:rPr>
          <w:rFonts w:cs="Arial"/>
          <w:color w:val="000000" w:themeColor="text1"/>
          <w:szCs w:val="24"/>
        </w:rPr>
        <w:t>Alderman Smith spoke</w:t>
      </w:r>
      <w:r w:rsidR="00E838DD">
        <w:rPr>
          <w:rFonts w:cs="Arial"/>
          <w:color w:val="000000" w:themeColor="text1"/>
          <w:szCs w:val="24"/>
        </w:rPr>
        <w:t xml:space="preserve"> in support of the motion firstly on </w:t>
      </w:r>
      <w:r>
        <w:rPr>
          <w:rFonts w:cs="Arial"/>
          <w:color w:val="000000" w:themeColor="text1"/>
          <w:szCs w:val="24"/>
        </w:rPr>
        <w:t>his shock when he had heard the Justice Minister discussing her comments</w:t>
      </w:r>
      <w:r w:rsidR="00BE5B89">
        <w:rPr>
          <w:rFonts w:cs="Arial"/>
          <w:color w:val="000000" w:themeColor="text1"/>
          <w:szCs w:val="24"/>
        </w:rPr>
        <w:t xml:space="preserve"> in justifying why the Alliance Party had not supported the use of the term innocent victim. </w:t>
      </w:r>
      <w:r w:rsidR="001564DC">
        <w:rPr>
          <w:rFonts w:cs="Arial"/>
          <w:color w:val="000000" w:themeColor="text1"/>
          <w:szCs w:val="24"/>
        </w:rPr>
        <w:t xml:space="preserve"> </w:t>
      </w:r>
      <w:r w:rsidR="00BE5B89">
        <w:rPr>
          <w:rFonts w:cs="Arial"/>
          <w:color w:val="000000" w:themeColor="text1"/>
          <w:szCs w:val="24"/>
        </w:rPr>
        <w:t xml:space="preserve">He thought that would have been the opportunity for the Justice Minister to admit that the Alliance Party and herself had got it wrong. </w:t>
      </w:r>
      <w:r w:rsidR="001564DC">
        <w:rPr>
          <w:rFonts w:cs="Arial"/>
          <w:color w:val="000000" w:themeColor="text1"/>
          <w:szCs w:val="24"/>
        </w:rPr>
        <w:t xml:space="preserve"> </w:t>
      </w:r>
      <w:r w:rsidR="006349A1">
        <w:rPr>
          <w:rFonts w:cs="Arial"/>
          <w:color w:val="000000" w:themeColor="text1"/>
          <w:szCs w:val="24"/>
        </w:rPr>
        <w:t xml:space="preserve">The </w:t>
      </w:r>
      <w:r w:rsidR="00BE5B89">
        <w:rPr>
          <w:rFonts w:cs="Arial"/>
          <w:color w:val="000000" w:themeColor="text1"/>
          <w:szCs w:val="24"/>
        </w:rPr>
        <w:t>Alliance Party had argued that the term innocent party created a hierarchy of victimhood, Alderman Smith stated that it d</w:t>
      </w:r>
      <w:r w:rsidR="00970498">
        <w:rPr>
          <w:rFonts w:cs="Arial"/>
          <w:color w:val="000000" w:themeColor="text1"/>
          <w:szCs w:val="24"/>
        </w:rPr>
        <w:t>id</w:t>
      </w:r>
      <w:r w:rsidR="00BE5B89">
        <w:rPr>
          <w:rFonts w:cs="Arial"/>
          <w:color w:val="000000" w:themeColor="text1"/>
          <w:szCs w:val="24"/>
        </w:rPr>
        <w:t xml:space="preserve"> and rightly so. The Shankill bomber </w:t>
      </w:r>
      <w:r w:rsidR="00970498">
        <w:rPr>
          <w:rFonts w:cs="Arial"/>
          <w:color w:val="000000" w:themeColor="text1"/>
          <w:szCs w:val="24"/>
        </w:rPr>
        <w:t xml:space="preserve">who died in his </w:t>
      </w:r>
      <w:r w:rsidR="00D1557A">
        <w:rPr>
          <w:rFonts w:cs="Arial"/>
          <w:color w:val="000000" w:themeColor="text1"/>
          <w:szCs w:val="24"/>
        </w:rPr>
        <w:t xml:space="preserve">own </w:t>
      </w:r>
      <w:r w:rsidR="00970498">
        <w:rPr>
          <w:rFonts w:cs="Arial"/>
          <w:color w:val="000000" w:themeColor="text1"/>
          <w:szCs w:val="24"/>
        </w:rPr>
        <w:t xml:space="preserve">explosion was not morally equivalent to the </w:t>
      </w:r>
      <w:r w:rsidR="0093225D">
        <w:rPr>
          <w:rFonts w:cs="Arial"/>
          <w:color w:val="000000" w:themeColor="text1"/>
          <w:szCs w:val="24"/>
        </w:rPr>
        <w:t>nine</w:t>
      </w:r>
      <w:r w:rsidR="00970498">
        <w:rPr>
          <w:rFonts w:cs="Arial"/>
          <w:color w:val="000000" w:themeColor="text1"/>
          <w:szCs w:val="24"/>
        </w:rPr>
        <w:t xml:space="preserve"> innocent victims that were murdered that awful day. </w:t>
      </w:r>
      <w:r w:rsidR="00BE5B89">
        <w:rPr>
          <w:rFonts w:cs="Arial"/>
          <w:color w:val="000000" w:themeColor="text1"/>
          <w:szCs w:val="24"/>
        </w:rPr>
        <w:t xml:space="preserve">The terrorist was not the same </w:t>
      </w:r>
      <w:r w:rsidR="0093225D">
        <w:rPr>
          <w:rFonts w:cs="Arial"/>
          <w:color w:val="000000" w:themeColor="text1"/>
          <w:szCs w:val="24"/>
        </w:rPr>
        <w:t xml:space="preserve">as </w:t>
      </w:r>
      <w:r w:rsidR="00BE5B89">
        <w:rPr>
          <w:rFonts w:cs="Arial"/>
          <w:color w:val="000000" w:themeColor="text1"/>
          <w:szCs w:val="24"/>
        </w:rPr>
        <w:t>those they terrorise</w:t>
      </w:r>
      <w:r w:rsidR="0093225D">
        <w:rPr>
          <w:rFonts w:cs="Arial"/>
          <w:color w:val="000000" w:themeColor="text1"/>
          <w:szCs w:val="24"/>
        </w:rPr>
        <w:t>d</w:t>
      </w:r>
      <w:r w:rsidR="00970498">
        <w:rPr>
          <w:rFonts w:cs="Arial"/>
          <w:color w:val="000000" w:themeColor="text1"/>
          <w:szCs w:val="24"/>
        </w:rPr>
        <w:t xml:space="preserve">. </w:t>
      </w:r>
      <w:r w:rsidR="0093225D">
        <w:rPr>
          <w:rFonts w:cs="Arial"/>
          <w:color w:val="000000" w:themeColor="text1"/>
          <w:szCs w:val="24"/>
        </w:rPr>
        <w:t xml:space="preserve"> </w:t>
      </w:r>
      <w:r w:rsidR="00970498">
        <w:rPr>
          <w:rFonts w:cs="Arial"/>
          <w:color w:val="000000" w:themeColor="text1"/>
          <w:szCs w:val="24"/>
        </w:rPr>
        <w:t xml:space="preserve">To make terrorists victims was </w:t>
      </w:r>
      <w:r w:rsidR="00D1557A">
        <w:rPr>
          <w:rFonts w:cs="Arial"/>
          <w:color w:val="000000" w:themeColor="text1"/>
          <w:szCs w:val="24"/>
        </w:rPr>
        <w:t xml:space="preserve">participating in the </w:t>
      </w:r>
      <w:r w:rsidR="00970498">
        <w:rPr>
          <w:rFonts w:cs="Arial"/>
          <w:color w:val="000000" w:themeColor="text1"/>
          <w:szCs w:val="24"/>
        </w:rPr>
        <w:t xml:space="preserve">rewriting </w:t>
      </w:r>
      <w:r w:rsidR="00D1557A">
        <w:rPr>
          <w:rFonts w:cs="Arial"/>
          <w:color w:val="000000" w:themeColor="text1"/>
          <w:szCs w:val="24"/>
        </w:rPr>
        <w:t xml:space="preserve">of </w:t>
      </w:r>
      <w:r w:rsidR="00970498">
        <w:rPr>
          <w:rFonts w:cs="Arial"/>
          <w:color w:val="000000" w:themeColor="text1"/>
          <w:szCs w:val="24"/>
        </w:rPr>
        <w:t>history</w:t>
      </w:r>
      <w:r w:rsidR="00D1557A">
        <w:rPr>
          <w:rFonts w:cs="Arial"/>
          <w:color w:val="000000" w:themeColor="text1"/>
          <w:szCs w:val="24"/>
        </w:rPr>
        <w:t xml:space="preserve">. </w:t>
      </w:r>
      <w:r w:rsidR="0093225D">
        <w:rPr>
          <w:rFonts w:cs="Arial"/>
          <w:color w:val="000000" w:themeColor="text1"/>
          <w:szCs w:val="24"/>
        </w:rPr>
        <w:t xml:space="preserve"> </w:t>
      </w:r>
      <w:r w:rsidR="00D1557A">
        <w:rPr>
          <w:rFonts w:cs="Arial"/>
          <w:color w:val="000000" w:themeColor="text1"/>
          <w:szCs w:val="24"/>
        </w:rPr>
        <w:t xml:space="preserve">Alderman Smith spoke of the campaign by Sinn Fein to justify the unjustifiable.  Alderman Smith stated that action needed to </w:t>
      </w:r>
      <w:r w:rsidR="0093225D">
        <w:rPr>
          <w:rFonts w:cs="Arial"/>
          <w:color w:val="000000" w:themeColor="text1"/>
          <w:szCs w:val="24"/>
        </w:rPr>
        <w:t xml:space="preserve">be </w:t>
      </w:r>
      <w:r w:rsidR="00D1557A">
        <w:rPr>
          <w:rFonts w:cs="Arial"/>
          <w:color w:val="000000" w:themeColor="text1"/>
          <w:szCs w:val="24"/>
        </w:rPr>
        <w:t xml:space="preserve">taken, an attempt to rewrite history and change the narrative and to justify what could not </w:t>
      </w:r>
      <w:r w:rsidR="0093225D">
        <w:rPr>
          <w:rFonts w:cs="Arial"/>
          <w:color w:val="000000" w:themeColor="text1"/>
          <w:szCs w:val="24"/>
        </w:rPr>
        <w:t xml:space="preserve">be </w:t>
      </w:r>
      <w:r w:rsidR="00D1557A">
        <w:rPr>
          <w:rFonts w:cs="Arial"/>
          <w:color w:val="000000" w:themeColor="text1"/>
          <w:szCs w:val="24"/>
        </w:rPr>
        <w:t xml:space="preserve">should not be </w:t>
      </w:r>
      <w:r w:rsidR="0093225D">
        <w:rPr>
          <w:rFonts w:cs="Arial"/>
          <w:color w:val="000000" w:themeColor="text1"/>
          <w:szCs w:val="24"/>
        </w:rPr>
        <w:t xml:space="preserve">acceptable.  </w:t>
      </w:r>
      <w:r w:rsidR="00D1557A">
        <w:rPr>
          <w:rFonts w:cs="Arial"/>
          <w:color w:val="000000" w:themeColor="text1"/>
          <w:szCs w:val="24"/>
        </w:rPr>
        <w:t xml:space="preserve"> </w:t>
      </w:r>
    </w:p>
    <w:p w14:paraId="5ECEADCD" w14:textId="6A23B08B" w:rsidR="00E838DD" w:rsidRDefault="00982278" w:rsidP="0072384D">
      <w:pPr>
        <w:rPr>
          <w:rFonts w:cs="Arial"/>
          <w:color w:val="000000" w:themeColor="text1"/>
          <w:szCs w:val="24"/>
        </w:rPr>
      </w:pPr>
      <w:r>
        <w:rPr>
          <w:rFonts w:cs="Arial"/>
          <w:color w:val="000000" w:themeColor="text1"/>
          <w:szCs w:val="24"/>
        </w:rPr>
        <w:t xml:space="preserve"> </w:t>
      </w:r>
    </w:p>
    <w:p w14:paraId="27ED976D" w14:textId="55B6DEC8" w:rsidR="00E838DD" w:rsidRDefault="00E838DD" w:rsidP="0072384D">
      <w:pPr>
        <w:rPr>
          <w:rFonts w:cs="Arial"/>
          <w:color w:val="000000" w:themeColor="text1"/>
          <w:szCs w:val="24"/>
        </w:rPr>
      </w:pPr>
      <w:r>
        <w:rPr>
          <w:rFonts w:cs="Arial"/>
          <w:color w:val="000000" w:themeColor="text1"/>
          <w:szCs w:val="24"/>
        </w:rPr>
        <w:t xml:space="preserve">Councillor W Irvine added his support to the motion. </w:t>
      </w:r>
      <w:r w:rsidR="0093225D">
        <w:rPr>
          <w:rFonts w:cs="Arial"/>
          <w:color w:val="000000" w:themeColor="text1"/>
          <w:szCs w:val="24"/>
        </w:rPr>
        <w:t xml:space="preserve"> </w:t>
      </w:r>
      <w:r>
        <w:rPr>
          <w:rFonts w:cs="Arial"/>
          <w:color w:val="000000" w:themeColor="text1"/>
          <w:szCs w:val="24"/>
        </w:rPr>
        <w:t xml:space="preserve">For true reconciliation to take place it had to be recognised who were the victims and </w:t>
      </w:r>
      <w:r w:rsidR="0093225D">
        <w:rPr>
          <w:rFonts w:cs="Arial"/>
          <w:color w:val="000000" w:themeColor="text1"/>
          <w:szCs w:val="24"/>
        </w:rPr>
        <w:t xml:space="preserve">who were the </w:t>
      </w:r>
      <w:r>
        <w:rPr>
          <w:rFonts w:cs="Arial"/>
          <w:color w:val="000000" w:themeColor="text1"/>
          <w:szCs w:val="24"/>
        </w:rPr>
        <w:t xml:space="preserve">victim makers. The comments made by the Justice Minister </w:t>
      </w:r>
      <w:r w:rsidR="00982278">
        <w:rPr>
          <w:rFonts w:cs="Arial"/>
          <w:color w:val="000000" w:themeColor="text1"/>
          <w:szCs w:val="24"/>
        </w:rPr>
        <w:t>had made that much more difficult. Having terrorist</w:t>
      </w:r>
      <w:r w:rsidR="000E1E09">
        <w:rPr>
          <w:rFonts w:cs="Arial"/>
          <w:color w:val="000000" w:themeColor="text1"/>
          <w:szCs w:val="24"/>
        </w:rPr>
        <w:t>s</w:t>
      </w:r>
      <w:r w:rsidR="00982278">
        <w:rPr>
          <w:rFonts w:cs="Arial"/>
          <w:color w:val="000000" w:themeColor="text1"/>
          <w:szCs w:val="24"/>
        </w:rPr>
        <w:t xml:space="preserve"> commemorated by leaders in this country was re-traumatising victims and</w:t>
      </w:r>
      <w:r w:rsidR="006349A1">
        <w:rPr>
          <w:rFonts w:cs="Arial"/>
          <w:color w:val="000000" w:themeColor="text1"/>
          <w:szCs w:val="24"/>
        </w:rPr>
        <w:t xml:space="preserve"> making it harder</w:t>
      </w:r>
      <w:r w:rsidR="000E1E09">
        <w:rPr>
          <w:rFonts w:cs="Arial"/>
          <w:color w:val="000000" w:themeColor="text1"/>
          <w:szCs w:val="24"/>
        </w:rPr>
        <w:t xml:space="preserve"> to </w:t>
      </w:r>
      <w:r w:rsidR="00982278">
        <w:rPr>
          <w:rFonts w:cs="Arial"/>
          <w:color w:val="000000" w:themeColor="text1"/>
          <w:szCs w:val="24"/>
        </w:rPr>
        <w:t xml:space="preserve">deal with the legacy that needed </w:t>
      </w:r>
      <w:r w:rsidR="0093225D">
        <w:rPr>
          <w:rFonts w:cs="Arial"/>
          <w:color w:val="000000" w:themeColor="text1"/>
          <w:szCs w:val="24"/>
        </w:rPr>
        <w:t xml:space="preserve">to be </w:t>
      </w:r>
      <w:r w:rsidR="000E1E09">
        <w:rPr>
          <w:rFonts w:cs="Arial"/>
          <w:color w:val="000000" w:themeColor="text1"/>
          <w:szCs w:val="24"/>
        </w:rPr>
        <w:t xml:space="preserve">addressed. </w:t>
      </w:r>
      <w:r w:rsidR="00982278">
        <w:rPr>
          <w:rFonts w:cs="Arial"/>
          <w:color w:val="000000" w:themeColor="text1"/>
          <w:szCs w:val="24"/>
        </w:rPr>
        <w:t>The R</w:t>
      </w:r>
      <w:r w:rsidR="0088030F">
        <w:rPr>
          <w:rFonts w:cs="Arial"/>
          <w:color w:val="000000" w:themeColor="text1"/>
          <w:szCs w:val="24"/>
        </w:rPr>
        <w:t xml:space="preserve">epublic of </w:t>
      </w:r>
      <w:r w:rsidR="00982278">
        <w:rPr>
          <w:rFonts w:cs="Arial"/>
          <w:color w:val="000000" w:themeColor="text1"/>
          <w:szCs w:val="24"/>
        </w:rPr>
        <w:t>I</w:t>
      </w:r>
      <w:r w:rsidR="0088030F">
        <w:rPr>
          <w:rFonts w:cs="Arial"/>
          <w:color w:val="000000" w:themeColor="text1"/>
          <w:szCs w:val="24"/>
        </w:rPr>
        <w:t>reland</w:t>
      </w:r>
      <w:r w:rsidR="00982278">
        <w:rPr>
          <w:rFonts w:cs="Arial"/>
          <w:color w:val="000000" w:themeColor="text1"/>
          <w:szCs w:val="24"/>
        </w:rPr>
        <w:t xml:space="preserve"> also had a big part </w:t>
      </w:r>
      <w:r w:rsidR="000E1E09">
        <w:rPr>
          <w:rFonts w:cs="Arial"/>
          <w:color w:val="000000" w:themeColor="text1"/>
          <w:szCs w:val="24"/>
        </w:rPr>
        <w:t xml:space="preserve">to </w:t>
      </w:r>
      <w:r w:rsidR="00982278">
        <w:rPr>
          <w:rFonts w:cs="Arial"/>
          <w:color w:val="000000" w:themeColor="text1"/>
          <w:szCs w:val="24"/>
        </w:rPr>
        <w:t xml:space="preserve">play and </w:t>
      </w:r>
      <w:r w:rsidR="0088030F">
        <w:rPr>
          <w:rFonts w:cs="Arial"/>
          <w:color w:val="000000" w:themeColor="text1"/>
          <w:szCs w:val="24"/>
        </w:rPr>
        <w:t xml:space="preserve">needed </w:t>
      </w:r>
      <w:r w:rsidR="006349A1">
        <w:rPr>
          <w:rFonts w:cs="Arial"/>
          <w:color w:val="000000" w:themeColor="text1"/>
          <w:szCs w:val="24"/>
        </w:rPr>
        <w:t xml:space="preserve">to </w:t>
      </w:r>
      <w:r w:rsidR="00982278">
        <w:rPr>
          <w:rFonts w:cs="Arial"/>
          <w:color w:val="000000" w:themeColor="text1"/>
          <w:szCs w:val="24"/>
        </w:rPr>
        <w:t>be</w:t>
      </w:r>
      <w:r w:rsidR="006349A1">
        <w:rPr>
          <w:rFonts w:cs="Arial"/>
          <w:color w:val="000000" w:themeColor="text1"/>
          <w:szCs w:val="24"/>
        </w:rPr>
        <w:t xml:space="preserve"> </w:t>
      </w:r>
      <w:r w:rsidR="00982278">
        <w:rPr>
          <w:rFonts w:cs="Arial"/>
          <w:color w:val="000000" w:themeColor="text1"/>
          <w:szCs w:val="24"/>
        </w:rPr>
        <w:t xml:space="preserve">truthful in terms of terrorists </w:t>
      </w:r>
      <w:r w:rsidR="0088030F">
        <w:rPr>
          <w:rFonts w:cs="Arial"/>
          <w:color w:val="000000" w:themeColor="text1"/>
          <w:szCs w:val="24"/>
        </w:rPr>
        <w:t xml:space="preserve">being given </w:t>
      </w:r>
      <w:r w:rsidR="00982278">
        <w:rPr>
          <w:rFonts w:cs="Arial"/>
          <w:color w:val="000000" w:themeColor="text1"/>
          <w:szCs w:val="24"/>
        </w:rPr>
        <w:t xml:space="preserve">free access across the border to commit the most awful atrocities. </w:t>
      </w:r>
    </w:p>
    <w:p w14:paraId="5FD777AA" w14:textId="77777777" w:rsidR="0077796D" w:rsidRDefault="0077796D" w:rsidP="0072384D">
      <w:pPr>
        <w:rPr>
          <w:rFonts w:cs="Arial"/>
          <w:color w:val="000000" w:themeColor="text1"/>
          <w:szCs w:val="24"/>
        </w:rPr>
      </w:pPr>
    </w:p>
    <w:p w14:paraId="31EF9EE2" w14:textId="6F4F5EEC" w:rsidR="0077796D" w:rsidRDefault="0077796D" w:rsidP="0072384D">
      <w:pPr>
        <w:rPr>
          <w:rFonts w:cs="Arial"/>
          <w:color w:val="000000" w:themeColor="text1"/>
          <w:szCs w:val="24"/>
        </w:rPr>
      </w:pPr>
      <w:r>
        <w:rPr>
          <w:rFonts w:cs="Arial"/>
          <w:color w:val="000000" w:themeColor="text1"/>
          <w:szCs w:val="24"/>
        </w:rPr>
        <w:t xml:space="preserve">Alderman Graham </w:t>
      </w:r>
      <w:r w:rsidR="00982278">
        <w:rPr>
          <w:rFonts w:cs="Arial"/>
          <w:color w:val="000000" w:themeColor="text1"/>
          <w:szCs w:val="24"/>
        </w:rPr>
        <w:t xml:space="preserve">believed that it was very important to make a clear distinction </w:t>
      </w:r>
      <w:r w:rsidR="00C878D3">
        <w:rPr>
          <w:rFonts w:cs="Arial"/>
          <w:color w:val="000000" w:themeColor="text1"/>
          <w:szCs w:val="24"/>
        </w:rPr>
        <w:t xml:space="preserve">when talking about victims and </w:t>
      </w:r>
      <w:r w:rsidR="006349A1">
        <w:rPr>
          <w:rFonts w:cs="Arial"/>
          <w:color w:val="000000" w:themeColor="text1"/>
          <w:szCs w:val="24"/>
        </w:rPr>
        <w:t xml:space="preserve">to </w:t>
      </w:r>
      <w:r w:rsidR="00C878D3">
        <w:rPr>
          <w:rFonts w:cs="Arial"/>
          <w:color w:val="000000" w:themeColor="text1"/>
          <w:szCs w:val="24"/>
        </w:rPr>
        <w:t xml:space="preserve">be careful that terrorism could </w:t>
      </w:r>
      <w:r w:rsidR="006349A1">
        <w:rPr>
          <w:rFonts w:cs="Arial"/>
          <w:color w:val="000000" w:themeColor="text1"/>
          <w:szCs w:val="24"/>
        </w:rPr>
        <w:t xml:space="preserve">not </w:t>
      </w:r>
      <w:r w:rsidR="00C878D3">
        <w:rPr>
          <w:rFonts w:cs="Arial"/>
          <w:color w:val="000000" w:themeColor="text1"/>
          <w:szCs w:val="24"/>
        </w:rPr>
        <w:t xml:space="preserve">be justified to the slightest degree. </w:t>
      </w:r>
      <w:r w:rsidR="0088030F">
        <w:rPr>
          <w:rFonts w:cs="Arial"/>
          <w:color w:val="000000" w:themeColor="text1"/>
          <w:szCs w:val="24"/>
        </w:rPr>
        <w:t xml:space="preserve"> </w:t>
      </w:r>
      <w:r w:rsidR="00C878D3">
        <w:rPr>
          <w:rFonts w:cs="Arial"/>
          <w:color w:val="000000" w:themeColor="text1"/>
          <w:szCs w:val="24"/>
        </w:rPr>
        <w:t xml:space="preserve">Terrorism was a subtle and dangerous matter in any situation with the whole idea to terrorise people, very often to make a political point or to get political change. </w:t>
      </w:r>
      <w:r w:rsidR="0088030F">
        <w:rPr>
          <w:rFonts w:cs="Arial"/>
          <w:color w:val="000000" w:themeColor="text1"/>
          <w:szCs w:val="24"/>
        </w:rPr>
        <w:t xml:space="preserve"> </w:t>
      </w:r>
      <w:r w:rsidR="00C878D3">
        <w:rPr>
          <w:rFonts w:cs="Arial"/>
          <w:color w:val="000000" w:themeColor="text1"/>
          <w:szCs w:val="24"/>
        </w:rPr>
        <w:t xml:space="preserve">Innocent victims needed </w:t>
      </w:r>
      <w:r w:rsidR="0088030F">
        <w:rPr>
          <w:rFonts w:cs="Arial"/>
          <w:color w:val="000000" w:themeColor="text1"/>
          <w:szCs w:val="24"/>
        </w:rPr>
        <w:t xml:space="preserve">to </w:t>
      </w:r>
      <w:r w:rsidR="00C878D3">
        <w:rPr>
          <w:rFonts w:cs="Arial"/>
          <w:color w:val="000000" w:themeColor="text1"/>
          <w:szCs w:val="24"/>
        </w:rPr>
        <w:t xml:space="preserve">be clearly separated from those terrorists.  No one had any justification to become a terrorist for any </w:t>
      </w:r>
      <w:proofErr w:type="gramStart"/>
      <w:r w:rsidR="00C878D3">
        <w:rPr>
          <w:rFonts w:cs="Arial"/>
          <w:color w:val="000000" w:themeColor="text1"/>
          <w:szCs w:val="24"/>
        </w:rPr>
        <w:t>cause</w:t>
      </w:r>
      <w:proofErr w:type="gramEnd"/>
      <w:r w:rsidR="00C878D3">
        <w:rPr>
          <w:rFonts w:cs="Arial"/>
          <w:color w:val="000000" w:themeColor="text1"/>
          <w:szCs w:val="24"/>
        </w:rPr>
        <w:t xml:space="preserve"> and it was never right for people to take the law into their own hands. </w:t>
      </w:r>
    </w:p>
    <w:p w14:paraId="4501AE66" w14:textId="77777777" w:rsidR="0077796D" w:rsidRDefault="0077796D" w:rsidP="0072384D">
      <w:pPr>
        <w:rPr>
          <w:rFonts w:cs="Arial"/>
          <w:color w:val="000000" w:themeColor="text1"/>
          <w:szCs w:val="24"/>
        </w:rPr>
      </w:pPr>
    </w:p>
    <w:p w14:paraId="483EF75F" w14:textId="77777777" w:rsidR="0088030F" w:rsidRDefault="0077796D" w:rsidP="0072384D">
      <w:pPr>
        <w:rPr>
          <w:rFonts w:cs="Arial"/>
          <w:color w:val="000000" w:themeColor="text1"/>
          <w:szCs w:val="24"/>
        </w:rPr>
      </w:pPr>
      <w:r>
        <w:rPr>
          <w:rFonts w:cs="Arial"/>
          <w:color w:val="000000" w:themeColor="text1"/>
          <w:szCs w:val="24"/>
        </w:rPr>
        <w:t xml:space="preserve">Alderman McIlveen </w:t>
      </w:r>
      <w:r w:rsidR="00C878D3">
        <w:rPr>
          <w:rFonts w:cs="Arial"/>
          <w:color w:val="000000" w:themeColor="text1"/>
          <w:szCs w:val="24"/>
        </w:rPr>
        <w:t>stated that the motion was about the Alliance Party siding with Sinn Fein to remove the word innocent when referring to innocent victims and the Justice Minister, the leader of the Alliance Party</w:t>
      </w:r>
      <w:r w:rsidR="006349A1">
        <w:rPr>
          <w:rFonts w:cs="Arial"/>
          <w:color w:val="000000" w:themeColor="text1"/>
          <w:szCs w:val="24"/>
        </w:rPr>
        <w:t>,</w:t>
      </w:r>
      <w:r w:rsidR="00C878D3">
        <w:rPr>
          <w:rFonts w:cs="Arial"/>
          <w:color w:val="000000" w:themeColor="text1"/>
          <w:szCs w:val="24"/>
        </w:rPr>
        <w:t xml:space="preserve"> </w:t>
      </w:r>
      <w:r w:rsidR="000E1E09">
        <w:rPr>
          <w:rFonts w:cs="Arial"/>
          <w:color w:val="000000" w:themeColor="text1"/>
          <w:szCs w:val="24"/>
        </w:rPr>
        <w:t xml:space="preserve">appearing on the media </w:t>
      </w:r>
      <w:r w:rsidR="00C878D3">
        <w:rPr>
          <w:rFonts w:cs="Arial"/>
          <w:color w:val="000000" w:themeColor="text1"/>
          <w:szCs w:val="24"/>
        </w:rPr>
        <w:t>to defend th</w:t>
      </w:r>
      <w:r w:rsidR="000E1E09">
        <w:rPr>
          <w:rFonts w:cs="Arial"/>
          <w:color w:val="000000" w:themeColor="text1"/>
          <w:szCs w:val="24"/>
        </w:rPr>
        <w:t>at</w:t>
      </w:r>
      <w:r w:rsidR="00C878D3">
        <w:rPr>
          <w:rFonts w:cs="Arial"/>
          <w:color w:val="000000" w:themeColor="text1"/>
          <w:szCs w:val="24"/>
        </w:rPr>
        <w:t xml:space="preserve"> decision. There had been </w:t>
      </w:r>
      <w:r w:rsidR="000E1E09">
        <w:rPr>
          <w:rFonts w:cs="Arial"/>
          <w:color w:val="000000" w:themeColor="text1"/>
          <w:szCs w:val="24"/>
        </w:rPr>
        <w:t xml:space="preserve">a </w:t>
      </w:r>
      <w:r w:rsidR="00C878D3">
        <w:rPr>
          <w:rFonts w:cs="Arial"/>
          <w:color w:val="000000" w:themeColor="text1"/>
          <w:szCs w:val="24"/>
        </w:rPr>
        <w:t xml:space="preserve">call from victims and victim groups for the leader of the Alliance Party to </w:t>
      </w:r>
      <w:r w:rsidR="00D1557A">
        <w:rPr>
          <w:rFonts w:cs="Arial"/>
          <w:color w:val="000000" w:themeColor="text1"/>
          <w:szCs w:val="24"/>
        </w:rPr>
        <w:t>publicly</w:t>
      </w:r>
      <w:r w:rsidR="00C878D3">
        <w:rPr>
          <w:rFonts w:cs="Arial"/>
          <w:color w:val="000000" w:themeColor="text1"/>
          <w:szCs w:val="24"/>
        </w:rPr>
        <w:t xml:space="preserve"> apologise</w:t>
      </w:r>
      <w:r w:rsidR="00D1557A">
        <w:rPr>
          <w:rFonts w:cs="Arial"/>
          <w:color w:val="000000" w:themeColor="text1"/>
          <w:szCs w:val="24"/>
        </w:rPr>
        <w:t>, notably amongst those was A</w:t>
      </w:r>
      <w:r w:rsidR="00C878D3">
        <w:rPr>
          <w:rFonts w:cs="Arial"/>
          <w:color w:val="000000" w:themeColor="text1"/>
          <w:szCs w:val="24"/>
        </w:rPr>
        <w:t>nn Travers</w:t>
      </w:r>
      <w:r w:rsidR="00D1557A">
        <w:rPr>
          <w:rFonts w:cs="Arial"/>
          <w:color w:val="000000" w:themeColor="text1"/>
          <w:szCs w:val="24"/>
        </w:rPr>
        <w:t xml:space="preserve"> whose sister was murdered and father injured as they were leaving mass one day. </w:t>
      </w:r>
    </w:p>
    <w:p w14:paraId="782599AF" w14:textId="77777777" w:rsidR="0088030F" w:rsidRDefault="0088030F" w:rsidP="0072384D">
      <w:pPr>
        <w:rPr>
          <w:rFonts w:cs="Arial"/>
          <w:color w:val="000000" w:themeColor="text1"/>
          <w:szCs w:val="24"/>
        </w:rPr>
      </w:pPr>
    </w:p>
    <w:p w14:paraId="3436E22E" w14:textId="0701B526" w:rsidR="00E838DD" w:rsidRDefault="00C878D3" w:rsidP="0072384D">
      <w:pPr>
        <w:rPr>
          <w:rFonts w:cs="Arial"/>
          <w:color w:val="000000" w:themeColor="text1"/>
          <w:szCs w:val="24"/>
        </w:rPr>
      </w:pPr>
      <w:r>
        <w:rPr>
          <w:rFonts w:cs="Arial"/>
          <w:color w:val="000000" w:themeColor="text1"/>
          <w:szCs w:val="24"/>
        </w:rPr>
        <w:t xml:space="preserve">Alderman McIlveen stated that clarity was needed on the matter. The DUP had consistently objected to the definition that was within the </w:t>
      </w:r>
      <w:r w:rsidR="00D1557A">
        <w:rPr>
          <w:rFonts w:cs="Arial"/>
          <w:color w:val="000000" w:themeColor="text1"/>
          <w:szCs w:val="24"/>
        </w:rPr>
        <w:t>O</w:t>
      </w:r>
      <w:r>
        <w:rPr>
          <w:rFonts w:cs="Arial"/>
          <w:color w:val="000000" w:themeColor="text1"/>
          <w:szCs w:val="24"/>
        </w:rPr>
        <w:t xml:space="preserve">rder. There was no </w:t>
      </w:r>
      <w:r w:rsidR="000E1E09">
        <w:rPr>
          <w:rFonts w:cs="Arial"/>
          <w:color w:val="000000" w:themeColor="text1"/>
          <w:szCs w:val="24"/>
        </w:rPr>
        <w:t>equivalence</w:t>
      </w:r>
      <w:r>
        <w:rPr>
          <w:rFonts w:cs="Arial"/>
          <w:color w:val="000000" w:themeColor="text1"/>
          <w:szCs w:val="24"/>
        </w:rPr>
        <w:t xml:space="preserve">, moral or otherwise between the perpetrators of an act </w:t>
      </w:r>
      <w:r w:rsidR="0088714B">
        <w:rPr>
          <w:rFonts w:cs="Arial"/>
          <w:color w:val="000000" w:themeColor="text1"/>
          <w:szCs w:val="24"/>
        </w:rPr>
        <w:t xml:space="preserve">and those innocent victims. </w:t>
      </w:r>
      <w:r w:rsidR="00D1557A">
        <w:rPr>
          <w:rFonts w:cs="Arial"/>
          <w:color w:val="000000" w:themeColor="text1"/>
          <w:szCs w:val="24"/>
        </w:rPr>
        <w:t xml:space="preserve">Alderman McIlveen highlighted the need to be clear on what was being discussed and that was the shameful support of the removal of the word innocent in the </w:t>
      </w:r>
      <w:r w:rsidR="0088030F">
        <w:rPr>
          <w:rFonts w:cs="Arial"/>
          <w:color w:val="000000" w:themeColor="text1"/>
          <w:szCs w:val="24"/>
        </w:rPr>
        <w:t>A</w:t>
      </w:r>
      <w:r w:rsidR="00D1557A">
        <w:rPr>
          <w:rFonts w:cs="Arial"/>
          <w:color w:val="000000" w:themeColor="text1"/>
          <w:szCs w:val="24"/>
        </w:rPr>
        <w:t xml:space="preserve">ssembly motion. </w:t>
      </w:r>
    </w:p>
    <w:p w14:paraId="758C7D90" w14:textId="77777777" w:rsidR="009C7049" w:rsidRDefault="009C7049" w:rsidP="0072384D">
      <w:pPr>
        <w:rPr>
          <w:rFonts w:cs="Arial"/>
          <w:color w:val="000000" w:themeColor="text1"/>
          <w:szCs w:val="24"/>
        </w:rPr>
      </w:pPr>
    </w:p>
    <w:p w14:paraId="13F2C16D" w14:textId="521D9687" w:rsidR="009C7049" w:rsidRDefault="009C7049" w:rsidP="0072384D">
      <w:pPr>
        <w:rPr>
          <w:rFonts w:cs="Arial"/>
          <w:color w:val="000000" w:themeColor="text1"/>
          <w:szCs w:val="24"/>
        </w:rPr>
      </w:pPr>
      <w:r>
        <w:rPr>
          <w:rFonts w:cs="Arial"/>
          <w:color w:val="000000" w:themeColor="text1"/>
          <w:szCs w:val="24"/>
        </w:rPr>
        <w:lastRenderedPageBreak/>
        <w:t xml:space="preserve">Councillor S Irvine </w:t>
      </w:r>
      <w:r w:rsidR="009A4140">
        <w:rPr>
          <w:rFonts w:cs="Arial"/>
          <w:color w:val="000000" w:themeColor="text1"/>
          <w:szCs w:val="24"/>
        </w:rPr>
        <w:t xml:space="preserve">rose in support of the motion and spoke of his disbelief </w:t>
      </w:r>
      <w:r w:rsidR="006349A1">
        <w:rPr>
          <w:rFonts w:cs="Arial"/>
          <w:color w:val="000000" w:themeColor="text1"/>
          <w:szCs w:val="24"/>
        </w:rPr>
        <w:t>at</w:t>
      </w:r>
      <w:r w:rsidR="009A4140">
        <w:rPr>
          <w:rFonts w:cs="Arial"/>
          <w:color w:val="000000" w:themeColor="text1"/>
          <w:szCs w:val="24"/>
        </w:rPr>
        <w:t xml:space="preserve"> the removal of the word innocent. </w:t>
      </w:r>
      <w:r w:rsidR="0088030F">
        <w:rPr>
          <w:rFonts w:cs="Arial"/>
          <w:color w:val="000000" w:themeColor="text1"/>
          <w:szCs w:val="24"/>
        </w:rPr>
        <w:t xml:space="preserve"> </w:t>
      </w:r>
      <w:r w:rsidR="00A363C3">
        <w:rPr>
          <w:rFonts w:cs="Arial"/>
          <w:color w:val="000000" w:themeColor="text1"/>
          <w:szCs w:val="24"/>
        </w:rPr>
        <w:t>He outlined that t</w:t>
      </w:r>
      <w:r w:rsidR="009A4140">
        <w:rPr>
          <w:rFonts w:cs="Arial"/>
          <w:color w:val="000000" w:themeColor="text1"/>
          <w:szCs w:val="24"/>
        </w:rPr>
        <w:t xml:space="preserve">wo names sprung to his mind Thomas Beagly and Leanne Murray. </w:t>
      </w:r>
      <w:r w:rsidR="0088030F">
        <w:rPr>
          <w:rFonts w:cs="Arial"/>
          <w:color w:val="000000" w:themeColor="text1"/>
          <w:szCs w:val="24"/>
        </w:rPr>
        <w:t xml:space="preserve"> </w:t>
      </w:r>
      <w:r w:rsidR="009A4140">
        <w:rPr>
          <w:rFonts w:cs="Arial"/>
          <w:color w:val="000000" w:themeColor="text1"/>
          <w:szCs w:val="24"/>
        </w:rPr>
        <w:t>Both victims</w:t>
      </w:r>
      <w:r w:rsidR="0088030F">
        <w:rPr>
          <w:rFonts w:cs="Arial"/>
          <w:color w:val="000000" w:themeColor="text1"/>
          <w:szCs w:val="24"/>
        </w:rPr>
        <w:t>,</w:t>
      </w:r>
      <w:r w:rsidR="009A4140">
        <w:rPr>
          <w:rFonts w:cs="Arial"/>
          <w:color w:val="000000" w:themeColor="text1"/>
          <w:szCs w:val="24"/>
        </w:rPr>
        <w:t xml:space="preserve"> but a massive difference</w:t>
      </w:r>
      <w:r w:rsidR="00A363C3">
        <w:rPr>
          <w:rFonts w:cs="Arial"/>
          <w:color w:val="000000" w:themeColor="text1"/>
          <w:szCs w:val="24"/>
        </w:rPr>
        <w:t xml:space="preserve"> between them</w:t>
      </w:r>
      <w:r w:rsidR="009A4140">
        <w:rPr>
          <w:rFonts w:cs="Arial"/>
          <w:color w:val="000000" w:themeColor="text1"/>
          <w:szCs w:val="24"/>
        </w:rPr>
        <w:t xml:space="preserve">, Leanne Murray </w:t>
      </w:r>
      <w:r w:rsidR="00A363C3">
        <w:rPr>
          <w:rFonts w:cs="Arial"/>
          <w:color w:val="000000" w:themeColor="text1"/>
          <w:szCs w:val="24"/>
        </w:rPr>
        <w:t xml:space="preserve">was </w:t>
      </w:r>
      <w:r w:rsidR="009A4140">
        <w:rPr>
          <w:rFonts w:cs="Arial"/>
          <w:color w:val="000000" w:themeColor="text1"/>
          <w:szCs w:val="24"/>
        </w:rPr>
        <w:t>an innocent victim who was injured, bereaved and traumatised through no fault or her own and Thomas Begl</w:t>
      </w:r>
      <w:r w:rsidR="00A363C3">
        <w:rPr>
          <w:rFonts w:cs="Arial"/>
          <w:color w:val="000000" w:themeColor="text1"/>
          <w:szCs w:val="24"/>
        </w:rPr>
        <w:t>e</w:t>
      </w:r>
      <w:r w:rsidR="009A4140">
        <w:rPr>
          <w:rFonts w:cs="Arial"/>
          <w:color w:val="000000" w:themeColor="text1"/>
          <w:szCs w:val="24"/>
        </w:rPr>
        <w:t>y</w:t>
      </w:r>
      <w:r w:rsidR="0088030F">
        <w:rPr>
          <w:rFonts w:cs="Arial"/>
          <w:color w:val="000000" w:themeColor="text1"/>
          <w:szCs w:val="24"/>
        </w:rPr>
        <w:t>,</w:t>
      </w:r>
      <w:r w:rsidR="009A4140">
        <w:rPr>
          <w:rFonts w:cs="Arial"/>
          <w:color w:val="000000" w:themeColor="text1"/>
          <w:szCs w:val="24"/>
        </w:rPr>
        <w:t xml:space="preserve"> the one that caused th</w:t>
      </w:r>
      <w:r w:rsidR="00A363C3">
        <w:rPr>
          <w:rFonts w:cs="Arial"/>
          <w:color w:val="000000" w:themeColor="text1"/>
          <w:szCs w:val="24"/>
        </w:rPr>
        <w:t>ose affects</w:t>
      </w:r>
      <w:r w:rsidR="009A4140">
        <w:rPr>
          <w:rFonts w:cs="Arial"/>
          <w:color w:val="000000" w:themeColor="text1"/>
          <w:szCs w:val="24"/>
        </w:rPr>
        <w:t xml:space="preserve">. He could not comprehend how some could say that there was no difference between ordinary and innocent victims. </w:t>
      </w:r>
    </w:p>
    <w:p w14:paraId="148148F7" w14:textId="77777777" w:rsidR="00E838DD" w:rsidRDefault="00E838DD" w:rsidP="0072384D">
      <w:pPr>
        <w:rPr>
          <w:rFonts w:cs="Arial"/>
          <w:color w:val="000000" w:themeColor="text1"/>
          <w:szCs w:val="24"/>
        </w:rPr>
      </w:pPr>
    </w:p>
    <w:p w14:paraId="20BA5351" w14:textId="0089F36B" w:rsidR="00E838DD" w:rsidRDefault="00E838DD" w:rsidP="0072384D">
      <w:pPr>
        <w:rPr>
          <w:rFonts w:cs="Arial"/>
          <w:color w:val="000000" w:themeColor="text1"/>
          <w:szCs w:val="24"/>
        </w:rPr>
      </w:pPr>
      <w:r>
        <w:rPr>
          <w:rFonts w:cs="Arial"/>
          <w:color w:val="000000" w:themeColor="text1"/>
          <w:szCs w:val="24"/>
        </w:rPr>
        <w:t>To sum up, Councillor Cochrane thanked those that had supported his motion.  The heart of the issue was regarding the removal of the word ‘innocent’ and the Alliance Party</w:t>
      </w:r>
      <w:r w:rsidR="006349A1">
        <w:rPr>
          <w:rFonts w:cs="Arial"/>
          <w:color w:val="000000" w:themeColor="text1"/>
          <w:szCs w:val="24"/>
        </w:rPr>
        <w:t>’s</w:t>
      </w:r>
      <w:r>
        <w:rPr>
          <w:rFonts w:cs="Arial"/>
          <w:color w:val="000000" w:themeColor="text1"/>
          <w:szCs w:val="24"/>
        </w:rPr>
        <w:t xml:space="preserve"> support </w:t>
      </w:r>
      <w:r w:rsidR="006349A1">
        <w:rPr>
          <w:rFonts w:cs="Arial"/>
          <w:color w:val="000000" w:themeColor="text1"/>
          <w:szCs w:val="24"/>
        </w:rPr>
        <w:t>for</w:t>
      </w:r>
      <w:r>
        <w:rPr>
          <w:rFonts w:cs="Arial"/>
          <w:color w:val="000000" w:themeColor="text1"/>
          <w:szCs w:val="24"/>
        </w:rPr>
        <w:t xml:space="preserve"> the S</w:t>
      </w:r>
      <w:r w:rsidR="009C7049">
        <w:rPr>
          <w:rFonts w:cs="Arial"/>
          <w:color w:val="000000" w:themeColor="text1"/>
          <w:szCs w:val="24"/>
        </w:rPr>
        <w:t>inn</w:t>
      </w:r>
      <w:r>
        <w:rPr>
          <w:rFonts w:cs="Arial"/>
          <w:color w:val="000000" w:themeColor="text1"/>
          <w:szCs w:val="24"/>
        </w:rPr>
        <w:t xml:space="preserve"> F</w:t>
      </w:r>
      <w:r w:rsidR="009C7049">
        <w:rPr>
          <w:rFonts w:cs="Arial"/>
          <w:color w:val="000000" w:themeColor="text1"/>
          <w:szCs w:val="24"/>
        </w:rPr>
        <w:t xml:space="preserve">ein amendment. There was a difference between victims and </w:t>
      </w:r>
      <w:proofErr w:type="gramStart"/>
      <w:r w:rsidR="009C7049">
        <w:rPr>
          <w:rFonts w:cs="Arial"/>
          <w:color w:val="000000" w:themeColor="text1"/>
          <w:szCs w:val="24"/>
        </w:rPr>
        <w:t>victims</w:t>
      </w:r>
      <w:proofErr w:type="gramEnd"/>
      <w:r w:rsidR="009C7049">
        <w:rPr>
          <w:rFonts w:cs="Arial"/>
          <w:color w:val="000000" w:themeColor="text1"/>
          <w:szCs w:val="24"/>
        </w:rPr>
        <w:t xml:space="preserve"> makers. There w</w:t>
      </w:r>
      <w:r w:rsidR="006349A1">
        <w:rPr>
          <w:rFonts w:cs="Arial"/>
          <w:color w:val="000000" w:themeColor="text1"/>
          <w:szCs w:val="24"/>
        </w:rPr>
        <w:t>ere</w:t>
      </w:r>
      <w:r w:rsidR="009C7049">
        <w:rPr>
          <w:rFonts w:cs="Arial"/>
          <w:color w:val="000000" w:themeColor="text1"/>
          <w:szCs w:val="24"/>
        </w:rPr>
        <w:t xml:space="preserve"> numerous examples of people that had suffered through the troubled past. </w:t>
      </w:r>
      <w:r w:rsidR="00C26956">
        <w:rPr>
          <w:rFonts w:cs="Arial"/>
          <w:color w:val="000000" w:themeColor="text1"/>
          <w:szCs w:val="24"/>
        </w:rPr>
        <w:t xml:space="preserve"> </w:t>
      </w:r>
      <w:r w:rsidR="009C7049">
        <w:rPr>
          <w:rFonts w:cs="Arial"/>
          <w:color w:val="000000" w:themeColor="text1"/>
          <w:szCs w:val="24"/>
        </w:rPr>
        <w:t xml:space="preserve">There would be equivocation from those that did wrong and those who suffered. Given the seriousness of the issue, Councillor Cochrane called for a recorded vote. </w:t>
      </w:r>
    </w:p>
    <w:p w14:paraId="07542C66" w14:textId="77777777" w:rsidR="00E838DD" w:rsidRDefault="00E838DD" w:rsidP="0072384D">
      <w:pPr>
        <w:rPr>
          <w:rFonts w:cs="Arial"/>
          <w:color w:val="000000" w:themeColor="text1"/>
          <w:szCs w:val="24"/>
        </w:rPr>
      </w:pPr>
    </w:p>
    <w:p w14:paraId="24CED9B3" w14:textId="7B6B5A30" w:rsidR="00E838DD" w:rsidRDefault="00E838DD" w:rsidP="0072384D">
      <w:pPr>
        <w:rPr>
          <w:rFonts w:cs="Arial"/>
          <w:color w:val="000000" w:themeColor="text1"/>
          <w:szCs w:val="24"/>
        </w:rPr>
      </w:pPr>
      <w:r>
        <w:rPr>
          <w:rFonts w:cs="Arial"/>
          <w:color w:val="000000" w:themeColor="text1"/>
          <w:szCs w:val="24"/>
        </w:rPr>
        <w:t xml:space="preserve">A recorded vote had been called for and resulted as </w:t>
      </w:r>
      <w:proofErr w:type="gramStart"/>
      <w:r>
        <w:rPr>
          <w:rFonts w:cs="Arial"/>
          <w:color w:val="000000" w:themeColor="text1"/>
          <w:szCs w:val="24"/>
        </w:rPr>
        <w:t>follows:-</w:t>
      </w:r>
      <w:proofErr w:type="gramEnd"/>
      <w:r>
        <w:rPr>
          <w:rFonts w:cs="Arial"/>
          <w:color w:val="000000" w:themeColor="text1"/>
          <w:szCs w:val="24"/>
        </w:rPr>
        <w:t xml:space="preserve"> </w:t>
      </w:r>
    </w:p>
    <w:p w14:paraId="3E5A8976" w14:textId="77777777" w:rsidR="00E838DD" w:rsidRDefault="00E838DD" w:rsidP="0072384D">
      <w:pPr>
        <w:rPr>
          <w:rFonts w:cs="Arial"/>
          <w:color w:val="000000" w:themeColor="text1"/>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E838DD" w14:paraId="589443B3" w14:textId="77777777" w:rsidTr="00A363C3">
        <w:tc>
          <w:tcPr>
            <w:tcW w:w="2254" w:type="dxa"/>
          </w:tcPr>
          <w:p w14:paraId="79925278" w14:textId="5E91EADB" w:rsidR="00E838DD" w:rsidRPr="00E838DD" w:rsidRDefault="00E838DD" w:rsidP="0072384D">
            <w:pPr>
              <w:rPr>
                <w:rFonts w:cs="Arial"/>
                <w:b/>
                <w:bCs/>
                <w:color w:val="000000" w:themeColor="text1"/>
                <w:szCs w:val="24"/>
              </w:rPr>
            </w:pPr>
            <w:r w:rsidRPr="00E838DD">
              <w:rPr>
                <w:rFonts w:cs="Arial"/>
                <w:b/>
                <w:bCs/>
                <w:color w:val="000000" w:themeColor="text1"/>
                <w:szCs w:val="24"/>
              </w:rPr>
              <w:t>FOR (10)</w:t>
            </w:r>
          </w:p>
        </w:tc>
        <w:tc>
          <w:tcPr>
            <w:tcW w:w="2254" w:type="dxa"/>
          </w:tcPr>
          <w:p w14:paraId="7D72BCBA" w14:textId="779D1B54" w:rsidR="00E838DD" w:rsidRPr="00E838DD" w:rsidRDefault="00E838DD" w:rsidP="0072384D">
            <w:pPr>
              <w:rPr>
                <w:rFonts w:cs="Arial"/>
                <w:b/>
                <w:bCs/>
                <w:color w:val="000000" w:themeColor="text1"/>
                <w:szCs w:val="24"/>
              </w:rPr>
            </w:pPr>
            <w:r w:rsidRPr="00E838DD">
              <w:rPr>
                <w:rFonts w:cs="Arial"/>
                <w:b/>
                <w:bCs/>
                <w:color w:val="000000" w:themeColor="text1"/>
                <w:szCs w:val="24"/>
              </w:rPr>
              <w:t>AGAINST (5)</w:t>
            </w:r>
          </w:p>
        </w:tc>
        <w:tc>
          <w:tcPr>
            <w:tcW w:w="2254" w:type="dxa"/>
          </w:tcPr>
          <w:p w14:paraId="35BF2495" w14:textId="3E052397" w:rsidR="00E838DD" w:rsidRPr="00E838DD" w:rsidRDefault="00E838DD" w:rsidP="0072384D">
            <w:pPr>
              <w:rPr>
                <w:rFonts w:cs="Arial"/>
                <w:b/>
                <w:bCs/>
                <w:color w:val="000000" w:themeColor="text1"/>
                <w:szCs w:val="24"/>
              </w:rPr>
            </w:pPr>
            <w:r w:rsidRPr="00E838DD">
              <w:rPr>
                <w:rFonts w:cs="Arial"/>
                <w:b/>
                <w:bCs/>
                <w:color w:val="000000" w:themeColor="text1"/>
                <w:szCs w:val="24"/>
              </w:rPr>
              <w:t>ABSTAINED (0)</w:t>
            </w:r>
          </w:p>
        </w:tc>
        <w:tc>
          <w:tcPr>
            <w:tcW w:w="2254" w:type="dxa"/>
          </w:tcPr>
          <w:p w14:paraId="00EB2919" w14:textId="6EDFC4A5" w:rsidR="00E838DD" w:rsidRPr="00E838DD" w:rsidRDefault="00E838DD" w:rsidP="0072384D">
            <w:pPr>
              <w:rPr>
                <w:rFonts w:cs="Arial"/>
                <w:b/>
                <w:bCs/>
                <w:color w:val="000000" w:themeColor="text1"/>
                <w:szCs w:val="24"/>
              </w:rPr>
            </w:pPr>
            <w:r w:rsidRPr="00E838DD">
              <w:rPr>
                <w:rFonts w:cs="Arial"/>
                <w:b/>
                <w:bCs/>
                <w:color w:val="000000" w:themeColor="text1"/>
                <w:szCs w:val="24"/>
              </w:rPr>
              <w:t xml:space="preserve">ABSENT (1) </w:t>
            </w:r>
          </w:p>
        </w:tc>
      </w:tr>
      <w:tr w:rsidR="00E838DD" w14:paraId="27F0B549" w14:textId="77777777" w:rsidTr="00A363C3">
        <w:tc>
          <w:tcPr>
            <w:tcW w:w="2254" w:type="dxa"/>
          </w:tcPr>
          <w:p w14:paraId="4AF61CE5" w14:textId="260D020F" w:rsidR="00E838DD" w:rsidRPr="00E838DD" w:rsidRDefault="00E838DD" w:rsidP="0072384D">
            <w:pPr>
              <w:rPr>
                <w:rFonts w:cs="Arial"/>
                <w:b/>
                <w:bCs/>
                <w:color w:val="000000" w:themeColor="text1"/>
                <w:szCs w:val="24"/>
              </w:rPr>
            </w:pPr>
            <w:r w:rsidRPr="00E838DD">
              <w:rPr>
                <w:rFonts w:cs="Arial"/>
                <w:b/>
                <w:bCs/>
                <w:color w:val="000000" w:themeColor="text1"/>
                <w:szCs w:val="24"/>
              </w:rPr>
              <w:t xml:space="preserve">Aldermen </w:t>
            </w:r>
          </w:p>
        </w:tc>
        <w:tc>
          <w:tcPr>
            <w:tcW w:w="2254" w:type="dxa"/>
          </w:tcPr>
          <w:p w14:paraId="5EBF4D97" w14:textId="05F353FE" w:rsidR="00E838DD" w:rsidRPr="00E838DD" w:rsidRDefault="00E838DD" w:rsidP="0072384D">
            <w:pPr>
              <w:rPr>
                <w:rFonts w:cs="Arial"/>
                <w:b/>
                <w:bCs/>
                <w:color w:val="000000" w:themeColor="text1"/>
                <w:szCs w:val="24"/>
              </w:rPr>
            </w:pPr>
            <w:r w:rsidRPr="00E838DD">
              <w:rPr>
                <w:rFonts w:cs="Arial"/>
                <w:b/>
                <w:bCs/>
                <w:color w:val="000000" w:themeColor="text1"/>
                <w:szCs w:val="24"/>
              </w:rPr>
              <w:t xml:space="preserve">Alderman </w:t>
            </w:r>
          </w:p>
        </w:tc>
        <w:tc>
          <w:tcPr>
            <w:tcW w:w="2254" w:type="dxa"/>
          </w:tcPr>
          <w:p w14:paraId="6C106FDF" w14:textId="77777777" w:rsidR="00E838DD" w:rsidRDefault="00E838DD" w:rsidP="0072384D">
            <w:pPr>
              <w:rPr>
                <w:rFonts w:cs="Arial"/>
                <w:color w:val="000000" w:themeColor="text1"/>
                <w:szCs w:val="24"/>
              </w:rPr>
            </w:pPr>
          </w:p>
        </w:tc>
        <w:tc>
          <w:tcPr>
            <w:tcW w:w="2254" w:type="dxa"/>
          </w:tcPr>
          <w:p w14:paraId="4DA0ABEE" w14:textId="77777777" w:rsidR="00E838DD" w:rsidRDefault="00E838DD" w:rsidP="0072384D">
            <w:pPr>
              <w:rPr>
                <w:rFonts w:cs="Arial"/>
                <w:color w:val="000000" w:themeColor="text1"/>
                <w:szCs w:val="24"/>
              </w:rPr>
            </w:pPr>
          </w:p>
        </w:tc>
      </w:tr>
      <w:tr w:rsidR="00E838DD" w14:paraId="6D570C21" w14:textId="77777777" w:rsidTr="00A363C3">
        <w:tc>
          <w:tcPr>
            <w:tcW w:w="2254" w:type="dxa"/>
          </w:tcPr>
          <w:p w14:paraId="2E8EB4C1" w14:textId="38081435" w:rsidR="00E838DD" w:rsidRDefault="00E838DD" w:rsidP="0072384D">
            <w:pPr>
              <w:rPr>
                <w:rFonts w:cs="Arial"/>
                <w:color w:val="000000" w:themeColor="text1"/>
                <w:szCs w:val="24"/>
              </w:rPr>
            </w:pPr>
            <w:r>
              <w:rPr>
                <w:rFonts w:cs="Arial"/>
                <w:color w:val="000000" w:themeColor="text1"/>
                <w:szCs w:val="24"/>
              </w:rPr>
              <w:t xml:space="preserve">Brooks </w:t>
            </w:r>
          </w:p>
        </w:tc>
        <w:tc>
          <w:tcPr>
            <w:tcW w:w="2254" w:type="dxa"/>
          </w:tcPr>
          <w:p w14:paraId="33B92396" w14:textId="78E9F6AE" w:rsidR="00E838DD" w:rsidRDefault="00E838DD" w:rsidP="0072384D">
            <w:pPr>
              <w:rPr>
                <w:rFonts w:cs="Arial"/>
                <w:color w:val="000000" w:themeColor="text1"/>
                <w:szCs w:val="24"/>
              </w:rPr>
            </w:pPr>
            <w:r>
              <w:rPr>
                <w:rFonts w:cs="Arial"/>
                <w:color w:val="000000" w:themeColor="text1"/>
                <w:szCs w:val="24"/>
              </w:rPr>
              <w:t xml:space="preserve">McRandal </w:t>
            </w:r>
          </w:p>
        </w:tc>
        <w:tc>
          <w:tcPr>
            <w:tcW w:w="2254" w:type="dxa"/>
          </w:tcPr>
          <w:p w14:paraId="6096F24E" w14:textId="77777777" w:rsidR="00E838DD" w:rsidRDefault="00E838DD" w:rsidP="0072384D">
            <w:pPr>
              <w:rPr>
                <w:rFonts w:cs="Arial"/>
                <w:color w:val="000000" w:themeColor="text1"/>
                <w:szCs w:val="24"/>
              </w:rPr>
            </w:pPr>
          </w:p>
        </w:tc>
        <w:tc>
          <w:tcPr>
            <w:tcW w:w="2254" w:type="dxa"/>
          </w:tcPr>
          <w:p w14:paraId="19DA78C0" w14:textId="77777777" w:rsidR="00E838DD" w:rsidRDefault="00E838DD" w:rsidP="0072384D">
            <w:pPr>
              <w:rPr>
                <w:rFonts w:cs="Arial"/>
                <w:color w:val="000000" w:themeColor="text1"/>
                <w:szCs w:val="24"/>
              </w:rPr>
            </w:pPr>
          </w:p>
        </w:tc>
      </w:tr>
      <w:tr w:rsidR="00E838DD" w14:paraId="7A4468D5" w14:textId="77777777" w:rsidTr="00A363C3">
        <w:tc>
          <w:tcPr>
            <w:tcW w:w="2254" w:type="dxa"/>
          </w:tcPr>
          <w:p w14:paraId="5867739B" w14:textId="38FBD70A" w:rsidR="00E838DD" w:rsidRDefault="00E838DD" w:rsidP="0072384D">
            <w:pPr>
              <w:rPr>
                <w:rFonts w:cs="Arial"/>
                <w:color w:val="000000" w:themeColor="text1"/>
                <w:szCs w:val="24"/>
              </w:rPr>
            </w:pPr>
            <w:r>
              <w:rPr>
                <w:rFonts w:cs="Arial"/>
                <w:color w:val="000000" w:themeColor="text1"/>
                <w:szCs w:val="24"/>
              </w:rPr>
              <w:t xml:space="preserve">Graham </w:t>
            </w:r>
          </w:p>
        </w:tc>
        <w:tc>
          <w:tcPr>
            <w:tcW w:w="2254" w:type="dxa"/>
          </w:tcPr>
          <w:p w14:paraId="13CAE318" w14:textId="77777777" w:rsidR="00E838DD" w:rsidRDefault="00E838DD" w:rsidP="0072384D">
            <w:pPr>
              <w:rPr>
                <w:rFonts w:cs="Arial"/>
                <w:color w:val="000000" w:themeColor="text1"/>
                <w:szCs w:val="24"/>
              </w:rPr>
            </w:pPr>
          </w:p>
        </w:tc>
        <w:tc>
          <w:tcPr>
            <w:tcW w:w="2254" w:type="dxa"/>
          </w:tcPr>
          <w:p w14:paraId="6976C4C4" w14:textId="77777777" w:rsidR="00E838DD" w:rsidRDefault="00E838DD" w:rsidP="0072384D">
            <w:pPr>
              <w:rPr>
                <w:rFonts w:cs="Arial"/>
                <w:color w:val="000000" w:themeColor="text1"/>
                <w:szCs w:val="24"/>
              </w:rPr>
            </w:pPr>
          </w:p>
        </w:tc>
        <w:tc>
          <w:tcPr>
            <w:tcW w:w="2254" w:type="dxa"/>
          </w:tcPr>
          <w:p w14:paraId="0C678420" w14:textId="77777777" w:rsidR="00E838DD" w:rsidRDefault="00E838DD" w:rsidP="0072384D">
            <w:pPr>
              <w:rPr>
                <w:rFonts w:cs="Arial"/>
                <w:color w:val="000000" w:themeColor="text1"/>
                <w:szCs w:val="24"/>
              </w:rPr>
            </w:pPr>
          </w:p>
        </w:tc>
      </w:tr>
      <w:tr w:rsidR="00E838DD" w14:paraId="6D801E18" w14:textId="77777777" w:rsidTr="00A363C3">
        <w:tc>
          <w:tcPr>
            <w:tcW w:w="2254" w:type="dxa"/>
          </w:tcPr>
          <w:p w14:paraId="2D76AFD6" w14:textId="3017AB41" w:rsidR="00E838DD" w:rsidRDefault="00E838DD" w:rsidP="0072384D">
            <w:pPr>
              <w:rPr>
                <w:rFonts w:cs="Arial"/>
                <w:color w:val="000000" w:themeColor="text1"/>
                <w:szCs w:val="24"/>
              </w:rPr>
            </w:pPr>
            <w:r>
              <w:rPr>
                <w:rFonts w:cs="Arial"/>
                <w:color w:val="000000" w:themeColor="text1"/>
                <w:szCs w:val="24"/>
              </w:rPr>
              <w:t xml:space="preserve">McIlveen </w:t>
            </w:r>
          </w:p>
        </w:tc>
        <w:tc>
          <w:tcPr>
            <w:tcW w:w="2254" w:type="dxa"/>
          </w:tcPr>
          <w:p w14:paraId="3D447358" w14:textId="77777777" w:rsidR="00E838DD" w:rsidRDefault="00E838DD" w:rsidP="0072384D">
            <w:pPr>
              <w:rPr>
                <w:rFonts w:cs="Arial"/>
                <w:color w:val="000000" w:themeColor="text1"/>
                <w:szCs w:val="24"/>
              </w:rPr>
            </w:pPr>
          </w:p>
        </w:tc>
        <w:tc>
          <w:tcPr>
            <w:tcW w:w="2254" w:type="dxa"/>
          </w:tcPr>
          <w:p w14:paraId="0609BF34" w14:textId="77777777" w:rsidR="00E838DD" w:rsidRDefault="00E838DD" w:rsidP="0072384D">
            <w:pPr>
              <w:rPr>
                <w:rFonts w:cs="Arial"/>
                <w:color w:val="000000" w:themeColor="text1"/>
                <w:szCs w:val="24"/>
              </w:rPr>
            </w:pPr>
          </w:p>
        </w:tc>
        <w:tc>
          <w:tcPr>
            <w:tcW w:w="2254" w:type="dxa"/>
          </w:tcPr>
          <w:p w14:paraId="3EF8E543" w14:textId="77777777" w:rsidR="00E838DD" w:rsidRDefault="00E838DD" w:rsidP="0072384D">
            <w:pPr>
              <w:rPr>
                <w:rFonts w:cs="Arial"/>
                <w:color w:val="000000" w:themeColor="text1"/>
                <w:szCs w:val="24"/>
              </w:rPr>
            </w:pPr>
          </w:p>
        </w:tc>
      </w:tr>
      <w:tr w:rsidR="00E838DD" w14:paraId="0A96C2AA" w14:textId="77777777" w:rsidTr="00A363C3">
        <w:tc>
          <w:tcPr>
            <w:tcW w:w="2254" w:type="dxa"/>
          </w:tcPr>
          <w:p w14:paraId="670F67FE" w14:textId="2489CEF0" w:rsidR="00E838DD" w:rsidRDefault="00E838DD" w:rsidP="0072384D">
            <w:pPr>
              <w:rPr>
                <w:rFonts w:cs="Arial"/>
                <w:color w:val="000000" w:themeColor="text1"/>
                <w:szCs w:val="24"/>
              </w:rPr>
            </w:pPr>
            <w:r>
              <w:rPr>
                <w:rFonts w:cs="Arial"/>
                <w:color w:val="000000" w:themeColor="text1"/>
                <w:szCs w:val="24"/>
              </w:rPr>
              <w:t xml:space="preserve">Smith </w:t>
            </w:r>
          </w:p>
        </w:tc>
        <w:tc>
          <w:tcPr>
            <w:tcW w:w="2254" w:type="dxa"/>
          </w:tcPr>
          <w:p w14:paraId="55155D0E" w14:textId="77777777" w:rsidR="00E838DD" w:rsidRDefault="00E838DD" w:rsidP="0072384D">
            <w:pPr>
              <w:rPr>
                <w:rFonts w:cs="Arial"/>
                <w:color w:val="000000" w:themeColor="text1"/>
                <w:szCs w:val="24"/>
              </w:rPr>
            </w:pPr>
          </w:p>
        </w:tc>
        <w:tc>
          <w:tcPr>
            <w:tcW w:w="2254" w:type="dxa"/>
          </w:tcPr>
          <w:p w14:paraId="2F9FBD80" w14:textId="77777777" w:rsidR="00E838DD" w:rsidRDefault="00E838DD" w:rsidP="0072384D">
            <w:pPr>
              <w:rPr>
                <w:rFonts w:cs="Arial"/>
                <w:color w:val="000000" w:themeColor="text1"/>
                <w:szCs w:val="24"/>
              </w:rPr>
            </w:pPr>
          </w:p>
        </w:tc>
        <w:tc>
          <w:tcPr>
            <w:tcW w:w="2254" w:type="dxa"/>
          </w:tcPr>
          <w:p w14:paraId="1E35A20E" w14:textId="6CB6DA52" w:rsidR="00E838DD" w:rsidRDefault="00E838DD" w:rsidP="0072384D">
            <w:pPr>
              <w:rPr>
                <w:rFonts w:cs="Arial"/>
                <w:color w:val="000000" w:themeColor="text1"/>
                <w:szCs w:val="24"/>
              </w:rPr>
            </w:pPr>
          </w:p>
        </w:tc>
      </w:tr>
      <w:tr w:rsidR="00E838DD" w14:paraId="68838EE2" w14:textId="77777777" w:rsidTr="00A363C3">
        <w:tc>
          <w:tcPr>
            <w:tcW w:w="2254" w:type="dxa"/>
          </w:tcPr>
          <w:p w14:paraId="56DC4ABF" w14:textId="327BC1D3" w:rsidR="00E838DD" w:rsidRPr="00E838DD" w:rsidRDefault="00E838DD" w:rsidP="00E838DD">
            <w:pPr>
              <w:rPr>
                <w:rFonts w:cs="Arial"/>
                <w:b/>
                <w:bCs/>
                <w:color w:val="000000" w:themeColor="text1"/>
                <w:szCs w:val="24"/>
              </w:rPr>
            </w:pPr>
            <w:r w:rsidRPr="00E838DD">
              <w:rPr>
                <w:rFonts w:cs="Arial"/>
                <w:b/>
                <w:bCs/>
                <w:color w:val="000000" w:themeColor="text1"/>
                <w:szCs w:val="24"/>
              </w:rPr>
              <w:t xml:space="preserve">Councillors </w:t>
            </w:r>
          </w:p>
        </w:tc>
        <w:tc>
          <w:tcPr>
            <w:tcW w:w="2254" w:type="dxa"/>
          </w:tcPr>
          <w:p w14:paraId="5C2C5F58" w14:textId="2C56578A" w:rsidR="00E838DD" w:rsidRPr="00E838DD" w:rsidRDefault="00E838DD" w:rsidP="00E838DD">
            <w:pPr>
              <w:rPr>
                <w:rFonts w:cs="Arial"/>
                <w:b/>
                <w:bCs/>
                <w:color w:val="000000" w:themeColor="text1"/>
                <w:szCs w:val="24"/>
              </w:rPr>
            </w:pPr>
            <w:r w:rsidRPr="00E838DD">
              <w:rPr>
                <w:rFonts w:cs="Arial"/>
                <w:b/>
                <w:bCs/>
                <w:color w:val="000000" w:themeColor="text1"/>
                <w:szCs w:val="24"/>
              </w:rPr>
              <w:t xml:space="preserve">Councillors </w:t>
            </w:r>
          </w:p>
        </w:tc>
        <w:tc>
          <w:tcPr>
            <w:tcW w:w="2254" w:type="dxa"/>
          </w:tcPr>
          <w:p w14:paraId="2D52AAA1" w14:textId="77777777" w:rsidR="00E838DD" w:rsidRPr="00E838DD" w:rsidRDefault="00E838DD" w:rsidP="00E838DD">
            <w:pPr>
              <w:rPr>
                <w:rFonts w:cs="Arial"/>
                <w:b/>
                <w:bCs/>
                <w:color w:val="000000" w:themeColor="text1"/>
                <w:szCs w:val="24"/>
              </w:rPr>
            </w:pPr>
          </w:p>
        </w:tc>
        <w:tc>
          <w:tcPr>
            <w:tcW w:w="2254" w:type="dxa"/>
          </w:tcPr>
          <w:p w14:paraId="5768BF66" w14:textId="22C6B472" w:rsidR="00E838DD" w:rsidRPr="00E838DD" w:rsidRDefault="00E838DD" w:rsidP="00E838DD">
            <w:pPr>
              <w:rPr>
                <w:rFonts w:cs="Arial"/>
                <w:b/>
                <w:bCs/>
                <w:color w:val="000000" w:themeColor="text1"/>
                <w:szCs w:val="24"/>
              </w:rPr>
            </w:pPr>
            <w:r w:rsidRPr="00E838DD">
              <w:rPr>
                <w:rFonts w:cs="Arial"/>
                <w:b/>
                <w:bCs/>
                <w:color w:val="000000" w:themeColor="text1"/>
                <w:szCs w:val="24"/>
              </w:rPr>
              <w:t xml:space="preserve">Councillor </w:t>
            </w:r>
          </w:p>
        </w:tc>
      </w:tr>
      <w:tr w:rsidR="00E838DD" w14:paraId="4675868B" w14:textId="77777777" w:rsidTr="00A363C3">
        <w:tc>
          <w:tcPr>
            <w:tcW w:w="2254" w:type="dxa"/>
          </w:tcPr>
          <w:p w14:paraId="4C0872C8" w14:textId="7CB883CF" w:rsidR="00E838DD" w:rsidRDefault="00E838DD" w:rsidP="00E838DD">
            <w:pPr>
              <w:rPr>
                <w:rFonts w:cs="Arial"/>
                <w:color w:val="000000" w:themeColor="text1"/>
                <w:szCs w:val="24"/>
              </w:rPr>
            </w:pPr>
            <w:r>
              <w:rPr>
                <w:rFonts w:cs="Arial"/>
                <w:color w:val="000000" w:themeColor="text1"/>
                <w:szCs w:val="24"/>
              </w:rPr>
              <w:t xml:space="preserve">Chambers </w:t>
            </w:r>
          </w:p>
        </w:tc>
        <w:tc>
          <w:tcPr>
            <w:tcW w:w="2254" w:type="dxa"/>
          </w:tcPr>
          <w:p w14:paraId="7B283E24" w14:textId="6300EC57" w:rsidR="00E838DD" w:rsidRDefault="00E838DD" w:rsidP="00E838DD">
            <w:pPr>
              <w:rPr>
                <w:rFonts w:cs="Arial"/>
                <w:color w:val="000000" w:themeColor="text1"/>
                <w:szCs w:val="24"/>
              </w:rPr>
            </w:pPr>
            <w:r>
              <w:rPr>
                <w:rFonts w:cs="Arial"/>
                <w:color w:val="000000" w:themeColor="text1"/>
                <w:szCs w:val="24"/>
              </w:rPr>
              <w:t xml:space="preserve">Irwin </w:t>
            </w:r>
          </w:p>
        </w:tc>
        <w:tc>
          <w:tcPr>
            <w:tcW w:w="2254" w:type="dxa"/>
          </w:tcPr>
          <w:p w14:paraId="51E4E2F6" w14:textId="77777777" w:rsidR="00E838DD" w:rsidRDefault="00E838DD" w:rsidP="00E838DD">
            <w:pPr>
              <w:rPr>
                <w:rFonts w:cs="Arial"/>
                <w:color w:val="000000" w:themeColor="text1"/>
                <w:szCs w:val="24"/>
              </w:rPr>
            </w:pPr>
          </w:p>
        </w:tc>
        <w:tc>
          <w:tcPr>
            <w:tcW w:w="2254" w:type="dxa"/>
          </w:tcPr>
          <w:p w14:paraId="54E3E92F" w14:textId="3C053BE0" w:rsidR="00E838DD" w:rsidRDefault="00E838DD" w:rsidP="00E838DD">
            <w:pPr>
              <w:rPr>
                <w:rFonts w:cs="Arial"/>
                <w:color w:val="000000" w:themeColor="text1"/>
                <w:szCs w:val="24"/>
              </w:rPr>
            </w:pPr>
            <w:r>
              <w:rPr>
                <w:rFonts w:cs="Arial"/>
                <w:color w:val="000000" w:themeColor="text1"/>
                <w:szCs w:val="24"/>
              </w:rPr>
              <w:t xml:space="preserve">Kennedy </w:t>
            </w:r>
          </w:p>
        </w:tc>
      </w:tr>
      <w:tr w:rsidR="00E838DD" w14:paraId="3749B1DF" w14:textId="77777777" w:rsidTr="00A363C3">
        <w:tc>
          <w:tcPr>
            <w:tcW w:w="2254" w:type="dxa"/>
          </w:tcPr>
          <w:p w14:paraId="5B3A1899" w14:textId="38BC9034" w:rsidR="00E838DD" w:rsidRDefault="00E838DD" w:rsidP="00E838DD">
            <w:pPr>
              <w:rPr>
                <w:rFonts w:cs="Arial"/>
                <w:color w:val="000000" w:themeColor="text1"/>
                <w:szCs w:val="24"/>
              </w:rPr>
            </w:pPr>
            <w:r>
              <w:rPr>
                <w:rFonts w:cs="Arial"/>
                <w:color w:val="000000" w:themeColor="text1"/>
                <w:szCs w:val="24"/>
              </w:rPr>
              <w:t xml:space="preserve">Cochrane </w:t>
            </w:r>
          </w:p>
        </w:tc>
        <w:tc>
          <w:tcPr>
            <w:tcW w:w="2254" w:type="dxa"/>
          </w:tcPr>
          <w:p w14:paraId="5ECE8EA1" w14:textId="5702F29E" w:rsidR="00E838DD" w:rsidRDefault="00E838DD" w:rsidP="00E838DD">
            <w:pPr>
              <w:rPr>
                <w:rFonts w:cs="Arial"/>
                <w:color w:val="000000" w:themeColor="text1"/>
                <w:szCs w:val="24"/>
              </w:rPr>
            </w:pPr>
            <w:r>
              <w:rPr>
                <w:rFonts w:cs="Arial"/>
                <w:color w:val="000000" w:themeColor="text1"/>
                <w:szCs w:val="24"/>
              </w:rPr>
              <w:t xml:space="preserve">McBurney </w:t>
            </w:r>
          </w:p>
        </w:tc>
        <w:tc>
          <w:tcPr>
            <w:tcW w:w="2254" w:type="dxa"/>
          </w:tcPr>
          <w:p w14:paraId="3542A9A7" w14:textId="77777777" w:rsidR="00E838DD" w:rsidRDefault="00E838DD" w:rsidP="00E838DD">
            <w:pPr>
              <w:rPr>
                <w:rFonts w:cs="Arial"/>
                <w:color w:val="000000" w:themeColor="text1"/>
                <w:szCs w:val="24"/>
              </w:rPr>
            </w:pPr>
          </w:p>
        </w:tc>
        <w:tc>
          <w:tcPr>
            <w:tcW w:w="2254" w:type="dxa"/>
          </w:tcPr>
          <w:p w14:paraId="59734C79" w14:textId="77777777" w:rsidR="00E838DD" w:rsidRDefault="00E838DD" w:rsidP="00E838DD">
            <w:pPr>
              <w:rPr>
                <w:rFonts w:cs="Arial"/>
                <w:color w:val="000000" w:themeColor="text1"/>
                <w:szCs w:val="24"/>
              </w:rPr>
            </w:pPr>
          </w:p>
        </w:tc>
      </w:tr>
      <w:tr w:rsidR="00E838DD" w14:paraId="5880C820" w14:textId="77777777" w:rsidTr="00A363C3">
        <w:tc>
          <w:tcPr>
            <w:tcW w:w="2254" w:type="dxa"/>
          </w:tcPr>
          <w:p w14:paraId="79A65973" w14:textId="7C039348" w:rsidR="00E838DD" w:rsidRDefault="00E838DD" w:rsidP="00E838DD">
            <w:pPr>
              <w:rPr>
                <w:rFonts w:cs="Arial"/>
                <w:color w:val="000000" w:themeColor="text1"/>
                <w:szCs w:val="24"/>
              </w:rPr>
            </w:pPr>
            <w:r>
              <w:rPr>
                <w:rFonts w:cs="Arial"/>
                <w:color w:val="000000" w:themeColor="text1"/>
                <w:szCs w:val="24"/>
              </w:rPr>
              <w:t xml:space="preserve">Gilmour </w:t>
            </w:r>
          </w:p>
        </w:tc>
        <w:tc>
          <w:tcPr>
            <w:tcW w:w="2254" w:type="dxa"/>
          </w:tcPr>
          <w:p w14:paraId="7DC28D3B" w14:textId="2347DB8D" w:rsidR="00E838DD" w:rsidRDefault="00E838DD" w:rsidP="00E838DD">
            <w:pPr>
              <w:rPr>
                <w:rFonts w:cs="Arial"/>
                <w:color w:val="000000" w:themeColor="text1"/>
                <w:szCs w:val="24"/>
              </w:rPr>
            </w:pPr>
            <w:r>
              <w:rPr>
                <w:rFonts w:cs="Arial"/>
                <w:color w:val="000000" w:themeColor="text1"/>
                <w:szCs w:val="24"/>
              </w:rPr>
              <w:t xml:space="preserve">McCracken </w:t>
            </w:r>
          </w:p>
        </w:tc>
        <w:tc>
          <w:tcPr>
            <w:tcW w:w="2254" w:type="dxa"/>
          </w:tcPr>
          <w:p w14:paraId="2BB10566" w14:textId="77777777" w:rsidR="00E838DD" w:rsidRDefault="00E838DD" w:rsidP="00E838DD">
            <w:pPr>
              <w:rPr>
                <w:rFonts w:cs="Arial"/>
                <w:color w:val="000000" w:themeColor="text1"/>
                <w:szCs w:val="24"/>
              </w:rPr>
            </w:pPr>
          </w:p>
        </w:tc>
        <w:tc>
          <w:tcPr>
            <w:tcW w:w="2254" w:type="dxa"/>
          </w:tcPr>
          <w:p w14:paraId="4128E25C" w14:textId="77777777" w:rsidR="00E838DD" w:rsidRDefault="00E838DD" w:rsidP="00E838DD">
            <w:pPr>
              <w:rPr>
                <w:rFonts w:cs="Arial"/>
                <w:color w:val="000000" w:themeColor="text1"/>
                <w:szCs w:val="24"/>
              </w:rPr>
            </w:pPr>
          </w:p>
        </w:tc>
      </w:tr>
      <w:tr w:rsidR="00E838DD" w14:paraId="687D03A8" w14:textId="77777777" w:rsidTr="00A363C3">
        <w:tc>
          <w:tcPr>
            <w:tcW w:w="2254" w:type="dxa"/>
          </w:tcPr>
          <w:p w14:paraId="563233B7" w14:textId="1BC46242" w:rsidR="00E838DD" w:rsidRDefault="00E838DD" w:rsidP="00E838DD">
            <w:pPr>
              <w:rPr>
                <w:rFonts w:cs="Arial"/>
                <w:color w:val="000000" w:themeColor="text1"/>
                <w:szCs w:val="24"/>
              </w:rPr>
            </w:pPr>
            <w:r>
              <w:rPr>
                <w:rFonts w:cs="Arial"/>
                <w:color w:val="000000" w:themeColor="text1"/>
                <w:szCs w:val="24"/>
              </w:rPr>
              <w:t>Irvine, S</w:t>
            </w:r>
          </w:p>
        </w:tc>
        <w:tc>
          <w:tcPr>
            <w:tcW w:w="2254" w:type="dxa"/>
          </w:tcPr>
          <w:p w14:paraId="5EF6C96C" w14:textId="5FE9BCFE" w:rsidR="00E838DD" w:rsidRDefault="00E838DD" w:rsidP="00E838DD">
            <w:pPr>
              <w:rPr>
                <w:rFonts w:cs="Arial"/>
                <w:color w:val="000000" w:themeColor="text1"/>
                <w:szCs w:val="24"/>
              </w:rPr>
            </w:pPr>
            <w:r>
              <w:rPr>
                <w:rFonts w:cs="Arial"/>
                <w:color w:val="000000" w:themeColor="text1"/>
                <w:szCs w:val="24"/>
              </w:rPr>
              <w:t xml:space="preserve">Moore </w:t>
            </w:r>
          </w:p>
        </w:tc>
        <w:tc>
          <w:tcPr>
            <w:tcW w:w="2254" w:type="dxa"/>
          </w:tcPr>
          <w:p w14:paraId="3C9A1B30" w14:textId="77777777" w:rsidR="00E838DD" w:rsidRDefault="00E838DD" w:rsidP="00E838DD">
            <w:pPr>
              <w:rPr>
                <w:rFonts w:cs="Arial"/>
                <w:color w:val="000000" w:themeColor="text1"/>
                <w:szCs w:val="24"/>
              </w:rPr>
            </w:pPr>
          </w:p>
        </w:tc>
        <w:tc>
          <w:tcPr>
            <w:tcW w:w="2254" w:type="dxa"/>
          </w:tcPr>
          <w:p w14:paraId="7F11C9F0" w14:textId="77777777" w:rsidR="00E838DD" w:rsidRDefault="00E838DD" w:rsidP="00E838DD">
            <w:pPr>
              <w:rPr>
                <w:rFonts w:cs="Arial"/>
                <w:color w:val="000000" w:themeColor="text1"/>
                <w:szCs w:val="24"/>
              </w:rPr>
            </w:pPr>
          </w:p>
        </w:tc>
      </w:tr>
      <w:tr w:rsidR="00E838DD" w14:paraId="54FA9570" w14:textId="77777777" w:rsidTr="00A363C3">
        <w:tc>
          <w:tcPr>
            <w:tcW w:w="2254" w:type="dxa"/>
          </w:tcPr>
          <w:p w14:paraId="75720225" w14:textId="73883182" w:rsidR="00E838DD" w:rsidRDefault="00E838DD" w:rsidP="00E838DD">
            <w:pPr>
              <w:rPr>
                <w:rFonts w:cs="Arial"/>
                <w:color w:val="000000" w:themeColor="text1"/>
                <w:szCs w:val="24"/>
              </w:rPr>
            </w:pPr>
            <w:r>
              <w:rPr>
                <w:rFonts w:cs="Arial"/>
                <w:color w:val="000000" w:themeColor="text1"/>
                <w:szCs w:val="24"/>
              </w:rPr>
              <w:t>Irvine, W</w:t>
            </w:r>
          </w:p>
        </w:tc>
        <w:tc>
          <w:tcPr>
            <w:tcW w:w="2254" w:type="dxa"/>
          </w:tcPr>
          <w:p w14:paraId="31C93E27" w14:textId="77777777" w:rsidR="00E838DD" w:rsidRDefault="00E838DD" w:rsidP="00E838DD">
            <w:pPr>
              <w:rPr>
                <w:rFonts w:cs="Arial"/>
                <w:color w:val="000000" w:themeColor="text1"/>
                <w:szCs w:val="24"/>
              </w:rPr>
            </w:pPr>
          </w:p>
        </w:tc>
        <w:tc>
          <w:tcPr>
            <w:tcW w:w="2254" w:type="dxa"/>
          </w:tcPr>
          <w:p w14:paraId="106229A0" w14:textId="77777777" w:rsidR="00E838DD" w:rsidRDefault="00E838DD" w:rsidP="00E838DD">
            <w:pPr>
              <w:rPr>
                <w:rFonts w:cs="Arial"/>
                <w:color w:val="000000" w:themeColor="text1"/>
                <w:szCs w:val="24"/>
              </w:rPr>
            </w:pPr>
          </w:p>
        </w:tc>
        <w:tc>
          <w:tcPr>
            <w:tcW w:w="2254" w:type="dxa"/>
          </w:tcPr>
          <w:p w14:paraId="20E38F3B" w14:textId="77777777" w:rsidR="00E838DD" w:rsidRDefault="00E838DD" w:rsidP="00E838DD">
            <w:pPr>
              <w:rPr>
                <w:rFonts w:cs="Arial"/>
                <w:color w:val="000000" w:themeColor="text1"/>
                <w:szCs w:val="24"/>
              </w:rPr>
            </w:pPr>
          </w:p>
        </w:tc>
      </w:tr>
      <w:tr w:rsidR="00E838DD" w14:paraId="505F8469" w14:textId="77777777" w:rsidTr="00A363C3">
        <w:tc>
          <w:tcPr>
            <w:tcW w:w="2254" w:type="dxa"/>
          </w:tcPr>
          <w:p w14:paraId="6CA6FD7B" w14:textId="30774A6E" w:rsidR="00E838DD" w:rsidRDefault="00E838DD" w:rsidP="00E838DD">
            <w:pPr>
              <w:rPr>
                <w:rFonts w:cs="Arial"/>
                <w:color w:val="000000" w:themeColor="text1"/>
                <w:szCs w:val="24"/>
              </w:rPr>
            </w:pPr>
            <w:r>
              <w:rPr>
                <w:rFonts w:cs="Arial"/>
                <w:color w:val="000000" w:themeColor="text1"/>
                <w:szCs w:val="24"/>
              </w:rPr>
              <w:t xml:space="preserve">Thompson </w:t>
            </w:r>
          </w:p>
        </w:tc>
        <w:tc>
          <w:tcPr>
            <w:tcW w:w="2254" w:type="dxa"/>
          </w:tcPr>
          <w:p w14:paraId="5D5745E7" w14:textId="77777777" w:rsidR="00E838DD" w:rsidRDefault="00E838DD" w:rsidP="00E838DD">
            <w:pPr>
              <w:rPr>
                <w:rFonts w:cs="Arial"/>
                <w:color w:val="000000" w:themeColor="text1"/>
                <w:szCs w:val="24"/>
              </w:rPr>
            </w:pPr>
          </w:p>
        </w:tc>
        <w:tc>
          <w:tcPr>
            <w:tcW w:w="2254" w:type="dxa"/>
          </w:tcPr>
          <w:p w14:paraId="7821903F" w14:textId="77777777" w:rsidR="00E838DD" w:rsidRDefault="00E838DD" w:rsidP="00E838DD">
            <w:pPr>
              <w:rPr>
                <w:rFonts w:cs="Arial"/>
                <w:color w:val="000000" w:themeColor="text1"/>
                <w:szCs w:val="24"/>
              </w:rPr>
            </w:pPr>
          </w:p>
        </w:tc>
        <w:tc>
          <w:tcPr>
            <w:tcW w:w="2254" w:type="dxa"/>
          </w:tcPr>
          <w:p w14:paraId="3AA7BF37" w14:textId="77777777" w:rsidR="00E838DD" w:rsidRDefault="00E838DD" w:rsidP="00E838DD">
            <w:pPr>
              <w:rPr>
                <w:rFonts w:cs="Arial"/>
                <w:color w:val="000000" w:themeColor="text1"/>
                <w:szCs w:val="24"/>
              </w:rPr>
            </w:pPr>
          </w:p>
        </w:tc>
      </w:tr>
    </w:tbl>
    <w:p w14:paraId="73F3A7F3" w14:textId="77777777" w:rsidR="00AE1201" w:rsidRDefault="00AE1201" w:rsidP="0072384D">
      <w:pPr>
        <w:rPr>
          <w:rFonts w:cs="Arial"/>
          <w:color w:val="000000" w:themeColor="text1"/>
          <w:szCs w:val="24"/>
        </w:rPr>
      </w:pPr>
    </w:p>
    <w:p w14:paraId="19A4ABAA" w14:textId="3F05C3BE" w:rsidR="006A4C0A" w:rsidRPr="006A4C0A" w:rsidRDefault="006A4C0A" w:rsidP="0072384D">
      <w:pPr>
        <w:rPr>
          <w:rFonts w:cs="Arial"/>
          <w:b/>
          <w:bCs/>
          <w:color w:val="000000" w:themeColor="text1"/>
          <w:szCs w:val="24"/>
        </w:rPr>
      </w:pPr>
      <w:r w:rsidRPr="006A4C0A">
        <w:rPr>
          <w:rFonts w:cs="Arial"/>
          <w:b/>
          <w:bCs/>
          <w:color w:val="000000" w:themeColor="text1"/>
          <w:szCs w:val="24"/>
        </w:rPr>
        <w:t xml:space="preserve">AGREED TO RECOMMEND, on the proposal of Councillor Cochrane, seconded by Councillor Gilmour, that the Notice of Motion be adopted. </w:t>
      </w:r>
    </w:p>
    <w:p w14:paraId="6FC621F4" w14:textId="77777777" w:rsidR="006A4C0A" w:rsidRDefault="006A4C0A" w:rsidP="0072384D">
      <w:pPr>
        <w:rPr>
          <w:rFonts w:cs="Arial"/>
          <w:color w:val="000000" w:themeColor="text1"/>
          <w:szCs w:val="24"/>
        </w:rPr>
      </w:pPr>
    </w:p>
    <w:p w14:paraId="624AB416" w14:textId="0CE349C7" w:rsidR="006A4C0A" w:rsidRDefault="006A4C0A" w:rsidP="0072384D">
      <w:pPr>
        <w:rPr>
          <w:rFonts w:cs="Arial"/>
          <w:color w:val="000000" w:themeColor="text1"/>
          <w:szCs w:val="24"/>
        </w:rPr>
      </w:pPr>
      <w:r>
        <w:rPr>
          <w:rFonts w:cs="Arial"/>
          <w:color w:val="000000" w:themeColor="text1"/>
          <w:szCs w:val="24"/>
        </w:rPr>
        <w:t>The Chair resumed his position.</w:t>
      </w:r>
    </w:p>
    <w:p w14:paraId="53EB3FB1" w14:textId="77777777" w:rsidR="006A4C0A" w:rsidRDefault="006A4C0A" w:rsidP="0072384D">
      <w:pPr>
        <w:rPr>
          <w:rFonts w:cs="Arial"/>
          <w:color w:val="000000" w:themeColor="text1"/>
          <w:szCs w:val="24"/>
        </w:rPr>
      </w:pPr>
    </w:p>
    <w:p w14:paraId="34BE9E00" w14:textId="0FC0405E" w:rsidR="0072384D" w:rsidRPr="0072384D" w:rsidRDefault="0072384D" w:rsidP="0072384D">
      <w:pPr>
        <w:pStyle w:val="Heading1"/>
        <w:rPr>
          <w:b/>
          <w:bCs/>
          <w:u w:val="single"/>
        </w:rPr>
      </w:pPr>
      <w:r w:rsidRPr="0072384D">
        <w:rPr>
          <w:b/>
          <w:bCs/>
        </w:rPr>
        <w:t>8</w:t>
      </w:r>
      <w:r w:rsidR="00D942C5" w:rsidRPr="0072384D">
        <w:rPr>
          <w:b/>
          <w:bCs/>
        </w:rPr>
        <w:t>(</w:t>
      </w:r>
      <w:proofErr w:type="gramStart"/>
      <w:r w:rsidR="00D942C5" w:rsidRPr="0072384D">
        <w:rPr>
          <w:b/>
          <w:bCs/>
        </w:rPr>
        <w:t xml:space="preserve">b) </w:t>
      </w:r>
      <w:r>
        <w:rPr>
          <w:b/>
          <w:bCs/>
        </w:rPr>
        <w:t xml:space="preserve"> </w:t>
      </w:r>
      <w:r w:rsidR="00D942C5" w:rsidRPr="0072384D">
        <w:rPr>
          <w:b/>
          <w:bCs/>
          <w:u w:val="single"/>
        </w:rPr>
        <w:t>Notice</w:t>
      </w:r>
      <w:proofErr w:type="gramEnd"/>
      <w:r w:rsidR="00D942C5" w:rsidRPr="0072384D">
        <w:rPr>
          <w:b/>
          <w:bCs/>
          <w:u w:val="single"/>
        </w:rPr>
        <w:t xml:space="preserve"> of Motion submitted by Alderman Graham &amp; </w:t>
      </w:r>
    </w:p>
    <w:p w14:paraId="2BC48361" w14:textId="2F824C87" w:rsidR="00D942C5" w:rsidRPr="0072384D" w:rsidRDefault="00D942C5" w:rsidP="0072384D">
      <w:pPr>
        <w:pStyle w:val="Heading1"/>
        <w:ind w:firstLine="720"/>
        <w:rPr>
          <w:u w:val="single"/>
        </w:rPr>
      </w:pPr>
      <w:r w:rsidRPr="0072384D">
        <w:rPr>
          <w:b/>
          <w:bCs/>
          <w:u w:val="single"/>
        </w:rPr>
        <w:t>Alderman McIlveen</w:t>
      </w:r>
      <w:r w:rsidRPr="0072384D">
        <w:rPr>
          <w:u w:val="single"/>
        </w:rPr>
        <w:t>:</w:t>
      </w:r>
    </w:p>
    <w:p w14:paraId="2CF0F2E3" w14:textId="77777777" w:rsidR="00D942C5" w:rsidRPr="00E4144A" w:rsidRDefault="00D942C5" w:rsidP="00D942C5">
      <w:pPr>
        <w:rPr>
          <w:rFonts w:cs="Arial"/>
          <w:color w:val="000000" w:themeColor="text1"/>
          <w:szCs w:val="24"/>
        </w:rPr>
      </w:pPr>
    </w:p>
    <w:p w14:paraId="32A2AF5B" w14:textId="074ECE9E" w:rsidR="00D942C5" w:rsidRPr="00E4144A" w:rsidRDefault="00D942C5" w:rsidP="0072384D">
      <w:pPr>
        <w:rPr>
          <w:rFonts w:cs="Arial"/>
          <w:color w:val="000000" w:themeColor="text1"/>
          <w:szCs w:val="24"/>
        </w:rPr>
      </w:pPr>
      <w:r w:rsidRPr="00E4144A">
        <w:rPr>
          <w:rFonts w:cs="Arial"/>
          <w:color w:val="000000" w:themeColor="text1"/>
          <w:szCs w:val="24"/>
        </w:rPr>
        <w:t xml:space="preserve">That Council in liaison with Belfast City Airport arranges a visit to the Airport for </w:t>
      </w:r>
      <w:r w:rsidR="00767C56">
        <w:rPr>
          <w:rFonts w:cs="Arial"/>
          <w:color w:val="000000" w:themeColor="text1"/>
          <w:szCs w:val="24"/>
        </w:rPr>
        <w:t>M</w:t>
      </w:r>
      <w:r w:rsidRPr="00E4144A">
        <w:rPr>
          <w:rFonts w:cs="Arial"/>
          <w:color w:val="000000" w:themeColor="text1"/>
          <w:szCs w:val="24"/>
        </w:rPr>
        <w:t xml:space="preserve">embers and </w:t>
      </w:r>
      <w:r w:rsidR="00767C56">
        <w:rPr>
          <w:rFonts w:cs="Arial"/>
          <w:color w:val="000000" w:themeColor="text1"/>
          <w:szCs w:val="24"/>
        </w:rPr>
        <w:t>O</w:t>
      </w:r>
      <w:r w:rsidRPr="00E4144A">
        <w:rPr>
          <w:rFonts w:cs="Arial"/>
          <w:color w:val="000000" w:themeColor="text1"/>
          <w:szCs w:val="24"/>
        </w:rPr>
        <w:t>fficers.</w:t>
      </w:r>
    </w:p>
    <w:p w14:paraId="05A83F7F" w14:textId="3716D63A" w:rsidR="006A4C0A" w:rsidRDefault="006A4C0A" w:rsidP="00D942C5">
      <w:pPr>
        <w:rPr>
          <w:rFonts w:cs="Arial"/>
          <w:color w:val="000000" w:themeColor="text1"/>
          <w:szCs w:val="24"/>
        </w:rPr>
      </w:pPr>
    </w:p>
    <w:p w14:paraId="0813BBE5" w14:textId="7734018B" w:rsidR="00706929" w:rsidRPr="006C24C7" w:rsidRDefault="00706929" w:rsidP="00D942C5">
      <w:pPr>
        <w:rPr>
          <w:rFonts w:cs="Arial"/>
          <w:color w:val="000000" w:themeColor="text1"/>
          <w:szCs w:val="24"/>
        </w:rPr>
      </w:pPr>
      <w:r w:rsidRPr="006C24C7">
        <w:rPr>
          <w:rFonts w:cs="Arial"/>
          <w:color w:val="000000" w:themeColor="text1"/>
          <w:szCs w:val="24"/>
        </w:rPr>
        <w:t xml:space="preserve">Alderman Graham </w:t>
      </w:r>
      <w:r w:rsidR="006C24C7" w:rsidRPr="006C24C7">
        <w:rPr>
          <w:rFonts w:cs="Arial"/>
          <w:color w:val="000000" w:themeColor="text1"/>
          <w:szCs w:val="24"/>
        </w:rPr>
        <w:t>advised that M</w:t>
      </w:r>
      <w:r w:rsidR="006C24C7">
        <w:rPr>
          <w:rFonts w:cs="Arial"/>
          <w:color w:val="000000" w:themeColor="text1"/>
          <w:szCs w:val="24"/>
        </w:rPr>
        <w:t xml:space="preserve">embers had received correspondence from Belfast City Airport and therefore he wished to amend his motion. </w:t>
      </w:r>
    </w:p>
    <w:p w14:paraId="5DB921ED" w14:textId="77777777" w:rsidR="00706929" w:rsidRDefault="00706929" w:rsidP="00D942C5">
      <w:pPr>
        <w:rPr>
          <w:rFonts w:cs="Arial"/>
          <w:color w:val="000000" w:themeColor="text1"/>
          <w:szCs w:val="24"/>
        </w:rPr>
      </w:pPr>
    </w:p>
    <w:p w14:paraId="6D4A74EB" w14:textId="7E0CDE62" w:rsidR="006C24C7" w:rsidRPr="006C24C7" w:rsidRDefault="006C24C7" w:rsidP="006C24C7">
      <w:pPr>
        <w:rPr>
          <w:rFonts w:cs="Arial"/>
          <w:color w:val="000000" w:themeColor="text1"/>
          <w:szCs w:val="24"/>
        </w:rPr>
      </w:pPr>
      <w:r w:rsidRPr="006C24C7">
        <w:rPr>
          <w:rFonts w:cs="Arial"/>
          <w:color w:val="000000" w:themeColor="text1"/>
          <w:szCs w:val="24"/>
        </w:rPr>
        <w:t xml:space="preserve">Proposed by Alderman Graham, seconded by Alderman McIlveen, that Council accepts the invitation from Belfast City Airport for a Christmas Visit for </w:t>
      </w:r>
      <w:r w:rsidR="00C26956">
        <w:rPr>
          <w:rFonts w:cs="Arial"/>
          <w:color w:val="000000" w:themeColor="text1"/>
          <w:szCs w:val="24"/>
        </w:rPr>
        <w:t>M</w:t>
      </w:r>
      <w:r w:rsidRPr="006C24C7">
        <w:rPr>
          <w:rFonts w:cs="Arial"/>
          <w:color w:val="000000" w:themeColor="text1"/>
          <w:szCs w:val="24"/>
        </w:rPr>
        <w:t xml:space="preserve">embers and officers (16 December) and invites Belfast City Airport to write to Council to request a deputation opportunity.  </w:t>
      </w:r>
    </w:p>
    <w:p w14:paraId="69F814FF" w14:textId="77777777" w:rsidR="006C24C7" w:rsidRDefault="006C24C7" w:rsidP="00D942C5">
      <w:pPr>
        <w:rPr>
          <w:rFonts w:cs="Arial"/>
          <w:color w:val="000000" w:themeColor="text1"/>
          <w:szCs w:val="24"/>
        </w:rPr>
      </w:pPr>
    </w:p>
    <w:p w14:paraId="772085C4" w14:textId="25D0E944" w:rsidR="006C24C7" w:rsidRDefault="006C24C7" w:rsidP="00D942C5">
      <w:pPr>
        <w:rPr>
          <w:rFonts w:cs="Arial"/>
          <w:color w:val="000000" w:themeColor="text1"/>
          <w:szCs w:val="24"/>
        </w:rPr>
      </w:pPr>
      <w:r>
        <w:rPr>
          <w:rFonts w:cs="Arial"/>
          <w:color w:val="000000" w:themeColor="text1"/>
          <w:szCs w:val="24"/>
        </w:rPr>
        <w:lastRenderedPageBreak/>
        <w:t xml:space="preserve">Alderman Graham advised as part of the Christmas visit </w:t>
      </w:r>
      <w:r w:rsidR="00767C56">
        <w:rPr>
          <w:rFonts w:cs="Arial"/>
          <w:color w:val="000000" w:themeColor="text1"/>
          <w:szCs w:val="24"/>
        </w:rPr>
        <w:t xml:space="preserve">to the </w:t>
      </w:r>
      <w:r w:rsidR="00FF537A">
        <w:rPr>
          <w:rFonts w:cs="Arial"/>
          <w:color w:val="000000" w:themeColor="text1"/>
          <w:szCs w:val="24"/>
        </w:rPr>
        <w:t>C</w:t>
      </w:r>
      <w:r w:rsidR="00767C56">
        <w:rPr>
          <w:rFonts w:cs="Arial"/>
          <w:color w:val="000000" w:themeColor="text1"/>
          <w:szCs w:val="24"/>
        </w:rPr>
        <w:t xml:space="preserve">ity </w:t>
      </w:r>
      <w:r w:rsidR="00FF537A">
        <w:rPr>
          <w:rFonts w:cs="Arial"/>
          <w:color w:val="000000" w:themeColor="text1"/>
          <w:szCs w:val="24"/>
        </w:rPr>
        <w:t>A</w:t>
      </w:r>
      <w:r w:rsidR="00767C56">
        <w:rPr>
          <w:rFonts w:cs="Arial"/>
          <w:color w:val="000000" w:themeColor="text1"/>
          <w:szCs w:val="24"/>
        </w:rPr>
        <w:t xml:space="preserve">irport </w:t>
      </w:r>
      <w:r>
        <w:rPr>
          <w:rFonts w:cs="Arial"/>
          <w:color w:val="000000" w:themeColor="text1"/>
          <w:szCs w:val="24"/>
        </w:rPr>
        <w:t>on</w:t>
      </w:r>
      <w:r w:rsidR="00767C56">
        <w:rPr>
          <w:rFonts w:cs="Arial"/>
          <w:color w:val="000000" w:themeColor="text1"/>
          <w:szCs w:val="24"/>
        </w:rPr>
        <w:t>e of</w:t>
      </w:r>
      <w:r>
        <w:rPr>
          <w:rFonts w:cs="Arial"/>
          <w:color w:val="000000" w:themeColor="text1"/>
          <w:szCs w:val="24"/>
        </w:rPr>
        <w:t xml:space="preserve"> the local schools in Holywood would be </w:t>
      </w:r>
      <w:r w:rsidR="00C26956">
        <w:rPr>
          <w:rFonts w:cs="Arial"/>
          <w:color w:val="000000" w:themeColor="text1"/>
          <w:szCs w:val="24"/>
        </w:rPr>
        <w:t xml:space="preserve">in </w:t>
      </w:r>
      <w:r>
        <w:rPr>
          <w:rFonts w:cs="Arial"/>
          <w:color w:val="000000" w:themeColor="text1"/>
          <w:szCs w:val="24"/>
        </w:rPr>
        <w:t xml:space="preserve">attendance. Whilst he recognised the </w:t>
      </w:r>
      <w:r w:rsidR="00767C56">
        <w:rPr>
          <w:rFonts w:cs="Arial"/>
          <w:color w:val="000000" w:themeColor="text1"/>
          <w:szCs w:val="24"/>
        </w:rPr>
        <w:t>A</w:t>
      </w:r>
      <w:r>
        <w:rPr>
          <w:rFonts w:cs="Arial"/>
          <w:color w:val="000000" w:themeColor="text1"/>
          <w:szCs w:val="24"/>
        </w:rPr>
        <w:t xml:space="preserve">irport was not within the Borough it sat very </w:t>
      </w:r>
      <w:proofErr w:type="gramStart"/>
      <w:r>
        <w:rPr>
          <w:rFonts w:cs="Arial"/>
          <w:color w:val="000000" w:themeColor="text1"/>
          <w:szCs w:val="24"/>
        </w:rPr>
        <w:t>close</w:t>
      </w:r>
      <w:r w:rsidR="00310E5E">
        <w:rPr>
          <w:rFonts w:cs="Arial"/>
          <w:color w:val="000000" w:themeColor="text1"/>
          <w:szCs w:val="24"/>
        </w:rPr>
        <w:t>,</w:t>
      </w:r>
      <w:proofErr w:type="gramEnd"/>
      <w:r w:rsidR="00310E5E">
        <w:rPr>
          <w:rFonts w:cs="Arial"/>
          <w:color w:val="000000" w:themeColor="text1"/>
          <w:szCs w:val="24"/>
        </w:rPr>
        <w:t xml:space="preserve"> </w:t>
      </w:r>
      <w:r>
        <w:rPr>
          <w:rFonts w:cs="Arial"/>
          <w:color w:val="000000" w:themeColor="text1"/>
          <w:szCs w:val="24"/>
        </w:rPr>
        <w:t xml:space="preserve">it was </w:t>
      </w:r>
      <w:r w:rsidR="00310E5E">
        <w:rPr>
          <w:rFonts w:cs="Arial"/>
          <w:color w:val="000000" w:themeColor="text1"/>
          <w:szCs w:val="24"/>
        </w:rPr>
        <w:t xml:space="preserve">a </w:t>
      </w:r>
      <w:r>
        <w:rPr>
          <w:rFonts w:cs="Arial"/>
          <w:color w:val="000000" w:themeColor="text1"/>
          <w:szCs w:val="24"/>
        </w:rPr>
        <w:t xml:space="preserve">major player in the economy of the Borough and very important for the wellbeing of Ards and North Down.  </w:t>
      </w:r>
      <w:r w:rsidR="00C26956">
        <w:rPr>
          <w:rFonts w:cs="Arial"/>
          <w:color w:val="000000" w:themeColor="text1"/>
          <w:szCs w:val="24"/>
        </w:rPr>
        <w:t>A</w:t>
      </w:r>
      <w:r>
        <w:rPr>
          <w:rFonts w:cs="Arial"/>
          <w:color w:val="000000" w:themeColor="text1"/>
          <w:szCs w:val="24"/>
        </w:rPr>
        <w:t>lderman Graham felt Members would benefit from a visit noting that there w</w:t>
      </w:r>
      <w:r w:rsidR="00C26956">
        <w:rPr>
          <w:rFonts w:cs="Arial"/>
          <w:color w:val="000000" w:themeColor="text1"/>
          <w:szCs w:val="24"/>
        </w:rPr>
        <w:t>ere</w:t>
      </w:r>
      <w:r>
        <w:rPr>
          <w:rFonts w:cs="Arial"/>
          <w:color w:val="000000" w:themeColor="text1"/>
          <w:szCs w:val="24"/>
        </w:rPr>
        <w:t xml:space="preserve"> issues </w:t>
      </w:r>
      <w:r w:rsidR="00310E5E">
        <w:rPr>
          <w:rFonts w:cs="Arial"/>
          <w:color w:val="000000" w:themeColor="text1"/>
          <w:szCs w:val="24"/>
        </w:rPr>
        <w:t xml:space="preserve">for discussion including </w:t>
      </w:r>
      <w:r>
        <w:rPr>
          <w:rFonts w:cs="Arial"/>
          <w:color w:val="000000" w:themeColor="text1"/>
          <w:szCs w:val="24"/>
        </w:rPr>
        <w:t xml:space="preserve">apprentice schemes and funding for various organisations.  </w:t>
      </w:r>
    </w:p>
    <w:p w14:paraId="563D255C" w14:textId="77777777" w:rsidR="006A4C0A" w:rsidRPr="006C24C7" w:rsidRDefault="006A4C0A" w:rsidP="00D942C5">
      <w:pPr>
        <w:rPr>
          <w:rFonts w:cs="Arial"/>
          <w:color w:val="000000" w:themeColor="text1"/>
          <w:szCs w:val="24"/>
        </w:rPr>
      </w:pPr>
    </w:p>
    <w:p w14:paraId="5CE76468" w14:textId="5E4D652B" w:rsidR="006A4C0A" w:rsidRPr="00173B20" w:rsidRDefault="00706929" w:rsidP="00D942C5">
      <w:pPr>
        <w:rPr>
          <w:rFonts w:cs="Arial"/>
          <w:color w:val="000000" w:themeColor="text1"/>
          <w:szCs w:val="24"/>
        </w:rPr>
      </w:pPr>
      <w:r w:rsidRPr="00173B20">
        <w:rPr>
          <w:rFonts w:cs="Arial"/>
          <w:color w:val="000000" w:themeColor="text1"/>
          <w:szCs w:val="24"/>
        </w:rPr>
        <w:t xml:space="preserve">Alderman McIlveen </w:t>
      </w:r>
      <w:r w:rsidR="00173B20" w:rsidRPr="00173B20">
        <w:rPr>
          <w:rFonts w:cs="Arial"/>
          <w:color w:val="000000" w:themeColor="text1"/>
          <w:szCs w:val="24"/>
        </w:rPr>
        <w:t xml:space="preserve">stated that </w:t>
      </w:r>
      <w:r w:rsidR="00173B20">
        <w:rPr>
          <w:rFonts w:cs="Arial"/>
          <w:color w:val="000000" w:themeColor="text1"/>
          <w:szCs w:val="24"/>
        </w:rPr>
        <w:t>an airport was a massive economic driver for any area and w</w:t>
      </w:r>
      <w:r w:rsidR="0093401F">
        <w:rPr>
          <w:rFonts w:cs="Arial"/>
          <w:color w:val="000000" w:themeColor="text1"/>
          <w:szCs w:val="24"/>
        </w:rPr>
        <w:t>as</w:t>
      </w:r>
      <w:r w:rsidR="00173B20">
        <w:rPr>
          <w:rFonts w:cs="Arial"/>
          <w:color w:val="000000" w:themeColor="text1"/>
          <w:szCs w:val="24"/>
        </w:rPr>
        <w:t xml:space="preserve"> hugely important in terms of connectively.  The airport was a valued part of the economy of the </w:t>
      </w:r>
      <w:proofErr w:type="gramStart"/>
      <w:r w:rsidR="00173B20">
        <w:rPr>
          <w:rFonts w:cs="Arial"/>
          <w:color w:val="000000" w:themeColor="text1"/>
          <w:szCs w:val="24"/>
        </w:rPr>
        <w:t>Borough</w:t>
      </w:r>
      <w:proofErr w:type="gramEnd"/>
      <w:r w:rsidR="00173B20">
        <w:rPr>
          <w:rFonts w:cs="Arial"/>
          <w:color w:val="000000" w:themeColor="text1"/>
          <w:szCs w:val="24"/>
        </w:rPr>
        <w:t xml:space="preserve"> and </w:t>
      </w:r>
      <w:r w:rsidR="00C26956">
        <w:rPr>
          <w:rFonts w:cs="Arial"/>
          <w:color w:val="000000" w:themeColor="text1"/>
          <w:szCs w:val="24"/>
        </w:rPr>
        <w:t xml:space="preserve">it </w:t>
      </w:r>
      <w:r w:rsidR="00173B20">
        <w:rPr>
          <w:rFonts w:cs="Arial"/>
          <w:color w:val="000000" w:themeColor="text1"/>
          <w:szCs w:val="24"/>
        </w:rPr>
        <w:t xml:space="preserve">was important that the Council worked </w:t>
      </w:r>
      <w:r w:rsidR="001E21BF">
        <w:rPr>
          <w:rFonts w:cs="Arial"/>
          <w:color w:val="000000" w:themeColor="text1"/>
          <w:szCs w:val="24"/>
        </w:rPr>
        <w:t xml:space="preserve">closely </w:t>
      </w:r>
      <w:r w:rsidR="00173B20">
        <w:rPr>
          <w:rFonts w:cs="Arial"/>
          <w:color w:val="000000" w:themeColor="text1"/>
          <w:szCs w:val="24"/>
        </w:rPr>
        <w:t xml:space="preserve">with the airport and </w:t>
      </w:r>
      <w:r w:rsidR="001E21BF">
        <w:rPr>
          <w:rFonts w:cs="Arial"/>
          <w:color w:val="000000" w:themeColor="text1"/>
          <w:szCs w:val="24"/>
        </w:rPr>
        <w:t>w</w:t>
      </w:r>
      <w:r w:rsidR="00C26956">
        <w:rPr>
          <w:rFonts w:cs="Arial"/>
          <w:color w:val="000000" w:themeColor="text1"/>
          <w:szCs w:val="24"/>
        </w:rPr>
        <w:t>as</w:t>
      </w:r>
      <w:r w:rsidR="001E21BF">
        <w:rPr>
          <w:rFonts w:cs="Arial"/>
          <w:color w:val="000000" w:themeColor="text1"/>
          <w:szCs w:val="24"/>
        </w:rPr>
        <w:t xml:space="preserve"> fully engaged </w:t>
      </w:r>
      <w:r w:rsidR="008D7EDE">
        <w:rPr>
          <w:rFonts w:cs="Arial"/>
          <w:color w:val="000000" w:themeColor="text1"/>
          <w:szCs w:val="24"/>
        </w:rPr>
        <w:t>in the airport</w:t>
      </w:r>
      <w:r w:rsidR="00C26956">
        <w:rPr>
          <w:rFonts w:cs="Arial"/>
          <w:color w:val="000000" w:themeColor="text1"/>
          <w:szCs w:val="24"/>
        </w:rPr>
        <w:t>’</w:t>
      </w:r>
      <w:r w:rsidR="008D7EDE">
        <w:rPr>
          <w:rFonts w:cs="Arial"/>
          <w:color w:val="000000" w:themeColor="text1"/>
          <w:szCs w:val="24"/>
        </w:rPr>
        <w:t>s masterplan as t</w:t>
      </w:r>
      <w:r w:rsidR="00C26956">
        <w:rPr>
          <w:rFonts w:cs="Arial"/>
          <w:color w:val="000000" w:themeColor="text1"/>
          <w:szCs w:val="24"/>
        </w:rPr>
        <w:t>hat</w:t>
      </w:r>
      <w:r w:rsidR="008D7EDE">
        <w:rPr>
          <w:rFonts w:cs="Arial"/>
          <w:color w:val="000000" w:themeColor="text1"/>
          <w:szCs w:val="24"/>
        </w:rPr>
        <w:t xml:space="preserve"> would affect the Borough massively.  </w:t>
      </w:r>
      <w:r w:rsidR="00FD12E5">
        <w:rPr>
          <w:rFonts w:cs="Arial"/>
          <w:color w:val="000000" w:themeColor="text1"/>
          <w:szCs w:val="24"/>
        </w:rPr>
        <w:t xml:space="preserve">He felt a visit provided a greater opportunity to discuss the plans and would be </w:t>
      </w:r>
      <w:r w:rsidR="00C26956">
        <w:rPr>
          <w:rFonts w:cs="Arial"/>
          <w:color w:val="000000" w:themeColor="text1"/>
          <w:szCs w:val="24"/>
        </w:rPr>
        <w:t xml:space="preserve">a </w:t>
      </w:r>
      <w:r w:rsidR="00FD12E5">
        <w:rPr>
          <w:rFonts w:cs="Arial"/>
          <w:color w:val="000000" w:themeColor="text1"/>
          <w:szCs w:val="24"/>
        </w:rPr>
        <w:t xml:space="preserve">useful opportunity for Members. </w:t>
      </w:r>
    </w:p>
    <w:p w14:paraId="13236905" w14:textId="77777777" w:rsidR="006A4C0A" w:rsidRPr="00173B20" w:rsidRDefault="006A4C0A" w:rsidP="00D942C5">
      <w:pPr>
        <w:rPr>
          <w:rFonts w:cs="Arial"/>
          <w:color w:val="000000" w:themeColor="text1"/>
          <w:szCs w:val="24"/>
        </w:rPr>
      </w:pPr>
    </w:p>
    <w:p w14:paraId="12BDD1E3" w14:textId="13C5E9C6" w:rsidR="0072384D" w:rsidRPr="00173B20" w:rsidRDefault="00173B20" w:rsidP="00D942C5">
      <w:pPr>
        <w:rPr>
          <w:rFonts w:cs="Arial"/>
          <w:color w:val="000000" w:themeColor="text1"/>
          <w:szCs w:val="24"/>
        </w:rPr>
      </w:pPr>
      <w:r w:rsidRPr="00173B20">
        <w:rPr>
          <w:rFonts w:cs="Arial"/>
          <w:color w:val="000000" w:themeColor="text1"/>
          <w:szCs w:val="24"/>
        </w:rPr>
        <w:t xml:space="preserve">Alderman Graham </w:t>
      </w:r>
      <w:r w:rsidR="00EB4B49">
        <w:rPr>
          <w:rFonts w:cs="Arial"/>
          <w:color w:val="000000" w:themeColor="text1"/>
          <w:szCs w:val="24"/>
        </w:rPr>
        <w:t>noted that the</w:t>
      </w:r>
      <w:r w:rsidR="00C26956">
        <w:rPr>
          <w:rFonts w:cs="Arial"/>
          <w:color w:val="000000" w:themeColor="text1"/>
          <w:szCs w:val="24"/>
        </w:rPr>
        <w:t>re were</w:t>
      </w:r>
      <w:r w:rsidR="00EB4B49">
        <w:rPr>
          <w:rFonts w:cs="Arial"/>
          <w:color w:val="000000" w:themeColor="text1"/>
          <w:szCs w:val="24"/>
        </w:rPr>
        <w:t xml:space="preserve"> plans for the establishment of a rail halt adjacent to the airport and welcomed further discussions in that regard.   </w:t>
      </w:r>
    </w:p>
    <w:p w14:paraId="2926A863" w14:textId="77777777" w:rsidR="00173B20" w:rsidRPr="00173B20" w:rsidRDefault="00173B20" w:rsidP="00D942C5">
      <w:pPr>
        <w:rPr>
          <w:rFonts w:cs="Arial"/>
          <w:b/>
          <w:bCs/>
          <w:color w:val="000000" w:themeColor="text1"/>
          <w:szCs w:val="24"/>
        </w:rPr>
      </w:pPr>
    </w:p>
    <w:p w14:paraId="045BD22F" w14:textId="430A2E53" w:rsidR="006C24C7" w:rsidRPr="006C24C7" w:rsidRDefault="00706929" w:rsidP="006C24C7">
      <w:pPr>
        <w:rPr>
          <w:rFonts w:cs="Arial"/>
          <w:b/>
          <w:bCs/>
          <w:color w:val="000000" w:themeColor="text1"/>
          <w:szCs w:val="24"/>
        </w:rPr>
      </w:pPr>
      <w:r w:rsidRPr="00706929">
        <w:rPr>
          <w:rFonts w:cs="Arial"/>
          <w:b/>
          <w:bCs/>
          <w:color w:val="000000" w:themeColor="text1"/>
          <w:szCs w:val="24"/>
        </w:rPr>
        <w:t xml:space="preserve">AGREED TO RECOMMEND, on the proposal of Alderman Graham, seconded by Alderman McIlveen, </w:t>
      </w:r>
      <w:r w:rsidR="006C24C7" w:rsidRPr="006C24C7">
        <w:rPr>
          <w:rFonts w:cs="Arial"/>
          <w:b/>
          <w:bCs/>
          <w:color w:val="000000" w:themeColor="text1"/>
          <w:szCs w:val="24"/>
        </w:rPr>
        <w:t xml:space="preserve">that Council accepts the invitation from Belfast City Airport for a Christmas </w:t>
      </w:r>
      <w:r w:rsidR="00C26956">
        <w:rPr>
          <w:rFonts w:cs="Arial"/>
          <w:b/>
          <w:bCs/>
          <w:color w:val="000000" w:themeColor="text1"/>
          <w:szCs w:val="24"/>
        </w:rPr>
        <w:t>v</w:t>
      </w:r>
      <w:r w:rsidR="006C24C7" w:rsidRPr="006C24C7">
        <w:rPr>
          <w:rFonts w:cs="Arial"/>
          <w:b/>
          <w:bCs/>
          <w:color w:val="000000" w:themeColor="text1"/>
          <w:szCs w:val="24"/>
        </w:rPr>
        <w:t xml:space="preserve">isit for </w:t>
      </w:r>
      <w:r w:rsidR="00C26956">
        <w:rPr>
          <w:rFonts w:cs="Arial"/>
          <w:b/>
          <w:bCs/>
          <w:color w:val="000000" w:themeColor="text1"/>
          <w:szCs w:val="24"/>
        </w:rPr>
        <w:t>M</w:t>
      </w:r>
      <w:r w:rsidR="006C24C7" w:rsidRPr="006C24C7">
        <w:rPr>
          <w:rFonts w:cs="Arial"/>
          <w:b/>
          <w:bCs/>
          <w:color w:val="000000" w:themeColor="text1"/>
          <w:szCs w:val="24"/>
        </w:rPr>
        <w:t xml:space="preserve">embers and officers (16 December) and invites Belfast City Airport to write to </w:t>
      </w:r>
      <w:r w:rsidR="00C26956">
        <w:rPr>
          <w:rFonts w:cs="Arial"/>
          <w:b/>
          <w:bCs/>
          <w:color w:val="000000" w:themeColor="text1"/>
          <w:szCs w:val="24"/>
        </w:rPr>
        <w:t xml:space="preserve">the </w:t>
      </w:r>
      <w:r w:rsidR="006C24C7" w:rsidRPr="006C24C7">
        <w:rPr>
          <w:rFonts w:cs="Arial"/>
          <w:b/>
          <w:bCs/>
          <w:color w:val="000000" w:themeColor="text1"/>
          <w:szCs w:val="24"/>
        </w:rPr>
        <w:t xml:space="preserve">Council to request a deputation opportunity.  </w:t>
      </w:r>
    </w:p>
    <w:p w14:paraId="4ACA8371" w14:textId="77777777" w:rsidR="00706929" w:rsidRPr="00E4144A" w:rsidRDefault="00706929" w:rsidP="00D942C5">
      <w:pPr>
        <w:rPr>
          <w:rFonts w:cs="Arial"/>
          <w:color w:val="000000" w:themeColor="text1"/>
          <w:szCs w:val="24"/>
        </w:rPr>
      </w:pPr>
    </w:p>
    <w:p w14:paraId="4C1FAA86" w14:textId="061DF551" w:rsidR="00D942C5" w:rsidRPr="005D6E22" w:rsidRDefault="00E239F8" w:rsidP="00E239F8">
      <w:pPr>
        <w:rPr>
          <w:rFonts w:cs="Arial"/>
          <w:b/>
          <w:bCs/>
          <w:caps/>
          <w:color w:val="000000" w:themeColor="text1"/>
          <w:sz w:val="28"/>
          <w:szCs w:val="28"/>
          <w:u w:val="single"/>
        </w:rPr>
      </w:pPr>
      <w:r w:rsidRPr="005D6E22">
        <w:rPr>
          <w:rFonts w:cs="Arial"/>
          <w:b/>
          <w:bCs/>
          <w:caps/>
          <w:color w:val="000000" w:themeColor="text1"/>
          <w:sz w:val="28"/>
          <w:szCs w:val="28"/>
        </w:rPr>
        <w:t>9.</w:t>
      </w:r>
      <w:r w:rsidRPr="005D6E22">
        <w:rPr>
          <w:rFonts w:cs="Arial"/>
          <w:b/>
          <w:bCs/>
          <w:caps/>
          <w:color w:val="000000" w:themeColor="text1"/>
          <w:sz w:val="28"/>
          <w:szCs w:val="28"/>
        </w:rPr>
        <w:tab/>
      </w:r>
      <w:r w:rsidR="00D942C5" w:rsidRPr="005D6E22">
        <w:rPr>
          <w:rFonts w:cs="Arial"/>
          <w:b/>
          <w:bCs/>
          <w:caps/>
          <w:color w:val="000000" w:themeColor="text1"/>
          <w:sz w:val="28"/>
          <w:szCs w:val="28"/>
          <w:u w:val="single"/>
        </w:rPr>
        <w:t>Any Other Notified Business</w:t>
      </w:r>
    </w:p>
    <w:p w14:paraId="75DDC199" w14:textId="77777777" w:rsidR="00D942C5" w:rsidRDefault="00D942C5" w:rsidP="001429A5">
      <w:pPr>
        <w:pStyle w:val="ListParagraph"/>
        <w:spacing w:after="0" w:line="240" w:lineRule="auto"/>
        <w:rPr>
          <w:rFonts w:ascii="Arial" w:hAnsi="Arial" w:cs="Arial"/>
          <w:color w:val="000000" w:themeColor="text1"/>
        </w:rPr>
      </w:pPr>
    </w:p>
    <w:p w14:paraId="29CF4720" w14:textId="2390F69A" w:rsidR="00E239F8" w:rsidRDefault="001429A5" w:rsidP="001429A5">
      <w:pPr>
        <w:rPr>
          <w:rFonts w:cs="Arial"/>
          <w:color w:val="000000" w:themeColor="text1"/>
        </w:rPr>
      </w:pPr>
      <w:r>
        <w:rPr>
          <w:rFonts w:cs="Arial"/>
          <w:color w:val="000000" w:themeColor="text1"/>
        </w:rPr>
        <w:t xml:space="preserve">There were no items of any other notified business. </w:t>
      </w:r>
    </w:p>
    <w:p w14:paraId="66BBBA0C" w14:textId="77777777" w:rsidR="001429A5" w:rsidRDefault="001429A5" w:rsidP="001429A5">
      <w:pPr>
        <w:rPr>
          <w:rFonts w:cs="Arial"/>
          <w:color w:val="000000" w:themeColor="text1"/>
        </w:rPr>
      </w:pPr>
    </w:p>
    <w:p w14:paraId="074D8680" w14:textId="48DAD826" w:rsidR="00E239F8" w:rsidRPr="005D6E22" w:rsidRDefault="00E239F8" w:rsidP="001429A5">
      <w:pPr>
        <w:rPr>
          <w:rFonts w:cs="Arial"/>
          <w:b/>
          <w:bCs/>
          <w:caps/>
          <w:color w:val="000000" w:themeColor="text1"/>
          <w:sz w:val="28"/>
          <w:szCs w:val="28"/>
          <w:u w:val="single"/>
        </w:rPr>
      </w:pPr>
      <w:r w:rsidRPr="005D6E22">
        <w:rPr>
          <w:rFonts w:cs="Arial"/>
          <w:b/>
          <w:bCs/>
          <w:caps/>
          <w:color w:val="000000" w:themeColor="text1"/>
          <w:sz w:val="28"/>
          <w:szCs w:val="28"/>
          <w:u w:val="single"/>
        </w:rPr>
        <w:t>E</w:t>
      </w:r>
      <w:r w:rsidR="001429A5" w:rsidRPr="005D6E22">
        <w:rPr>
          <w:rFonts w:cs="Arial"/>
          <w:b/>
          <w:bCs/>
          <w:caps/>
          <w:color w:val="000000" w:themeColor="text1"/>
          <w:sz w:val="28"/>
          <w:szCs w:val="28"/>
          <w:u w:val="single"/>
        </w:rPr>
        <w:t xml:space="preserve">xclusion of public/press </w:t>
      </w:r>
    </w:p>
    <w:p w14:paraId="203CB231" w14:textId="77777777" w:rsidR="001429A5" w:rsidRDefault="001429A5" w:rsidP="001429A5">
      <w:pPr>
        <w:rPr>
          <w:rFonts w:cs="Arial"/>
          <w:color w:val="000000" w:themeColor="text1"/>
        </w:rPr>
      </w:pPr>
    </w:p>
    <w:p w14:paraId="5A0FFF93" w14:textId="24B1A9D5" w:rsidR="001429A5" w:rsidRPr="001429A5" w:rsidRDefault="001429A5" w:rsidP="00E239F8">
      <w:pPr>
        <w:rPr>
          <w:rFonts w:cs="Arial"/>
          <w:b/>
          <w:bCs/>
          <w:color w:val="000000" w:themeColor="text1"/>
        </w:rPr>
      </w:pPr>
      <w:r w:rsidRPr="001429A5">
        <w:rPr>
          <w:rFonts w:cs="Arial"/>
          <w:b/>
          <w:bCs/>
          <w:color w:val="000000" w:themeColor="text1"/>
        </w:rPr>
        <w:t xml:space="preserve">AGREED, on the proposal of </w:t>
      </w:r>
      <w:r w:rsidR="00706929">
        <w:rPr>
          <w:rFonts w:cs="Arial"/>
          <w:b/>
          <w:bCs/>
          <w:color w:val="000000" w:themeColor="text1"/>
        </w:rPr>
        <w:t>Alderman McIlveen</w:t>
      </w:r>
      <w:r w:rsidRPr="001429A5">
        <w:rPr>
          <w:rFonts w:cs="Arial"/>
          <w:b/>
          <w:bCs/>
          <w:color w:val="000000" w:themeColor="text1"/>
        </w:rPr>
        <w:t xml:space="preserve">, seconded by </w:t>
      </w:r>
      <w:r w:rsidR="00706929">
        <w:rPr>
          <w:rFonts w:cs="Arial"/>
          <w:b/>
          <w:bCs/>
          <w:color w:val="000000" w:themeColor="text1"/>
        </w:rPr>
        <w:t>Councillor Gilmour</w:t>
      </w:r>
      <w:r w:rsidRPr="001429A5">
        <w:rPr>
          <w:rFonts w:cs="Arial"/>
          <w:b/>
          <w:bCs/>
          <w:color w:val="000000" w:themeColor="text1"/>
        </w:rPr>
        <w:t xml:space="preserve">, that the public/press be excluded during discussion of the undernoted items of confidential business. </w:t>
      </w:r>
    </w:p>
    <w:p w14:paraId="0F27A586" w14:textId="77777777" w:rsidR="00D942C5" w:rsidRPr="00E4144A" w:rsidRDefault="00D942C5" w:rsidP="00D942C5">
      <w:pPr>
        <w:contextualSpacing/>
        <w:rPr>
          <w:rFonts w:cs="Arial"/>
          <w:b/>
          <w:color w:val="000000" w:themeColor="text1"/>
          <w:szCs w:val="24"/>
          <w:u w:val="single"/>
        </w:rPr>
      </w:pPr>
    </w:p>
    <w:p w14:paraId="0239BA84" w14:textId="2D913B71" w:rsidR="00706929" w:rsidRPr="00706929" w:rsidRDefault="00706929" w:rsidP="00706929">
      <w:pPr>
        <w:pStyle w:val="Heading1"/>
        <w:rPr>
          <w:b/>
          <w:bCs/>
          <w:u w:val="single"/>
        </w:rPr>
      </w:pPr>
      <w:r w:rsidRPr="00706929">
        <w:rPr>
          <w:b/>
          <w:bCs/>
        </w:rPr>
        <w:t>6.</w:t>
      </w:r>
      <w:r w:rsidRPr="00706929">
        <w:rPr>
          <w:b/>
          <w:bCs/>
        </w:rPr>
        <w:tab/>
      </w:r>
      <w:r w:rsidRPr="00706929">
        <w:rPr>
          <w:b/>
          <w:bCs/>
          <w:u w:val="single"/>
        </w:rPr>
        <w:t xml:space="preserve">Strategic Budget Report – September 2025 </w:t>
      </w:r>
    </w:p>
    <w:p w14:paraId="2BEB6548" w14:textId="00B83D1C" w:rsidR="00706929" w:rsidRPr="00706929" w:rsidRDefault="00706929" w:rsidP="00706929">
      <w:pPr>
        <w:pStyle w:val="Heading1"/>
        <w:ind w:firstLine="720"/>
        <w:rPr>
          <w:b/>
          <w:bCs/>
        </w:rPr>
      </w:pPr>
      <w:r w:rsidRPr="00706929">
        <w:rPr>
          <w:b/>
          <w:bCs/>
          <w:u w:val="single"/>
        </w:rPr>
        <w:t>CONTINUED</w:t>
      </w:r>
      <w:r w:rsidRPr="00706929">
        <w:rPr>
          <w:b/>
          <w:bCs/>
        </w:rPr>
        <w:t>….</w:t>
      </w:r>
    </w:p>
    <w:p w14:paraId="12FD27BB" w14:textId="77777777" w:rsidR="00706929" w:rsidRDefault="00706929" w:rsidP="0049471F">
      <w:pPr>
        <w:rPr>
          <w:rFonts w:cs="Arial"/>
          <w:b/>
          <w:color w:val="000000" w:themeColor="text1"/>
          <w:u w:val="single"/>
        </w:rPr>
      </w:pPr>
    </w:p>
    <w:p w14:paraId="490AD327" w14:textId="32DEBD8D" w:rsidR="00214C35" w:rsidRDefault="00214C35" w:rsidP="0049471F">
      <w:pPr>
        <w:rPr>
          <w:rFonts w:cs="Arial"/>
          <w:b/>
          <w:color w:val="000000" w:themeColor="text1"/>
        </w:rPr>
      </w:pPr>
      <w:r w:rsidRPr="00214C35">
        <w:rPr>
          <w:rFonts w:cs="Arial"/>
          <w:b/>
          <w:color w:val="000000" w:themeColor="text1"/>
        </w:rPr>
        <w:t>***</w:t>
      </w:r>
      <w:r>
        <w:rPr>
          <w:rFonts w:cs="Arial"/>
          <w:b/>
          <w:color w:val="000000" w:themeColor="text1"/>
        </w:rPr>
        <w:t>IN CONFIDENCE***</w:t>
      </w:r>
    </w:p>
    <w:p w14:paraId="650C82E4" w14:textId="77777777" w:rsidR="00214C35" w:rsidRDefault="00214C35" w:rsidP="0049471F">
      <w:pPr>
        <w:rPr>
          <w:rFonts w:cs="Arial"/>
          <w:b/>
          <w:color w:val="000000" w:themeColor="text1"/>
        </w:rPr>
      </w:pPr>
    </w:p>
    <w:p w14:paraId="1F0D4975" w14:textId="77777777" w:rsidR="005D6E22" w:rsidRPr="00E4144A" w:rsidRDefault="005D6E22" w:rsidP="005D6E22">
      <w:pPr>
        <w:contextualSpacing/>
        <w:rPr>
          <w:rFonts w:cs="Arial"/>
          <w:b/>
          <w:color w:val="000000" w:themeColor="text1"/>
          <w:szCs w:val="24"/>
          <w:u w:val="single"/>
        </w:rPr>
      </w:pPr>
      <w:r w:rsidRPr="00E4144A">
        <w:rPr>
          <w:rFonts w:cs="Arial"/>
          <w:b/>
          <w:color w:val="000000" w:themeColor="text1"/>
          <w:szCs w:val="24"/>
          <w:u w:val="single"/>
        </w:rPr>
        <w:t>Reports for Approval</w:t>
      </w:r>
    </w:p>
    <w:p w14:paraId="2FE5B770" w14:textId="77777777" w:rsidR="00A82704" w:rsidRPr="0049471F" w:rsidRDefault="00A82704" w:rsidP="0049471F">
      <w:pPr>
        <w:rPr>
          <w:rFonts w:cs="Arial"/>
          <w:b/>
          <w:color w:val="000000" w:themeColor="text1"/>
          <w:u w:val="single"/>
        </w:rPr>
      </w:pPr>
    </w:p>
    <w:p w14:paraId="0A4C4349" w14:textId="0BEBB651" w:rsidR="00D942C5" w:rsidRPr="0072384D" w:rsidRDefault="0072384D" w:rsidP="0072384D">
      <w:pPr>
        <w:pStyle w:val="Heading1"/>
        <w:rPr>
          <w:b/>
          <w:bCs/>
        </w:rPr>
      </w:pPr>
      <w:r w:rsidRPr="0072384D">
        <w:rPr>
          <w:b/>
          <w:bCs/>
        </w:rPr>
        <w:t>10.</w:t>
      </w:r>
      <w:r w:rsidRPr="0072384D">
        <w:rPr>
          <w:b/>
          <w:bCs/>
        </w:rPr>
        <w:tab/>
      </w:r>
      <w:r w:rsidR="00D942C5" w:rsidRPr="0072384D">
        <w:rPr>
          <w:rFonts w:eastAsia="Calibri"/>
          <w:b/>
          <w:bCs/>
          <w:u w:val="single"/>
        </w:rPr>
        <w:t xml:space="preserve">Rectification of Title - North Down Coastal path </w:t>
      </w:r>
    </w:p>
    <w:p w14:paraId="489C4DFA" w14:textId="57ADB6B4" w:rsidR="0072384D" w:rsidRDefault="00B03C33" w:rsidP="0072384D">
      <w:pPr>
        <w:rPr>
          <w:rFonts w:cs="Arial"/>
          <w:color w:val="000000" w:themeColor="text1"/>
        </w:rPr>
      </w:pPr>
      <w:r>
        <w:rPr>
          <w:rFonts w:cs="Arial"/>
          <w:color w:val="000000" w:themeColor="text1"/>
        </w:rPr>
        <w:tab/>
        <w:t xml:space="preserve">(Appendix </w:t>
      </w:r>
      <w:r w:rsidR="004F04ED">
        <w:rPr>
          <w:rFonts w:cs="Arial"/>
          <w:color w:val="000000" w:themeColor="text1"/>
        </w:rPr>
        <w:t>IV</w:t>
      </w:r>
      <w:r>
        <w:rPr>
          <w:rFonts w:cs="Arial"/>
          <w:color w:val="000000" w:themeColor="text1"/>
        </w:rPr>
        <w:t>)</w:t>
      </w:r>
    </w:p>
    <w:p w14:paraId="5B97CB10" w14:textId="77777777" w:rsidR="00B03C33" w:rsidRDefault="00B03C33" w:rsidP="0072384D">
      <w:pPr>
        <w:rPr>
          <w:rFonts w:cs="Arial"/>
          <w:color w:val="000000" w:themeColor="text1"/>
        </w:rPr>
      </w:pPr>
    </w:p>
    <w:p w14:paraId="23063705" w14:textId="623FFBC4" w:rsidR="00C57D3A" w:rsidRDefault="00C57D3A" w:rsidP="0072384D">
      <w:pPr>
        <w:rPr>
          <w:rFonts w:cs="Arial"/>
          <w:b/>
          <w:bCs/>
          <w:color w:val="000000" w:themeColor="text1"/>
        </w:rPr>
      </w:pPr>
      <w:r w:rsidRPr="00C57D3A">
        <w:rPr>
          <w:rFonts w:cs="Arial"/>
          <w:b/>
          <w:bCs/>
          <w:color w:val="000000" w:themeColor="text1"/>
        </w:rPr>
        <w:t>***IN CONFIDENCE***</w:t>
      </w:r>
    </w:p>
    <w:p w14:paraId="672CE32F" w14:textId="77777777" w:rsidR="00CE580D" w:rsidRDefault="00CE580D" w:rsidP="0072384D">
      <w:pPr>
        <w:rPr>
          <w:rFonts w:cs="Arial"/>
          <w:b/>
          <w:bCs/>
          <w:color w:val="000000" w:themeColor="text1"/>
        </w:rPr>
      </w:pPr>
    </w:p>
    <w:p w14:paraId="728A865E" w14:textId="77777777" w:rsidR="00CE580D" w:rsidRDefault="00CE580D" w:rsidP="00CE580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NOT FOR PUBLICATION SCHEDULE 5 – A CLAIM TO LEGAL OR PROFESSIONAL PRIVILEGE</w:t>
      </w:r>
      <w:r>
        <w:rPr>
          <w:rStyle w:val="eop"/>
          <w:rFonts w:ascii="Arial" w:eastAsiaTheme="majorEastAsia" w:hAnsi="Arial" w:cs="Arial"/>
        </w:rPr>
        <w:t> </w:t>
      </w:r>
    </w:p>
    <w:p w14:paraId="4751BFB4" w14:textId="7587D7B0" w:rsidR="00CE580D" w:rsidRDefault="005D6E22" w:rsidP="00CE580D">
      <w:pPr>
        <w:pStyle w:val="paragraph"/>
        <w:spacing w:before="0" w:beforeAutospacing="0" w:after="0" w:afterAutospacing="0"/>
        <w:textAlignment w:val="baseline"/>
        <w:rPr>
          <w:rStyle w:val="eop"/>
          <w:rFonts w:ascii="Arial" w:eastAsiaTheme="majorEastAsia" w:hAnsi="Arial" w:cs="Arial"/>
          <w:color w:val="000000"/>
        </w:rPr>
      </w:pPr>
      <w:r>
        <w:rPr>
          <w:rStyle w:val="normaltextrun"/>
          <w:rFonts w:ascii="Arial" w:eastAsiaTheme="majorEastAsia" w:hAnsi="Arial" w:cs="Arial"/>
          <w:color w:val="000000"/>
        </w:rPr>
        <w:lastRenderedPageBreak/>
        <w:t xml:space="preserve">The </w:t>
      </w:r>
      <w:r w:rsidR="00CE580D">
        <w:rPr>
          <w:rStyle w:val="normaltextrun"/>
          <w:rFonts w:ascii="Arial" w:eastAsiaTheme="majorEastAsia" w:hAnsi="Arial" w:cs="Arial"/>
          <w:color w:val="000000"/>
        </w:rPr>
        <w:t>Council was asked to consider a request from officers for Rectification of Title at North Down Coastal path.  </w:t>
      </w:r>
      <w:r w:rsidR="00CE580D">
        <w:rPr>
          <w:rStyle w:val="eop"/>
          <w:rFonts w:ascii="Arial" w:eastAsiaTheme="majorEastAsia" w:hAnsi="Arial" w:cs="Arial"/>
          <w:color w:val="000000"/>
        </w:rPr>
        <w:t> </w:t>
      </w:r>
    </w:p>
    <w:p w14:paraId="4B02E5D3" w14:textId="77777777" w:rsidR="005D6E22" w:rsidRDefault="005D6E22" w:rsidP="00CE580D">
      <w:pPr>
        <w:pStyle w:val="paragraph"/>
        <w:spacing w:before="0" w:beforeAutospacing="0" w:after="0" w:afterAutospacing="0"/>
        <w:textAlignment w:val="baseline"/>
        <w:rPr>
          <w:rFonts w:ascii="Segoe UI" w:hAnsi="Segoe UI" w:cs="Segoe UI"/>
          <w:sz w:val="18"/>
          <w:szCs w:val="18"/>
        </w:rPr>
      </w:pPr>
    </w:p>
    <w:p w14:paraId="26344A76" w14:textId="7DC38CFA" w:rsidR="00CE580D" w:rsidRDefault="00CE580D" w:rsidP="00CE580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The recommendation was that </w:t>
      </w:r>
      <w:r w:rsidR="005D6E22">
        <w:rPr>
          <w:rStyle w:val="normaltextrun"/>
          <w:rFonts w:ascii="Arial" w:eastAsiaTheme="majorEastAsia" w:hAnsi="Arial" w:cs="Arial"/>
        </w:rPr>
        <w:t xml:space="preserve">the </w:t>
      </w:r>
      <w:r>
        <w:rPr>
          <w:rStyle w:val="normaltextrun"/>
          <w:rFonts w:ascii="Arial" w:eastAsiaTheme="majorEastAsia" w:hAnsi="Arial" w:cs="Arial"/>
        </w:rPr>
        <w:t>Council accede to the request, subject to the terms and conditions outlined.  </w:t>
      </w:r>
      <w:r>
        <w:rPr>
          <w:rStyle w:val="eop"/>
          <w:rFonts w:ascii="Arial" w:eastAsiaTheme="majorEastAsia" w:hAnsi="Arial" w:cs="Arial"/>
        </w:rPr>
        <w:t> </w:t>
      </w:r>
    </w:p>
    <w:p w14:paraId="6C59A903" w14:textId="77777777" w:rsidR="0072384D" w:rsidRPr="0049471F" w:rsidRDefault="0072384D" w:rsidP="0049471F">
      <w:pPr>
        <w:rPr>
          <w:rFonts w:cs="Arial"/>
          <w:color w:val="000000" w:themeColor="text1"/>
          <w:u w:val="single"/>
        </w:rPr>
      </w:pPr>
    </w:p>
    <w:p w14:paraId="5721A57C" w14:textId="3580B00E" w:rsidR="00D942C5" w:rsidRPr="008D1EC8" w:rsidRDefault="0072384D" w:rsidP="008D1EC8">
      <w:pPr>
        <w:pStyle w:val="Heading1"/>
        <w:ind w:left="720" w:hanging="720"/>
        <w:rPr>
          <w:b/>
          <w:bCs/>
        </w:rPr>
      </w:pPr>
      <w:r w:rsidRPr="008D1EC8">
        <w:rPr>
          <w:b/>
          <w:bCs/>
        </w:rPr>
        <w:t>11.</w:t>
      </w:r>
      <w:r w:rsidRPr="008D1EC8">
        <w:rPr>
          <w:b/>
          <w:bCs/>
        </w:rPr>
        <w:tab/>
      </w:r>
      <w:r w:rsidR="00D942C5" w:rsidRPr="008D1EC8">
        <w:rPr>
          <w:rFonts w:eastAsia="Calibri"/>
          <w:b/>
          <w:bCs/>
          <w:u w:val="single"/>
        </w:rPr>
        <w:t>Request to renew the licences for Ulster Bank Mobile Banking units at Kircubbin &amp; Donaghadee</w:t>
      </w:r>
      <w:r w:rsidR="00D942C5" w:rsidRPr="008D1EC8">
        <w:rPr>
          <w:b/>
          <w:bCs/>
        </w:rPr>
        <w:t xml:space="preserve"> </w:t>
      </w:r>
    </w:p>
    <w:p w14:paraId="7BB54D91" w14:textId="48C0A1BC" w:rsidR="008D1EC8" w:rsidRDefault="00E4510C" w:rsidP="008D1EC8">
      <w:pPr>
        <w:ind w:left="720" w:hanging="720"/>
        <w:rPr>
          <w:rFonts w:cs="Arial"/>
          <w:color w:val="000000" w:themeColor="text1"/>
        </w:rPr>
      </w:pPr>
      <w:r>
        <w:rPr>
          <w:rFonts w:cs="Arial"/>
          <w:color w:val="000000" w:themeColor="text1"/>
        </w:rPr>
        <w:tab/>
        <w:t xml:space="preserve">(Appendices </w:t>
      </w:r>
      <w:r w:rsidR="004F04ED">
        <w:rPr>
          <w:rFonts w:cs="Arial"/>
          <w:color w:val="000000" w:themeColor="text1"/>
        </w:rPr>
        <w:t>V, VI</w:t>
      </w:r>
      <w:r>
        <w:rPr>
          <w:rFonts w:cs="Arial"/>
          <w:color w:val="000000" w:themeColor="text1"/>
        </w:rPr>
        <w:t>)</w:t>
      </w:r>
    </w:p>
    <w:p w14:paraId="6FCE2D45" w14:textId="77777777" w:rsidR="00E4510C" w:rsidRDefault="00E4510C" w:rsidP="00C57D3A">
      <w:pPr>
        <w:ind w:left="720" w:hanging="720"/>
        <w:rPr>
          <w:rFonts w:cs="Arial"/>
          <w:color w:val="000000" w:themeColor="text1"/>
        </w:rPr>
      </w:pPr>
    </w:p>
    <w:p w14:paraId="06622F11" w14:textId="709E08CF" w:rsidR="00C57D3A" w:rsidRDefault="00C57D3A" w:rsidP="00C57D3A">
      <w:pPr>
        <w:ind w:left="720" w:hanging="720"/>
        <w:rPr>
          <w:rFonts w:cs="Arial"/>
          <w:b/>
          <w:bCs/>
          <w:color w:val="000000" w:themeColor="text1"/>
        </w:rPr>
      </w:pPr>
      <w:r w:rsidRPr="00C57D3A">
        <w:rPr>
          <w:rFonts w:cs="Arial"/>
          <w:b/>
          <w:bCs/>
          <w:color w:val="000000" w:themeColor="text1"/>
        </w:rPr>
        <w:t>***IN CONFIDENCE***</w:t>
      </w:r>
    </w:p>
    <w:p w14:paraId="7F0A9884" w14:textId="77777777" w:rsidR="00CE580D" w:rsidRDefault="00CE580D" w:rsidP="00C57D3A">
      <w:pPr>
        <w:ind w:left="720" w:hanging="720"/>
        <w:rPr>
          <w:rFonts w:cs="Arial"/>
          <w:b/>
          <w:bCs/>
          <w:color w:val="000000" w:themeColor="text1"/>
        </w:rPr>
      </w:pPr>
    </w:p>
    <w:p w14:paraId="125BBA05" w14:textId="77777777" w:rsidR="00CE580D" w:rsidRDefault="00CE580D" w:rsidP="00CE580D">
      <w:pPr>
        <w:pStyle w:val="paragraph"/>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b/>
          <w:bCs/>
        </w:rPr>
        <w:t>NOT FOR PUBLICATION SCHEDULE 5 – A CLAIM TO LEGAL OR PROFESSIONAL PRIVILEGE</w:t>
      </w:r>
      <w:r>
        <w:rPr>
          <w:rStyle w:val="eop"/>
          <w:rFonts w:ascii="Arial" w:eastAsiaTheme="majorEastAsia" w:hAnsi="Arial" w:cs="Arial"/>
        </w:rPr>
        <w:t> </w:t>
      </w:r>
    </w:p>
    <w:p w14:paraId="096DD050" w14:textId="77777777" w:rsidR="005D6E22" w:rsidRDefault="005D6E22" w:rsidP="00CE580D">
      <w:pPr>
        <w:pStyle w:val="paragraph"/>
        <w:spacing w:before="0" w:beforeAutospacing="0" w:after="0" w:afterAutospacing="0"/>
        <w:textAlignment w:val="baseline"/>
        <w:rPr>
          <w:rFonts w:ascii="Segoe UI" w:hAnsi="Segoe UI" w:cs="Segoe UI"/>
          <w:sz w:val="18"/>
          <w:szCs w:val="18"/>
        </w:rPr>
      </w:pPr>
    </w:p>
    <w:p w14:paraId="4DA5A647" w14:textId="77777777" w:rsidR="005D6E22" w:rsidRDefault="005D6E22" w:rsidP="00CE580D">
      <w:pPr>
        <w:pStyle w:val="paragraph"/>
        <w:spacing w:before="0" w:beforeAutospacing="0" w:after="0" w:afterAutospacing="0"/>
        <w:textAlignment w:val="baseline"/>
        <w:rPr>
          <w:rStyle w:val="normaltextrun"/>
          <w:rFonts w:ascii="Arial" w:eastAsiaTheme="majorEastAsia" w:hAnsi="Arial" w:cs="Arial"/>
          <w:color w:val="000000"/>
        </w:rPr>
      </w:pPr>
      <w:r>
        <w:rPr>
          <w:rStyle w:val="normaltextrun"/>
          <w:rFonts w:ascii="Arial" w:eastAsiaTheme="majorEastAsia" w:hAnsi="Arial" w:cs="Arial"/>
          <w:color w:val="000000"/>
        </w:rPr>
        <w:t xml:space="preserve">The </w:t>
      </w:r>
      <w:r w:rsidR="00CE580D">
        <w:rPr>
          <w:rStyle w:val="normaltextrun"/>
          <w:rFonts w:ascii="Arial" w:eastAsiaTheme="majorEastAsia" w:hAnsi="Arial" w:cs="Arial"/>
          <w:color w:val="000000"/>
        </w:rPr>
        <w:t>Council was asked to consider a request from NatWest to renew the Ulster Bank Mobile Banking Unit licences until end of February 2028 for Council Land at</w:t>
      </w:r>
    </w:p>
    <w:p w14:paraId="63FC109B" w14:textId="33E0AEFB" w:rsidR="00CE580D" w:rsidRDefault="00CE580D" w:rsidP="00CE580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rPr>
        <w:t> </w:t>
      </w:r>
    </w:p>
    <w:p w14:paraId="5815EC63" w14:textId="77777777" w:rsidR="00CE580D" w:rsidRDefault="00CE580D" w:rsidP="00CE580D">
      <w:pPr>
        <w:pStyle w:val="paragraph"/>
        <w:numPr>
          <w:ilvl w:val="0"/>
          <w:numId w:val="10"/>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rPr>
        <w:t xml:space="preserve">The Green, </w:t>
      </w:r>
      <w:proofErr w:type="spellStart"/>
      <w:r>
        <w:rPr>
          <w:rStyle w:val="normaltextrun"/>
          <w:rFonts w:ascii="Arial" w:eastAsiaTheme="majorEastAsia" w:hAnsi="Arial" w:cs="Arial"/>
          <w:color w:val="000000"/>
        </w:rPr>
        <w:t>Kircubbin</w:t>
      </w:r>
      <w:proofErr w:type="spellEnd"/>
      <w:r>
        <w:rPr>
          <w:rStyle w:val="eop"/>
          <w:rFonts w:ascii="Arial" w:eastAsiaTheme="majorEastAsia" w:hAnsi="Arial" w:cs="Arial"/>
          <w:color w:val="000000"/>
        </w:rPr>
        <w:t> </w:t>
      </w:r>
    </w:p>
    <w:p w14:paraId="5C1A8940" w14:textId="77777777" w:rsidR="00CE580D" w:rsidRDefault="00CE580D" w:rsidP="00CE580D">
      <w:pPr>
        <w:pStyle w:val="paragraph"/>
        <w:numPr>
          <w:ilvl w:val="0"/>
          <w:numId w:val="11"/>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rPr>
        <w:t>Lemon’s Wharf, Donaghadee </w:t>
      </w:r>
      <w:r>
        <w:rPr>
          <w:rStyle w:val="eop"/>
          <w:rFonts w:ascii="Arial" w:eastAsiaTheme="majorEastAsia" w:hAnsi="Arial" w:cs="Arial"/>
          <w:color w:val="000000"/>
        </w:rPr>
        <w:t> </w:t>
      </w:r>
    </w:p>
    <w:p w14:paraId="0E5F9A6E" w14:textId="77777777" w:rsidR="005D6E22" w:rsidRDefault="005D6E22" w:rsidP="00CE580D">
      <w:pPr>
        <w:pStyle w:val="paragraph"/>
        <w:shd w:val="clear" w:color="auto" w:fill="FFFFFF"/>
        <w:spacing w:before="0" w:beforeAutospacing="0" w:after="0" w:afterAutospacing="0"/>
        <w:textAlignment w:val="baseline"/>
        <w:rPr>
          <w:rStyle w:val="normaltextrun"/>
          <w:rFonts w:ascii="Arial" w:eastAsiaTheme="majorEastAsia" w:hAnsi="Arial" w:cs="Arial"/>
        </w:rPr>
      </w:pPr>
    </w:p>
    <w:p w14:paraId="01103CB0" w14:textId="44683FEE" w:rsidR="00CE580D" w:rsidRDefault="00CE580D" w:rsidP="00CE580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The recommendation was that </w:t>
      </w:r>
      <w:r w:rsidR="005D6E22">
        <w:rPr>
          <w:rStyle w:val="normaltextrun"/>
          <w:rFonts w:ascii="Arial" w:eastAsiaTheme="majorEastAsia" w:hAnsi="Arial" w:cs="Arial"/>
        </w:rPr>
        <w:t xml:space="preserve">the </w:t>
      </w:r>
      <w:r>
        <w:rPr>
          <w:rStyle w:val="normaltextrun"/>
          <w:rFonts w:ascii="Arial" w:eastAsiaTheme="majorEastAsia" w:hAnsi="Arial" w:cs="Arial"/>
        </w:rPr>
        <w:t>Council accede to the request, subject to the terms and conditions outlined.  </w:t>
      </w:r>
      <w:r>
        <w:rPr>
          <w:rStyle w:val="eop"/>
          <w:rFonts w:ascii="Arial" w:eastAsiaTheme="majorEastAsia" w:hAnsi="Arial" w:cs="Arial"/>
        </w:rPr>
        <w:t> </w:t>
      </w:r>
    </w:p>
    <w:p w14:paraId="6302041D" w14:textId="77777777" w:rsidR="008D1EC8" w:rsidRDefault="008D1EC8" w:rsidP="008D1EC8">
      <w:pPr>
        <w:rPr>
          <w:rFonts w:cs="Arial"/>
          <w:color w:val="000000" w:themeColor="text1"/>
        </w:rPr>
      </w:pPr>
    </w:p>
    <w:p w14:paraId="7F25CB39" w14:textId="6B78A8E5" w:rsidR="00D942C5" w:rsidRPr="00B03C33" w:rsidRDefault="008D1EC8" w:rsidP="00B03C33">
      <w:pPr>
        <w:pStyle w:val="Heading1"/>
        <w:ind w:left="720" w:hanging="720"/>
        <w:rPr>
          <w:b/>
          <w:bCs/>
          <w:u w:val="single"/>
        </w:rPr>
      </w:pPr>
      <w:r w:rsidRPr="00B03C33">
        <w:rPr>
          <w:b/>
          <w:bCs/>
        </w:rPr>
        <w:t>12.</w:t>
      </w:r>
      <w:r w:rsidRPr="00B03C33">
        <w:rPr>
          <w:b/>
          <w:bCs/>
        </w:rPr>
        <w:tab/>
      </w:r>
      <w:r w:rsidR="00D942C5" w:rsidRPr="00B03C33">
        <w:rPr>
          <w:rFonts w:eastAsia="Calibri"/>
          <w:b/>
          <w:bCs/>
          <w:u w:val="single"/>
        </w:rPr>
        <w:t xml:space="preserve">Request to access Council Land at Gregstown from Castle Gardens Primary School </w:t>
      </w:r>
    </w:p>
    <w:p w14:paraId="0F129073" w14:textId="00820083" w:rsidR="008D1EC8" w:rsidRPr="00B03C33" w:rsidRDefault="00B03C33" w:rsidP="00B03C33">
      <w:pPr>
        <w:rPr>
          <w:rFonts w:cs="Arial"/>
          <w:color w:val="000000" w:themeColor="text1"/>
        </w:rPr>
      </w:pPr>
      <w:r w:rsidRPr="00B03C33">
        <w:rPr>
          <w:rFonts w:cs="Arial"/>
          <w:color w:val="000000" w:themeColor="text1"/>
        </w:rPr>
        <w:tab/>
        <w:t xml:space="preserve">(Appendices </w:t>
      </w:r>
      <w:r w:rsidR="004F04ED">
        <w:rPr>
          <w:rFonts w:cs="Arial"/>
          <w:color w:val="000000" w:themeColor="text1"/>
        </w:rPr>
        <w:t>VII, VIII</w:t>
      </w:r>
      <w:r w:rsidRPr="00B03C33">
        <w:rPr>
          <w:rFonts w:cs="Arial"/>
          <w:color w:val="000000" w:themeColor="text1"/>
        </w:rPr>
        <w:t>)</w:t>
      </w:r>
    </w:p>
    <w:p w14:paraId="547990FE" w14:textId="77777777" w:rsidR="00B03C33" w:rsidRDefault="00B03C33" w:rsidP="00B03C33">
      <w:pPr>
        <w:rPr>
          <w:rFonts w:cs="Arial"/>
          <w:caps/>
          <w:color w:val="000000" w:themeColor="text1"/>
        </w:rPr>
      </w:pPr>
    </w:p>
    <w:p w14:paraId="59DA15BF" w14:textId="515C95ED" w:rsidR="00B031C4" w:rsidRDefault="00B031C4" w:rsidP="00B03C33">
      <w:pPr>
        <w:rPr>
          <w:rFonts w:cs="Arial"/>
          <w:b/>
          <w:bCs/>
          <w:caps/>
          <w:color w:val="000000" w:themeColor="text1"/>
        </w:rPr>
      </w:pPr>
      <w:r w:rsidRPr="00B031C4">
        <w:rPr>
          <w:rFonts w:cs="Arial"/>
          <w:b/>
          <w:bCs/>
          <w:caps/>
          <w:color w:val="000000" w:themeColor="text1"/>
        </w:rPr>
        <w:t>***IN CONFIDENCE***</w:t>
      </w:r>
    </w:p>
    <w:p w14:paraId="2781131C" w14:textId="77777777" w:rsidR="005D6E22" w:rsidRDefault="005D6E22" w:rsidP="00B03C33">
      <w:pPr>
        <w:rPr>
          <w:rFonts w:cs="Arial"/>
          <w:b/>
          <w:bCs/>
          <w:caps/>
          <w:color w:val="000000" w:themeColor="text1"/>
        </w:rPr>
      </w:pPr>
    </w:p>
    <w:p w14:paraId="1E0FA2AF" w14:textId="77777777" w:rsidR="005D6E22" w:rsidRDefault="005D6E22" w:rsidP="005D6E2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NOT FOR PUBLICATION SCHEDULE 5 – A CLAIM TO LEGAL OR PROFESSIONAL PRIVILEGE</w:t>
      </w:r>
      <w:r>
        <w:rPr>
          <w:rStyle w:val="eop"/>
          <w:rFonts w:ascii="Arial" w:eastAsiaTheme="majorEastAsia" w:hAnsi="Arial" w:cs="Arial"/>
        </w:rPr>
        <w:t> </w:t>
      </w:r>
    </w:p>
    <w:p w14:paraId="5DA6DB64" w14:textId="77777777" w:rsidR="005D6E22" w:rsidRDefault="005D6E22" w:rsidP="005D6E22">
      <w:pPr>
        <w:pStyle w:val="paragraph"/>
        <w:spacing w:before="0" w:beforeAutospacing="0" w:after="0" w:afterAutospacing="0"/>
        <w:textAlignment w:val="baseline"/>
        <w:rPr>
          <w:rStyle w:val="normaltextrun"/>
          <w:rFonts w:ascii="Arial" w:eastAsiaTheme="majorEastAsia" w:hAnsi="Arial" w:cs="Arial"/>
          <w:color w:val="000000"/>
        </w:rPr>
      </w:pPr>
    </w:p>
    <w:p w14:paraId="58E0E3D2" w14:textId="35B070F1" w:rsidR="005D6E22" w:rsidRDefault="005D6E22" w:rsidP="005D6E2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rPr>
        <w:t>The Council was asked to consider a request from Castle Gardens Primary School, Newtownards to directly access Council land at Gregstown via the installation of a gate from the school grounds.  </w:t>
      </w:r>
      <w:r>
        <w:rPr>
          <w:rStyle w:val="eop"/>
          <w:rFonts w:ascii="Arial" w:eastAsiaTheme="majorEastAsia" w:hAnsi="Arial" w:cs="Arial"/>
          <w:color w:val="000000"/>
        </w:rPr>
        <w:t> </w:t>
      </w:r>
    </w:p>
    <w:p w14:paraId="4690DDBC" w14:textId="77777777" w:rsidR="005D6E22" w:rsidRDefault="005D6E22" w:rsidP="005D6E2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E974519" w14:textId="659ED78E" w:rsidR="005D6E22" w:rsidRDefault="005D6E22" w:rsidP="005D6E2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The recommendation was that the Council accede to the request, subject to the terms and conditions outlined in the report.  </w:t>
      </w:r>
      <w:r>
        <w:rPr>
          <w:rStyle w:val="eop"/>
          <w:rFonts w:ascii="Arial" w:eastAsiaTheme="majorEastAsia" w:hAnsi="Arial" w:cs="Arial"/>
        </w:rPr>
        <w:t> </w:t>
      </w:r>
    </w:p>
    <w:p w14:paraId="7473EB1D" w14:textId="77777777" w:rsidR="005D6E22" w:rsidRPr="00B031C4" w:rsidRDefault="005D6E22" w:rsidP="00B03C33">
      <w:pPr>
        <w:rPr>
          <w:rFonts w:cs="Arial"/>
          <w:b/>
          <w:bCs/>
          <w:caps/>
          <w:color w:val="000000" w:themeColor="text1"/>
        </w:rPr>
      </w:pPr>
    </w:p>
    <w:p w14:paraId="5432AB04" w14:textId="158A01DB" w:rsidR="00D942C5" w:rsidRPr="00750B19" w:rsidRDefault="00750B19" w:rsidP="00750B19">
      <w:pPr>
        <w:pStyle w:val="Heading1"/>
        <w:ind w:left="720" w:hanging="720"/>
        <w:rPr>
          <w:b/>
          <w:bCs/>
        </w:rPr>
      </w:pPr>
      <w:r w:rsidRPr="00750B19">
        <w:rPr>
          <w:b/>
          <w:bCs/>
        </w:rPr>
        <w:t>13.</w:t>
      </w:r>
      <w:r w:rsidRPr="00750B19">
        <w:rPr>
          <w:b/>
          <w:bCs/>
        </w:rPr>
        <w:tab/>
      </w:r>
      <w:r w:rsidR="00D942C5" w:rsidRPr="00750B19">
        <w:rPr>
          <w:rFonts w:eastAsia="Calibri"/>
          <w:b/>
          <w:bCs/>
          <w:u w:val="single"/>
        </w:rPr>
        <w:t>Request from NIE for a Wayleave over Council land at Islandview Pitch, Greyabbey</w:t>
      </w:r>
      <w:r w:rsidR="00D942C5" w:rsidRPr="00750B19">
        <w:rPr>
          <w:b/>
          <w:bCs/>
        </w:rPr>
        <w:t xml:space="preserve"> </w:t>
      </w:r>
    </w:p>
    <w:p w14:paraId="4AA63FD3" w14:textId="7D625FDA" w:rsidR="00750B19" w:rsidRDefault="004F04ED" w:rsidP="00750B19">
      <w:pPr>
        <w:ind w:left="720" w:hanging="720"/>
        <w:rPr>
          <w:rFonts w:cs="Arial"/>
          <w:color w:val="000000" w:themeColor="text1"/>
        </w:rPr>
      </w:pPr>
      <w:r>
        <w:rPr>
          <w:rFonts w:cs="Arial"/>
          <w:color w:val="000000" w:themeColor="text1"/>
        </w:rPr>
        <w:tab/>
        <w:t>(Appendix IX)</w:t>
      </w:r>
    </w:p>
    <w:p w14:paraId="20FA304F" w14:textId="77777777" w:rsidR="004F04ED" w:rsidRDefault="004F04ED" w:rsidP="00750B19">
      <w:pPr>
        <w:ind w:left="720" w:hanging="720"/>
        <w:rPr>
          <w:rFonts w:cs="Arial"/>
          <w:color w:val="000000" w:themeColor="text1"/>
        </w:rPr>
      </w:pPr>
    </w:p>
    <w:p w14:paraId="6F0A97F8" w14:textId="4B39D5FD" w:rsidR="00750B19" w:rsidRDefault="00750B19" w:rsidP="00750B19">
      <w:pPr>
        <w:ind w:left="720" w:hanging="720"/>
        <w:rPr>
          <w:rFonts w:cs="Arial"/>
          <w:b/>
          <w:bCs/>
          <w:color w:val="000000" w:themeColor="text1"/>
        </w:rPr>
      </w:pPr>
      <w:r w:rsidRPr="00750B19">
        <w:rPr>
          <w:rFonts w:cs="Arial"/>
          <w:b/>
          <w:bCs/>
          <w:color w:val="000000" w:themeColor="text1"/>
        </w:rPr>
        <w:t>***IN CONFIDENCE***</w:t>
      </w:r>
    </w:p>
    <w:p w14:paraId="34D0E6F2" w14:textId="77777777" w:rsidR="005D6E22" w:rsidRDefault="005D6E22" w:rsidP="00750B19">
      <w:pPr>
        <w:ind w:left="720" w:hanging="720"/>
        <w:rPr>
          <w:rFonts w:cs="Arial"/>
          <w:b/>
          <w:bCs/>
          <w:color w:val="000000" w:themeColor="text1"/>
        </w:rPr>
      </w:pPr>
    </w:p>
    <w:p w14:paraId="0C022C8E" w14:textId="7D5A5A19" w:rsidR="005D6E22" w:rsidRDefault="005D6E22" w:rsidP="005D6E2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The Council was asked to consider a request from NIE for Wayleave over Council land at </w:t>
      </w:r>
      <w:proofErr w:type="spellStart"/>
      <w:r>
        <w:rPr>
          <w:rStyle w:val="normaltextrun"/>
          <w:rFonts w:ascii="Arial" w:eastAsiaTheme="majorEastAsia" w:hAnsi="Arial" w:cs="Arial"/>
        </w:rPr>
        <w:t>Islandview</w:t>
      </w:r>
      <w:proofErr w:type="spellEnd"/>
      <w:r>
        <w:rPr>
          <w:rStyle w:val="normaltextrun"/>
          <w:rFonts w:ascii="Arial" w:eastAsiaTheme="majorEastAsia" w:hAnsi="Arial" w:cs="Arial"/>
        </w:rPr>
        <w:t>, Greyabbey. </w:t>
      </w:r>
      <w:r>
        <w:rPr>
          <w:rStyle w:val="eop"/>
          <w:rFonts w:ascii="Arial" w:eastAsiaTheme="majorEastAsia" w:hAnsi="Arial" w:cs="Arial"/>
        </w:rPr>
        <w:t> </w:t>
      </w:r>
    </w:p>
    <w:p w14:paraId="4A73F2DE" w14:textId="77777777" w:rsidR="005D6E22" w:rsidRDefault="005D6E22" w:rsidP="005D6E2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5D38F9BA" w14:textId="0DDB6F33" w:rsidR="005D6E22" w:rsidRDefault="005D6E22" w:rsidP="005D6E22">
      <w:pPr>
        <w:pStyle w:val="paragraph"/>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rPr>
        <w:lastRenderedPageBreak/>
        <w:t>The recommendation was that the Council accede to the request, subject to the terms and conditions outlined.  </w:t>
      </w:r>
      <w:r>
        <w:rPr>
          <w:rStyle w:val="eop"/>
          <w:rFonts w:ascii="Arial" w:eastAsiaTheme="majorEastAsia" w:hAnsi="Arial" w:cs="Arial"/>
        </w:rPr>
        <w:t> </w:t>
      </w:r>
    </w:p>
    <w:p w14:paraId="2CAC5548" w14:textId="77777777" w:rsidR="005D6E22" w:rsidRDefault="005D6E22" w:rsidP="005D6E22">
      <w:pPr>
        <w:pStyle w:val="paragraph"/>
        <w:spacing w:before="0" w:beforeAutospacing="0" w:after="0" w:afterAutospacing="0"/>
        <w:textAlignment w:val="baseline"/>
        <w:rPr>
          <w:rFonts w:ascii="Segoe UI" w:hAnsi="Segoe UI" w:cs="Segoe UI"/>
          <w:sz w:val="18"/>
          <w:szCs w:val="18"/>
        </w:rPr>
      </w:pPr>
    </w:p>
    <w:p w14:paraId="05185778" w14:textId="5ECDBB0A" w:rsidR="003C3E35" w:rsidRDefault="003C3E35" w:rsidP="002F04DC">
      <w:pPr>
        <w:pStyle w:val="Heading1"/>
        <w:ind w:left="720" w:hanging="720"/>
        <w:rPr>
          <w:b/>
          <w:bCs/>
        </w:rPr>
      </w:pPr>
      <w:r w:rsidRPr="003C3E35">
        <w:rPr>
          <w:b/>
          <w:bCs/>
        </w:rPr>
        <w:t>14.</w:t>
      </w:r>
      <w:r w:rsidRPr="003C3E35">
        <w:rPr>
          <w:b/>
          <w:bCs/>
        </w:rPr>
        <w:tab/>
      </w:r>
      <w:r w:rsidR="00D942C5" w:rsidRPr="003C3E35">
        <w:rPr>
          <w:rFonts w:eastAsia="Calibri"/>
          <w:b/>
          <w:bCs/>
          <w:u w:val="single"/>
        </w:rPr>
        <w:t>Sale of Land and Property at Hamilton Road, Bangor - Variation of Conditions</w:t>
      </w:r>
      <w:r w:rsidR="00D942C5" w:rsidRPr="003C3E35">
        <w:rPr>
          <w:b/>
          <w:bCs/>
        </w:rPr>
        <w:t xml:space="preserve"> </w:t>
      </w:r>
    </w:p>
    <w:p w14:paraId="691C3060" w14:textId="5FA0471B" w:rsidR="002F04DC" w:rsidRPr="002F04DC" w:rsidRDefault="002F04DC" w:rsidP="002F04DC">
      <w:r>
        <w:rPr>
          <w:b/>
          <w:bCs/>
        </w:rPr>
        <w:tab/>
      </w:r>
      <w:r>
        <w:t xml:space="preserve">(Appendix </w:t>
      </w:r>
      <w:r w:rsidR="004F04ED">
        <w:t>X</w:t>
      </w:r>
      <w:r>
        <w:t>)</w:t>
      </w:r>
    </w:p>
    <w:p w14:paraId="2F8D7F4A" w14:textId="77777777" w:rsidR="002F04DC" w:rsidRPr="002F04DC" w:rsidRDefault="002F04DC" w:rsidP="002F04DC">
      <w:pPr>
        <w:rPr>
          <w:b/>
          <w:bCs/>
        </w:rPr>
      </w:pPr>
    </w:p>
    <w:p w14:paraId="29386F9B" w14:textId="6C6EB888" w:rsidR="002F04DC" w:rsidRDefault="002F04DC" w:rsidP="002F04DC">
      <w:pPr>
        <w:rPr>
          <w:b/>
          <w:bCs/>
        </w:rPr>
      </w:pPr>
      <w:r w:rsidRPr="002F04DC">
        <w:rPr>
          <w:b/>
          <w:bCs/>
        </w:rPr>
        <w:t>***IN CONFIDENCE***</w:t>
      </w:r>
    </w:p>
    <w:p w14:paraId="03150C77" w14:textId="77777777" w:rsidR="005D6E22" w:rsidRDefault="005D6E22" w:rsidP="002F04DC">
      <w:pPr>
        <w:rPr>
          <w:b/>
          <w:bCs/>
        </w:rPr>
      </w:pPr>
    </w:p>
    <w:p w14:paraId="29EC15C8" w14:textId="77777777" w:rsidR="005D6E22" w:rsidRDefault="005D6E22" w:rsidP="005D6E2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3. Exemption: relating to the financial or business affairs of any particular person</w:t>
      </w:r>
      <w:r>
        <w:rPr>
          <w:rStyle w:val="eop"/>
          <w:rFonts w:ascii="Arial" w:eastAsiaTheme="majorEastAsia" w:hAnsi="Arial" w:cs="Arial"/>
        </w:rPr>
        <w:t> </w:t>
      </w:r>
    </w:p>
    <w:p w14:paraId="610C5AC4" w14:textId="77777777" w:rsidR="005D6E22" w:rsidRDefault="005D6E22" w:rsidP="005D6E22">
      <w:pPr>
        <w:pStyle w:val="paragraph"/>
        <w:spacing w:before="0" w:beforeAutospacing="0" w:after="0" w:afterAutospacing="0"/>
        <w:textAlignment w:val="baseline"/>
        <w:rPr>
          <w:rStyle w:val="eop"/>
          <w:rFonts w:ascii="Arial" w:eastAsiaTheme="majorEastAsia" w:hAnsi="Arial" w:cs="Arial"/>
          <w:color w:val="000000"/>
        </w:rPr>
      </w:pPr>
      <w:r>
        <w:rPr>
          <w:rStyle w:val="normaltextrun"/>
          <w:rFonts w:ascii="Arial" w:eastAsiaTheme="majorEastAsia" w:hAnsi="Arial" w:cs="Arial"/>
          <w:color w:val="000000"/>
        </w:rPr>
        <w:t>Council was asked to approve an offer by a bidder in relation to the sale of land and property at Hamilton Road.</w:t>
      </w:r>
      <w:r>
        <w:rPr>
          <w:rStyle w:val="eop"/>
          <w:rFonts w:ascii="Arial" w:eastAsiaTheme="majorEastAsia" w:hAnsi="Arial" w:cs="Arial"/>
          <w:color w:val="000000"/>
        </w:rPr>
        <w:t> </w:t>
      </w:r>
    </w:p>
    <w:p w14:paraId="2DC31F8B" w14:textId="77777777" w:rsidR="005D6E22" w:rsidRDefault="005D6E22" w:rsidP="005D6E22">
      <w:pPr>
        <w:pStyle w:val="paragraph"/>
        <w:spacing w:before="0" w:beforeAutospacing="0" w:after="0" w:afterAutospacing="0"/>
        <w:textAlignment w:val="baseline"/>
        <w:rPr>
          <w:rFonts w:ascii="Segoe UI" w:hAnsi="Segoe UI" w:cs="Segoe UI"/>
          <w:sz w:val="18"/>
          <w:szCs w:val="18"/>
        </w:rPr>
      </w:pPr>
    </w:p>
    <w:p w14:paraId="32030B7D" w14:textId="77777777" w:rsidR="005D6E22" w:rsidRDefault="005D6E22" w:rsidP="005D6E2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rPr>
        <w:t>The recommendation was to accept the offer.    </w:t>
      </w:r>
      <w:r>
        <w:rPr>
          <w:rStyle w:val="eop"/>
          <w:rFonts w:ascii="Arial" w:eastAsiaTheme="majorEastAsia" w:hAnsi="Arial" w:cs="Arial"/>
          <w:color w:val="000000"/>
        </w:rPr>
        <w:t> </w:t>
      </w:r>
    </w:p>
    <w:p w14:paraId="673981BF" w14:textId="77777777" w:rsidR="003D2236" w:rsidRPr="0049471F" w:rsidRDefault="003D2236" w:rsidP="0049471F">
      <w:pPr>
        <w:rPr>
          <w:rFonts w:cs="Arial"/>
          <w:color w:val="000000" w:themeColor="text1"/>
        </w:rPr>
      </w:pPr>
    </w:p>
    <w:p w14:paraId="3659E3BB" w14:textId="31B5A412" w:rsidR="00D942C5" w:rsidRPr="003D2236" w:rsidRDefault="00C75C24" w:rsidP="003D2236">
      <w:pPr>
        <w:pStyle w:val="Heading1"/>
        <w:ind w:left="720" w:hanging="720"/>
        <w:rPr>
          <w:b/>
          <w:bCs/>
          <w:u w:val="single"/>
        </w:rPr>
      </w:pPr>
      <w:r w:rsidRPr="003D2236">
        <w:rPr>
          <w:b/>
          <w:bCs/>
        </w:rPr>
        <w:t>15.</w:t>
      </w:r>
      <w:r w:rsidRPr="003D2236">
        <w:rPr>
          <w:b/>
          <w:bCs/>
        </w:rPr>
        <w:tab/>
      </w:r>
      <w:r w:rsidR="00D942C5" w:rsidRPr="003D2236">
        <w:rPr>
          <w:b/>
          <w:bCs/>
          <w:u w:val="single"/>
        </w:rPr>
        <w:t>Acquisition of Land for Greenway</w:t>
      </w:r>
      <w:r w:rsidR="00AF659B">
        <w:rPr>
          <w:b/>
          <w:bCs/>
          <w:u w:val="single"/>
        </w:rPr>
        <w:t xml:space="preserve"> </w:t>
      </w:r>
      <w:r w:rsidR="00D942C5" w:rsidRPr="003D2236">
        <w:rPr>
          <w:b/>
          <w:bCs/>
          <w:u w:val="single"/>
        </w:rPr>
        <w:t xml:space="preserve">- land at Bangor Road </w:t>
      </w:r>
    </w:p>
    <w:p w14:paraId="713A84D9" w14:textId="4E3B4E93" w:rsidR="00C75C24" w:rsidRDefault="003D2236" w:rsidP="00C75C24">
      <w:pPr>
        <w:rPr>
          <w:rFonts w:cs="Arial"/>
          <w:color w:val="000000" w:themeColor="text1"/>
        </w:rPr>
      </w:pPr>
      <w:r>
        <w:rPr>
          <w:rFonts w:cs="Arial"/>
          <w:color w:val="000000" w:themeColor="text1"/>
        </w:rPr>
        <w:tab/>
        <w:t xml:space="preserve">(Appendix </w:t>
      </w:r>
      <w:r w:rsidR="004F04ED">
        <w:rPr>
          <w:rFonts w:cs="Arial"/>
          <w:color w:val="000000" w:themeColor="text1"/>
        </w:rPr>
        <w:t>X</w:t>
      </w:r>
      <w:r>
        <w:rPr>
          <w:rFonts w:cs="Arial"/>
          <w:color w:val="000000" w:themeColor="text1"/>
        </w:rPr>
        <w:t>)</w:t>
      </w:r>
    </w:p>
    <w:p w14:paraId="6FC9CC4A" w14:textId="77777777" w:rsidR="00CE580D" w:rsidRDefault="00CE580D" w:rsidP="00C75C24">
      <w:pPr>
        <w:rPr>
          <w:rFonts w:cs="Arial"/>
          <w:color w:val="000000" w:themeColor="text1"/>
        </w:rPr>
      </w:pPr>
    </w:p>
    <w:p w14:paraId="4A047CCF" w14:textId="77777777" w:rsidR="00CE580D" w:rsidRPr="002F04DC" w:rsidRDefault="00CE580D" w:rsidP="00CE580D">
      <w:pPr>
        <w:rPr>
          <w:b/>
          <w:bCs/>
        </w:rPr>
      </w:pPr>
      <w:r w:rsidRPr="002F04DC">
        <w:rPr>
          <w:b/>
          <w:bCs/>
        </w:rPr>
        <w:t>***IN CONFIDENCE***</w:t>
      </w:r>
    </w:p>
    <w:p w14:paraId="5B027954" w14:textId="77777777" w:rsidR="00CE580D" w:rsidRDefault="00CE580D" w:rsidP="00C75C24">
      <w:pPr>
        <w:rPr>
          <w:rFonts w:cs="Arial"/>
          <w:color w:val="000000" w:themeColor="text1"/>
        </w:rPr>
      </w:pPr>
    </w:p>
    <w:p w14:paraId="48CBF5CE" w14:textId="77777777" w:rsidR="00CE580D" w:rsidRDefault="00CE580D" w:rsidP="00CE580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rPr>
        <w:t>3. Exemption: relating to the financial or business affairs of any particular person</w:t>
      </w:r>
      <w:r>
        <w:rPr>
          <w:rStyle w:val="eop"/>
          <w:rFonts w:ascii="Arial" w:eastAsiaTheme="majorEastAsia" w:hAnsi="Arial" w:cs="Arial"/>
          <w:color w:val="000000"/>
        </w:rPr>
        <w:t> </w:t>
      </w:r>
    </w:p>
    <w:p w14:paraId="53A1AA3D" w14:textId="77777777" w:rsidR="00CE580D" w:rsidRDefault="00CE580D" w:rsidP="00CE580D">
      <w:pPr>
        <w:pStyle w:val="paragraph"/>
        <w:spacing w:before="0" w:beforeAutospacing="0" w:after="0" w:afterAutospacing="0"/>
        <w:textAlignment w:val="baseline"/>
        <w:rPr>
          <w:rStyle w:val="eop"/>
          <w:rFonts w:ascii="Arial" w:eastAsiaTheme="majorEastAsia" w:hAnsi="Arial" w:cs="Arial"/>
          <w:color w:val="000000"/>
        </w:rPr>
      </w:pPr>
      <w:r>
        <w:rPr>
          <w:rStyle w:val="normaltextrun"/>
          <w:rFonts w:ascii="Arial" w:eastAsiaTheme="majorEastAsia" w:hAnsi="Arial" w:cs="Arial"/>
          <w:color w:val="000000"/>
        </w:rPr>
        <w:t>Council was asked to agree to the acquisition of an area of land required for the Greenway at Bangor Road, Newtownards. </w:t>
      </w:r>
      <w:r>
        <w:rPr>
          <w:rStyle w:val="eop"/>
          <w:rFonts w:ascii="Arial" w:eastAsiaTheme="majorEastAsia" w:hAnsi="Arial" w:cs="Arial"/>
          <w:color w:val="000000"/>
        </w:rPr>
        <w:t> </w:t>
      </w:r>
    </w:p>
    <w:p w14:paraId="11603784" w14:textId="77777777" w:rsidR="005D6E22" w:rsidRDefault="005D6E22" w:rsidP="00CE580D">
      <w:pPr>
        <w:pStyle w:val="paragraph"/>
        <w:spacing w:before="0" w:beforeAutospacing="0" w:after="0" w:afterAutospacing="0"/>
        <w:textAlignment w:val="baseline"/>
        <w:rPr>
          <w:rFonts w:ascii="Segoe UI" w:hAnsi="Segoe UI" w:cs="Segoe UI"/>
          <w:sz w:val="18"/>
          <w:szCs w:val="18"/>
        </w:rPr>
      </w:pPr>
    </w:p>
    <w:p w14:paraId="7C0CCE28" w14:textId="77777777" w:rsidR="00CE580D" w:rsidRDefault="00CE580D" w:rsidP="00CE580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rPr>
        <w:t>The recommendation was to acquire the land with the costs being reimbursed by consultants.   </w:t>
      </w:r>
      <w:r>
        <w:rPr>
          <w:rStyle w:val="eop"/>
          <w:rFonts w:ascii="Arial" w:eastAsiaTheme="majorEastAsia" w:hAnsi="Arial" w:cs="Arial"/>
          <w:color w:val="000000"/>
        </w:rPr>
        <w:t> </w:t>
      </w:r>
    </w:p>
    <w:p w14:paraId="38CD1DAE" w14:textId="77777777" w:rsidR="00CA17DB" w:rsidRPr="0049471F" w:rsidRDefault="00CA17DB" w:rsidP="0049471F">
      <w:pPr>
        <w:rPr>
          <w:rFonts w:cs="Arial"/>
          <w:b/>
          <w:bCs/>
          <w:color w:val="000000" w:themeColor="text1"/>
        </w:rPr>
      </w:pPr>
    </w:p>
    <w:p w14:paraId="6D877B49" w14:textId="33E31060" w:rsidR="00D942C5" w:rsidRPr="00CA17DB" w:rsidRDefault="00CA17DB" w:rsidP="00CA17DB">
      <w:pPr>
        <w:pStyle w:val="Heading1"/>
        <w:ind w:left="720" w:hanging="720"/>
        <w:rPr>
          <w:b/>
          <w:bCs/>
        </w:rPr>
      </w:pPr>
      <w:r w:rsidRPr="00CA17DB">
        <w:rPr>
          <w:b/>
          <w:bCs/>
        </w:rPr>
        <w:t>16.</w:t>
      </w:r>
      <w:r w:rsidRPr="00CA17DB">
        <w:rPr>
          <w:b/>
          <w:bCs/>
        </w:rPr>
        <w:tab/>
      </w:r>
      <w:r w:rsidR="00D942C5" w:rsidRPr="00CA17DB">
        <w:rPr>
          <w:rFonts w:eastAsia="Calibri"/>
          <w:b/>
          <w:bCs/>
          <w:u w:val="single"/>
        </w:rPr>
        <w:t>Rent Review - Lease of the seabed in Portaferry including 2 seawater intake pipes</w:t>
      </w:r>
      <w:r w:rsidR="00D942C5" w:rsidRPr="00CA17DB">
        <w:rPr>
          <w:rFonts w:eastAsia="Calibri"/>
          <w:b/>
          <w:bCs/>
        </w:rPr>
        <w:t xml:space="preserve"> </w:t>
      </w:r>
    </w:p>
    <w:p w14:paraId="205991C9" w14:textId="7737D530" w:rsidR="00CA17DB" w:rsidRPr="004F04ED" w:rsidRDefault="004F04ED" w:rsidP="00CA17DB">
      <w:pPr>
        <w:rPr>
          <w:rFonts w:cs="Arial"/>
          <w:color w:val="000000" w:themeColor="text1"/>
        </w:rPr>
      </w:pPr>
      <w:r>
        <w:rPr>
          <w:rFonts w:cs="Arial"/>
          <w:caps/>
          <w:color w:val="000000" w:themeColor="text1"/>
        </w:rPr>
        <w:tab/>
        <w:t>(A</w:t>
      </w:r>
      <w:r>
        <w:rPr>
          <w:rFonts w:cs="Arial"/>
          <w:color w:val="000000" w:themeColor="text1"/>
        </w:rPr>
        <w:t>ppendix XI)</w:t>
      </w:r>
    </w:p>
    <w:p w14:paraId="0C3CC378" w14:textId="77777777" w:rsidR="004F04ED" w:rsidRDefault="004F04ED" w:rsidP="00CA17DB">
      <w:pPr>
        <w:rPr>
          <w:rFonts w:cs="Arial"/>
          <w:caps/>
          <w:color w:val="000000" w:themeColor="text1"/>
        </w:rPr>
      </w:pPr>
    </w:p>
    <w:p w14:paraId="453C63DB" w14:textId="29A9B5F7" w:rsidR="00C75C24" w:rsidRDefault="00C75C24" w:rsidP="00CA17DB">
      <w:pPr>
        <w:rPr>
          <w:rFonts w:cs="Arial"/>
          <w:b/>
          <w:bCs/>
          <w:caps/>
          <w:color w:val="000000" w:themeColor="text1"/>
        </w:rPr>
      </w:pPr>
      <w:r w:rsidRPr="00C75C24">
        <w:rPr>
          <w:rFonts w:cs="Arial"/>
          <w:b/>
          <w:bCs/>
          <w:caps/>
          <w:color w:val="000000" w:themeColor="text1"/>
        </w:rPr>
        <w:t>***IN CONFIDEnCE***</w:t>
      </w:r>
    </w:p>
    <w:p w14:paraId="1EAB23E4" w14:textId="77777777" w:rsidR="005D6E22" w:rsidRDefault="005D6E22" w:rsidP="005D6E22">
      <w:pPr>
        <w:rPr>
          <w:rFonts w:eastAsia="Arial" w:cs="Arial"/>
        </w:rPr>
      </w:pPr>
    </w:p>
    <w:p w14:paraId="66766031" w14:textId="1277F2D2" w:rsidR="005D6E22" w:rsidRPr="00E61DB6" w:rsidRDefault="005D6E22" w:rsidP="005D6E22">
      <w:pPr>
        <w:rPr>
          <w:rFonts w:eastAsia="Arial" w:cs="Arial"/>
        </w:rPr>
      </w:pPr>
      <w:r w:rsidRPr="369808FD">
        <w:rPr>
          <w:rFonts w:eastAsia="Arial" w:cs="Arial"/>
        </w:rPr>
        <w:t>5. Exemption: a claim to legal professional privilege</w:t>
      </w:r>
    </w:p>
    <w:p w14:paraId="5BB184E1" w14:textId="77777777" w:rsidR="005D6E22" w:rsidRDefault="005D6E22" w:rsidP="005D6E22">
      <w:pPr>
        <w:rPr>
          <w:rFonts w:eastAsia="Arial" w:cs="Arial"/>
          <w:color w:val="000000" w:themeColor="text1"/>
        </w:rPr>
      </w:pPr>
    </w:p>
    <w:p w14:paraId="6655287E" w14:textId="597D4CC8" w:rsidR="005D6E22" w:rsidRDefault="005D6E22" w:rsidP="005D6E22">
      <w:pPr>
        <w:rPr>
          <w:rFonts w:eastAsia="Arial" w:cs="Arial"/>
          <w:color w:val="000000" w:themeColor="text1"/>
        </w:rPr>
      </w:pPr>
      <w:r>
        <w:rPr>
          <w:rFonts w:eastAsia="Arial" w:cs="Arial"/>
          <w:color w:val="000000" w:themeColor="text1"/>
        </w:rPr>
        <w:t xml:space="preserve">The </w:t>
      </w:r>
      <w:r w:rsidRPr="369808FD">
        <w:rPr>
          <w:rFonts w:eastAsia="Arial" w:cs="Arial"/>
          <w:color w:val="000000" w:themeColor="text1"/>
        </w:rPr>
        <w:t xml:space="preserve">Council was asked to approve the revised rent in relation to the Lease from the Crown Estate of the seabed in Portaferry in accordance with rent review provisions in the Lease. </w:t>
      </w:r>
    </w:p>
    <w:p w14:paraId="7D4F5027" w14:textId="77777777" w:rsidR="005D6E22" w:rsidRDefault="005D6E22" w:rsidP="005D6E22">
      <w:pPr>
        <w:rPr>
          <w:rFonts w:eastAsia="Arial" w:cs="Arial"/>
          <w:color w:val="000000" w:themeColor="text1"/>
        </w:rPr>
      </w:pPr>
    </w:p>
    <w:p w14:paraId="6BFF4ACE" w14:textId="268CA980" w:rsidR="005D6E22" w:rsidRPr="00A176AC" w:rsidRDefault="005D6E22" w:rsidP="005D6E22">
      <w:pPr>
        <w:rPr>
          <w:rFonts w:eastAsia="Arial" w:cs="Arial"/>
          <w:color w:val="000000" w:themeColor="text1"/>
        </w:rPr>
      </w:pPr>
      <w:r w:rsidRPr="369808FD">
        <w:rPr>
          <w:rFonts w:eastAsia="Arial" w:cs="Arial"/>
          <w:color w:val="000000" w:themeColor="text1"/>
        </w:rPr>
        <w:t xml:space="preserve">The recommendation was to approve the revised rent.      </w:t>
      </w:r>
    </w:p>
    <w:p w14:paraId="365D7191" w14:textId="77777777" w:rsidR="00104D18" w:rsidRPr="0049471F" w:rsidRDefault="00104D18" w:rsidP="0049471F">
      <w:pPr>
        <w:rPr>
          <w:rFonts w:cs="Arial"/>
          <w:color w:val="000000" w:themeColor="text1"/>
        </w:rPr>
      </w:pPr>
    </w:p>
    <w:p w14:paraId="7078B2F1" w14:textId="1598DC49" w:rsidR="00D942C5" w:rsidRPr="00FF3909" w:rsidRDefault="00FF3909" w:rsidP="00FF3909">
      <w:pPr>
        <w:pStyle w:val="Heading1"/>
        <w:rPr>
          <w:b/>
          <w:bCs/>
          <w:u w:val="single"/>
        </w:rPr>
      </w:pPr>
      <w:r w:rsidRPr="00FF3909">
        <w:rPr>
          <w:b/>
          <w:bCs/>
          <w:noProof/>
        </w:rPr>
        <w:t>17.</w:t>
      </w:r>
      <w:r w:rsidRPr="00FF3909">
        <w:rPr>
          <w:b/>
          <w:bCs/>
          <w:noProof/>
        </w:rPr>
        <w:tab/>
      </w:r>
      <w:r w:rsidR="00D942C5" w:rsidRPr="00FF3909">
        <w:rPr>
          <w:rFonts w:eastAsia="Calibri"/>
          <w:b/>
          <w:bCs/>
          <w:noProof/>
          <w:u w:val="single"/>
        </w:rPr>
        <w:t xml:space="preserve">Acquisition of Land at Conlig for Tree Planting </w:t>
      </w:r>
    </w:p>
    <w:p w14:paraId="05928592" w14:textId="07FB1AFD" w:rsidR="00FF3909" w:rsidRDefault="00581297" w:rsidP="00FF3909">
      <w:pPr>
        <w:rPr>
          <w:rFonts w:cs="Arial"/>
          <w:color w:val="000000" w:themeColor="text1"/>
        </w:rPr>
      </w:pPr>
      <w:r>
        <w:rPr>
          <w:rFonts w:cs="Arial"/>
          <w:color w:val="000000" w:themeColor="text1"/>
        </w:rPr>
        <w:tab/>
        <w:t xml:space="preserve">(Appendices </w:t>
      </w:r>
      <w:r w:rsidR="004F04ED">
        <w:rPr>
          <w:rFonts w:cs="Arial"/>
          <w:color w:val="000000" w:themeColor="text1"/>
        </w:rPr>
        <w:t>XII, XIII, XIV, XV</w:t>
      </w:r>
      <w:r>
        <w:rPr>
          <w:rFonts w:cs="Arial"/>
          <w:color w:val="000000" w:themeColor="text1"/>
        </w:rPr>
        <w:t>)</w:t>
      </w:r>
    </w:p>
    <w:p w14:paraId="5EBD2B02" w14:textId="77777777" w:rsidR="00581297" w:rsidRDefault="00581297" w:rsidP="00FF3909">
      <w:pPr>
        <w:rPr>
          <w:rFonts w:cs="Arial"/>
          <w:color w:val="000000" w:themeColor="text1"/>
        </w:rPr>
      </w:pPr>
    </w:p>
    <w:p w14:paraId="53FE8779" w14:textId="1C163670" w:rsidR="00C75C24" w:rsidRDefault="00C75C24" w:rsidP="00FF3909">
      <w:pPr>
        <w:rPr>
          <w:rFonts w:cs="Arial"/>
          <w:b/>
          <w:bCs/>
          <w:color w:val="000000" w:themeColor="text1"/>
        </w:rPr>
      </w:pPr>
      <w:r w:rsidRPr="00C75C24">
        <w:rPr>
          <w:rFonts w:cs="Arial"/>
          <w:b/>
          <w:bCs/>
          <w:color w:val="000000" w:themeColor="text1"/>
        </w:rPr>
        <w:t>***IN CONFIDENCE***</w:t>
      </w:r>
    </w:p>
    <w:p w14:paraId="3B1604AF" w14:textId="77777777" w:rsidR="00CE580D" w:rsidRDefault="00CE580D" w:rsidP="00FF3909">
      <w:pPr>
        <w:rPr>
          <w:rFonts w:cs="Arial"/>
          <w:b/>
          <w:bCs/>
          <w:color w:val="000000" w:themeColor="text1"/>
        </w:rPr>
      </w:pPr>
    </w:p>
    <w:p w14:paraId="297FEE40" w14:textId="77777777" w:rsidR="00CE580D" w:rsidRDefault="00CE580D" w:rsidP="00CE580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3. Exemption: relating to the financial or business affairs of any particular person </w:t>
      </w:r>
      <w:r>
        <w:rPr>
          <w:rStyle w:val="eop"/>
          <w:rFonts w:ascii="Arial" w:eastAsiaTheme="majorEastAsia" w:hAnsi="Arial" w:cs="Arial"/>
        </w:rPr>
        <w:t> </w:t>
      </w:r>
    </w:p>
    <w:p w14:paraId="2BE3D3C2" w14:textId="77777777" w:rsidR="00CE580D" w:rsidRDefault="00CE580D" w:rsidP="00CE580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5E3F9064" w14:textId="50D5D410" w:rsidR="00CE580D" w:rsidRDefault="005D6E22" w:rsidP="00CE580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rPr>
        <w:lastRenderedPageBreak/>
        <w:t xml:space="preserve">The </w:t>
      </w:r>
      <w:r w:rsidR="00CE580D">
        <w:rPr>
          <w:rStyle w:val="normaltextrun"/>
          <w:rFonts w:ascii="Arial" w:eastAsiaTheme="majorEastAsia" w:hAnsi="Arial" w:cs="Arial"/>
          <w:color w:val="000000"/>
        </w:rPr>
        <w:t xml:space="preserve">Council was asked to agree the acquisition of 6 acres of land presently on the market at </w:t>
      </w:r>
      <w:proofErr w:type="spellStart"/>
      <w:r w:rsidR="00CE580D">
        <w:rPr>
          <w:rStyle w:val="normaltextrun"/>
          <w:rFonts w:ascii="Arial" w:eastAsiaTheme="majorEastAsia" w:hAnsi="Arial" w:cs="Arial"/>
          <w:color w:val="000000"/>
        </w:rPr>
        <w:t>Conlig</w:t>
      </w:r>
      <w:proofErr w:type="spellEnd"/>
      <w:r w:rsidR="00CE580D">
        <w:rPr>
          <w:rStyle w:val="normaltextrun"/>
          <w:rFonts w:ascii="Arial" w:eastAsiaTheme="majorEastAsia" w:hAnsi="Arial" w:cs="Arial"/>
          <w:color w:val="000000"/>
        </w:rPr>
        <w:t xml:space="preserve"> for the purposes of Tree Planting.</w:t>
      </w:r>
      <w:r w:rsidR="00CE580D">
        <w:rPr>
          <w:rStyle w:val="eop"/>
          <w:rFonts w:ascii="Arial" w:eastAsiaTheme="majorEastAsia" w:hAnsi="Arial" w:cs="Arial"/>
          <w:color w:val="000000"/>
        </w:rPr>
        <w:t> </w:t>
      </w:r>
    </w:p>
    <w:p w14:paraId="47934124" w14:textId="77777777" w:rsidR="00CE580D" w:rsidRDefault="00CE580D" w:rsidP="00CE580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rPr>
        <w:t> </w:t>
      </w:r>
    </w:p>
    <w:p w14:paraId="7736E2BC" w14:textId="77777777" w:rsidR="00CE580D" w:rsidRDefault="00CE580D" w:rsidP="00CE580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rPr>
        <w:t xml:space="preserve">The recommendation was to acquire the 6 acres of land </w:t>
      </w:r>
      <w:r>
        <w:rPr>
          <w:rStyle w:val="normaltextrun"/>
          <w:rFonts w:ascii="Arial" w:eastAsiaTheme="majorEastAsia" w:hAnsi="Arial" w:cs="Arial"/>
        </w:rPr>
        <w:t>for the purpose of tree planting at the best possible price within a limit to be established by its professional valuer.</w:t>
      </w:r>
      <w:r>
        <w:rPr>
          <w:rStyle w:val="eop"/>
          <w:rFonts w:ascii="Arial" w:eastAsiaTheme="majorEastAsia" w:hAnsi="Arial" w:cs="Arial"/>
        </w:rPr>
        <w:t> </w:t>
      </w:r>
    </w:p>
    <w:p w14:paraId="0FA52C47" w14:textId="77777777" w:rsidR="00CE580D" w:rsidRDefault="00CE580D" w:rsidP="00CE580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FF0000"/>
        </w:rPr>
        <w:t> </w:t>
      </w:r>
    </w:p>
    <w:p w14:paraId="53098B65" w14:textId="1D2510F4" w:rsidR="00FF3909" w:rsidRDefault="000C239D" w:rsidP="00FF3909">
      <w:pPr>
        <w:rPr>
          <w:rFonts w:cs="Arial"/>
          <w:color w:val="000000" w:themeColor="text1"/>
        </w:rPr>
      </w:pPr>
      <w:r>
        <w:rPr>
          <w:rFonts w:cs="Arial"/>
          <w:color w:val="000000" w:themeColor="text1"/>
        </w:rPr>
        <w:t xml:space="preserve">(Councillor Chambers withdrew from the meeting, via </w:t>
      </w:r>
      <w:r w:rsidR="00AF659B">
        <w:rPr>
          <w:rFonts w:cs="Arial"/>
          <w:color w:val="000000" w:themeColor="text1"/>
        </w:rPr>
        <w:t>Z</w:t>
      </w:r>
      <w:r>
        <w:rPr>
          <w:rFonts w:cs="Arial"/>
          <w:color w:val="000000" w:themeColor="text1"/>
        </w:rPr>
        <w:t>oom – 8.10 pm)</w:t>
      </w:r>
    </w:p>
    <w:p w14:paraId="07841701" w14:textId="77777777" w:rsidR="000C239D" w:rsidRPr="00FF3909" w:rsidRDefault="000C239D" w:rsidP="00FF3909">
      <w:pPr>
        <w:rPr>
          <w:rFonts w:cs="Arial"/>
          <w:color w:val="000000" w:themeColor="text1"/>
        </w:rPr>
      </w:pPr>
    </w:p>
    <w:p w14:paraId="7BC84819" w14:textId="50229826" w:rsidR="00D942C5" w:rsidRPr="00E4144A" w:rsidRDefault="00D942C5" w:rsidP="00D942C5">
      <w:pPr>
        <w:contextualSpacing/>
        <w:rPr>
          <w:rFonts w:cs="Arial"/>
          <w:b/>
          <w:bCs/>
          <w:color w:val="000000" w:themeColor="text1"/>
          <w:szCs w:val="24"/>
          <w:u w:val="single"/>
        </w:rPr>
      </w:pPr>
      <w:r w:rsidRPr="00E4144A">
        <w:rPr>
          <w:rFonts w:cs="Arial"/>
          <w:b/>
          <w:bCs/>
          <w:color w:val="000000" w:themeColor="text1"/>
          <w:szCs w:val="24"/>
          <w:u w:val="single"/>
        </w:rPr>
        <w:t>Reports for Noting</w:t>
      </w:r>
      <w:r>
        <w:rPr>
          <w:rFonts w:cs="Arial"/>
          <w:b/>
          <w:bCs/>
          <w:color w:val="000000" w:themeColor="text1"/>
          <w:szCs w:val="24"/>
          <w:u w:val="single"/>
        </w:rPr>
        <w:t>:</w:t>
      </w:r>
    </w:p>
    <w:p w14:paraId="195CB8EF" w14:textId="77777777" w:rsidR="00D45F81" w:rsidRDefault="00D45F81" w:rsidP="00D45F81">
      <w:pPr>
        <w:rPr>
          <w:rFonts w:eastAsia="Times New Roman" w:cs="Arial"/>
          <w:color w:val="000000" w:themeColor="text1"/>
          <w:szCs w:val="24"/>
        </w:rPr>
      </w:pPr>
    </w:p>
    <w:p w14:paraId="4D82F080" w14:textId="05F667CB" w:rsidR="00D942C5" w:rsidRPr="00A1003E" w:rsidRDefault="00D45F81" w:rsidP="00A1003E">
      <w:pPr>
        <w:pStyle w:val="Heading1"/>
        <w:rPr>
          <w:rFonts w:eastAsia="Times New Roman"/>
          <w:b/>
          <w:bCs/>
        </w:rPr>
      </w:pPr>
      <w:r w:rsidRPr="00A1003E">
        <w:rPr>
          <w:rFonts w:eastAsia="Times New Roman"/>
          <w:b/>
          <w:bCs/>
        </w:rPr>
        <w:t>18.</w:t>
      </w:r>
      <w:r w:rsidRPr="00A1003E">
        <w:rPr>
          <w:rFonts w:eastAsia="Times New Roman"/>
          <w:b/>
          <w:bCs/>
        </w:rPr>
        <w:tab/>
      </w:r>
      <w:r w:rsidR="00D942C5" w:rsidRPr="00A1003E">
        <w:rPr>
          <w:rFonts w:eastAsia="Times New Roman"/>
          <w:b/>
          <w:bCs/>
          <w:u w:val="single"/>
        </w:rPr>
        <w:t xml:space="preserve">Estimates </w:t>
      </w:r>
      <w:r w:rsidR="00D942C5" w:rsidRPr="00C75C24">
        <w:rPr>
          <w:rFonts w:eastAsia="Times New Roman"/>
          <w:b/>
          <w:bCs/>
          <w:u w:val="single"/>
        </w:rPr>
        <w:t xml:space="preserve">Progress </w:t>
      </w:r>
      <w:r w:rsidR="00C75C24" w:rsidRPr="00C75C24">
        <w:rPr>
          <w:rFonts w:eastAsia="Times New Roman"/>
          <w:b/>
          <w:bCs/>
          <w:u w:val="single"/>
        </w:rPr>
        <w:t>(FILE FIN169)</w:t>
      </w:r>
    </w:p>
    <w:p w14:paraId="78123925" w14:textId="104051D0" w:rsidR="00A1003E" w:rsidRPr="002F04DC" w:rsidRDefault="002F04DC" w:rsidP="00A1003E">
      <w:pPr>
        <w:rPr>
          <w:rFonts w:eastAsia="Times New Roman" w:cs="Arial"/>
          <w:color w:val="000000" w:themeColor="text1"/>
          <w:szCs w:val="24"/>
        </w:rPr>
      </w:pPr>
      <w:r>
        <w:rPr>
          <w:rFonts w:eastAsia="Times New Roman" w:cs="Arial"/>
          <w:b/>
          <w:bCs/>
          <w:color w:val="000000" w:themeColor="text1"/>
          <w:szCs w:val="24"/>
        </w:rPr>
        <w:tab/>
      </w:r>
      <w:r>
        <w:rPr>
          <w:rFonts w:eastAsia="Times New Roman" w:cs="Arial"/>
          <w:color w:val="000000" w:themeColor="text1"/>
          <w:szCs w:val="24"/>
        </w:rPr>
        <w:t xml:space="preserve">(Appendix </w:t>
      </w:r>
      <w:r w:rsidR="004F04ED">
        <w:rPr>
          <w:rFonts w:eastAsia="Times New Roman" w:cs="Arial"/>
          <w:color w:val="000000" w:themeColor="text1"/>
          <w:szCs w:val="24"/>
        </w:rPr>
        <w:t>XVI</w:t>
      </w:r>
      <w:r>
        <w:rPr>
          <w:rFonts w:eastAsia="Times New Roman" w:cs="Arial"/>
          <w:color w:val="000000" w:themeColor="text1"/>
          <w:szCs w:val="24"/>
        </w:rPr>
        <w:t>)</w:t>
      </w:r>
    </w:p>
    <w:p w14:paraId="6AFC069E" w14:textId="77777777" w:rsidR="002F04DC" w:rsidRPr="00C75C24" w:rsidRDefault="002F04DC" w:rsidP="00A1003E">
      <w:pPr>
        <w:rPr>
          <w:rFonts w:eastAsia="Times New Roman" w:cs="Arial"/>
          <w:b/>
          <w:bCs/>
          <w:color w:val="000000" w:themeColor="text1"/>
          <w:szCs w:val="24"/>
        </w:rPr>
      </w:pPr>
    </w:p>
    <w:p w14:paraId="05547960" w14:textId="5B908751" w:rsidR="00C75C24" w:rsidRDefault="00C75C24" w:rsidP="00C75C24">
      <w:pPr>
        <w:rPr>
          <w:rFonts w:eastAsia="Times New Roman" w:cs="Arial"/>
          <w:b/>
          <w:bCs/>
          <w:color w:val="000000" w:themeColor="text1"/>
          <w:szCs w:val="24"/>
        </w:rPr>
      </w:pPr>
      <w:r w:rsidRPr="00C75C24">
        <w:rPr>
          <w:rFonts w:eastAsia="Times New Roman" w:cs="Arial"/>
          <w:b/>
          <w:bCs/>
          <w:color w:val="000000" w:themeColor="text1"/>
          <w:szCs w:val="24"/>
        </w:rPr>
        <w:t>***IN CONFIDENCE***</w:t>
      </w:r>
    </w:p>
    <w:p w14:paraId="44563B93" w14:textId="77777777" w:rsidR="00CE580D" w:rsidRDefault="00CE580D" w:rsidP="00C75C24">
      <w:pPr>
        <w:rPr>
          <w:rFonts w:eastAsia="Times New Roman" w:cs="Arial"/>
          <w:b/>
          <w:bCs/>
          <w:color w:val="000000" w:themeColor="text1"/>
          <w:szCs w:val="24"/>
        </w:rPr>
      </w:pPr>
    </w:p>
    <w:p w14:paraId="53A1B55B" w14:textId="77777777" w:rsidR="00CE580D" w:rsidRDefault="00CE580D" w:rsidP="00CE580D">
      <w:pPr>
        <w:pStyle w:val="paragraph"/>
        <w:spacing w:before="0" w:beforeAutospacing="0" w:after="0" w:afterAutospacing="0"/>
        <w:textAlignment w:val="baseline"/>
        <w:rPr>
          <w:rStyle w:val="eop"/>
          <w:rFonts w:ascii="Arial" w:eastAsiaTheme="majorEastAsia" w:hAnsi="Arial" w:cs="Arial"/>
          <w:color w:val="002060"/>
        </w:rPr>
      </w:pPr>
      <w:r>
        <w:rPr>
          <w:rStyle w:val="normaltextrun"/>
          <w:rFonts w:ascii="Arial" w:eastAsiaTheme="majorEastAsia" w:hAnsi="Arial" w:cs="Arial"/>
        </w:rPr>
        <w:t>4. Exemption: consultations or negotiations</w:t>
      </w:r>
      <w:r>
        <w:rPr>
          <w:rStyle w:val="contentcontrolboundarysink"/>
          <w:rFonts w:ascii="Arial" w:eastAsiaTheme="majorEastAsia" w:hAnsi="Arial" w:cs="Arial"/>
        </w:rPr>
        <w:t>​</w:t>
      </w:r>
      <w:r>
        <w:rPr>
          <w:rStyle w:val="eop"/>
          <w:rFonts w:ascii="Arial" w:eastAsiaTheme="majorEastAsia" w:hAnsi="Arial" w:cs="Arial"/>
          <w:color w:val="002060"/>
        </w:rPr>
        <w:t> </w:t>
      </w:r>
    </w:p>
    <w:p w14:paraId="5C2E49B1" w14:textId="77777777" w:rsidR="00D20C97" w:rsidRDefault="00D20C97" w:rsidP="00CE580D">
      <w:pPr>
        <w:pStyle w:val="paragraph"/>
        <w:spacing w:before="0" w:beforeAutospacing="0" w:after="0" w:afterAutospacing="0"/>
        <w:textAlignment w:val="baseline"/>
        <w:rPr>
          <w:rFonts w:ascii="Segoe UI" w:hAnsi="Segoe UI" w:cs="Segoe UI"/>
          <w:sz w:val="18"/>
          <w:szCs w:val="18"/>
        </w:rPr>
      </w:pPr>
    </w:p>
    <w:p w14:paraId="7DB74D08" w14:textId="5D6B9819" w:rsidR="00CE580D" w:rsidRDefault="00CE580D" w:rsidP="00CE580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In September 2025 </w:t>
      </w:r>
      <w:r w:rsidR="00D20C97">
        <w:rPr>
          <w:rStyle w:val="normaltextrun"/>
          <w:rFonts w:ascii="Arial" w:eastAsiaTheme="majorEastAsia" w:hAnsi="Arial" w:cs="Arial"/>
        </w:rPr>
        <w:t xml:space="preserve">the </w:t>
      </w:r>
      <w:r>
        <w:rPr>
          <w:rStyle w:val="normaltextrun"/>
          <w:rFonts w:ascii="Arial" w:eastAsiaTheme="majorEastAsia" w:hAnsi="Arial" w:cs="Arial"/>
        </w:rPr>
        <w:t>Council agreed its strategy for the estimates process that w</w:t>
      </w:r>
      <w:r w:rsidR="00D20C97">
        <w:rPr>
          <w:rStyle w:val="normaltextrun"/>
          <w:rFonts w:ascii="Arial" w:eastAsiaTheme="majorEastAsia" w:hAnsi="Arial" w:cs="Arial"/>
        </w:rPr>
        <w:t xml:space="preserve">ould </w:t>
      </w:r>
      <w:r>
        <w:rPr>
          <w:rStyle w:val="normaltextrun"/>
          <w:rFonts w:ascii="Arial" w:eastAsiaTheme="majorEastAsia" w:hAnsi="Arial" w:cs="Arial"/>
        </w:rPr>
        <w:t xml:space="preserve">set the budget for the 2026/27 financial year. </w:t>
      </w:r>
      <w:r w:rsidR="00D20C97">
        <w:rPr>
          <w:rStyle w:val="normaltextrun"/>
          <w:rFonts w:ascii="Arial" w:eastAsiaTheme="majorEastAsia" w:hAnsi="Arial" w:cs="Arial"/>
        </w:rPr>
        <w:t xml:space="preserve"> </w:t>
      </w:r>
      <w:r>
        <w:rPr>
          <w:rStyle w:val="normaltextrun"/>
          <w:rFonts w:ascii="Arial" w:eastAsiaTheme="majorEastAsia" w:hAnsi="Arial" w:cs="Arial"/>
        </w:rPr>
        <w:t>Th</w:t>
      </w:r>
      <w:r w:rsidR="00D20C97">
        <w:rPr>
          <w:rStyle w:val="normaltextrun"/>
          <w:rFonts w:ascii="Arial" w:eastAsiaTheme="majorEastAsia" w:hAnsi="Arial" w:cs="Arial"/>
        </w:rPr>
        <w:t>at</w:t>
      </w:r>
      <w:r>
        <w:rPr>
          <w:rStyle w:val="normaltextrun"/>
          <w:rFonts w:ascii="Arial" w:eastAsiaTheme="majorEastAsia" w:hAnsi="Arial" w:cs="Arial"/>
        </w:rPr>
        <w:t xml:space="preserve"> report </w:t>
      </w:r>
      <w:r w:rsidR="00D20C97">
        <w:rPr>
          <w:rStyle w:val="normaltextrun"/>
          <w:rFonts w:ascii="Arial" w:eastAsiaTheme="majorEastAsia" w:hAnsi="Arial" w:cs="Arial"/>
        </w:rPr>
        <w:t>wa</w:t>
      </w:r>
      <w:r>
        <w:rPr>
          <w:rStyle w:val="normaltextrun"/>
          <w:rFonts w:ascii="Arial" w:eastAsiaTheme="majorEastAsia" w:hAnsi="Arial" w:cs="Arial"/>
        </w:rPr>
        <w:t>s the second update report that officers ha</w:t>
      </w:r>
      <w:r w:rsidR="00D20C97">
        <w:rPr>
          <w:rStyle w:val="normaltextrun"/>
          <w:rFonts w:ascii="Arial" w:eastAsiaTheme="majorEastAsia" w:hAnsi="Arial" w:cs="Arial"/>
        </w:rPr>
        <w:t>d</w:t>
      </w:r>
      <w:r>
        <w:rPr>
          <w:rStyle w:val="normaltextrun"/>
          <w:rFonts w:ascii="Arial" w:eastAsiaTheme="majorEastAsia" w:hAnsi="Arial" w:cs="Arial"/>
        </w:rPr>
        <w:t xml:space="preserve"> brought to Committee with another due in December 2025.</w:t>
      </w:r>
      <w:r>
        <w:rPr>
          <w:rStyle w:val="eop"/>
          <w:rFonts w:ascii="Arial" w:eastAsiaTheme="majorEastAsia" w:hAnsi="Arial" w:cs="Arial"/>
        </w:rPr>
        <w:t> </w:t>
      </w:r>
    </w:p>
    <w:p w14:paraId="76DBEAB7" w14:textId="77777777" w:rsidR="00D20C97" w:rsidRDefault="00D20C97" w:rsidP="00CE580D">
      <w:pPr>
        <w:pStyle w:val="paragraph"/>
        <w:spacing w:before="0" w:beforeAutospacing="0" w:after="0" w:afterAutospacing="0"/>
        <w:textAlignment w:val="baseline"/>
        <w:rPr>
          <w:rStyle w:val="normaltextrun"/>
          <w:rFonts w:ascii="Arial" w:eastAsiaTheme="majorEastAsia" w:hAnsi="Arial" w:cs="Arial"/>
        </w:rPr>
      </w:pPr>
    </w:p>
    <w:p w14:paraId="7C131819" w14:textId="55BCF724" w:rsidR="00CE580D" w:rsidRDefault="00CE580D" w:rsidP="00CE580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The recommendation was for </w:t>
      </w:r>
      <w:r w:rsidR="00D20C97">
        <w:rPr>
          <w:rStyle w:val="normaltextrun"/>
          <w:rFonts w:ascii="Arial" w:eastAsiaTheme="majorEastAsia" w:hAnsi="Arial" w:cs="Arial"/>
        </w:rPr>
        <w:t xml:space="preserve">the </w:t>
      </w:r>
      <w:r>
        <w:rPr>
          <w:rStyle w:val="normaltextrun"/>
          <w:rFonts w:ascii="Arial" w:eastAsiaTheme="majorEastAsia" w:hAnsi="Arial" w:cs="Arial"/>
        </w:rPr>
        <w:t>Council to note the update.</w:t>
      </w:r>
      <w:r>
        <w:rPr>
          <w:rStyle w:val="eop"/>
          <w:rFonts w:ascii="Arial" w:eastAsiaTheme="majorEastAsia" w:hAnsi="Arial" w:cs="Arial"/>
        </w:rPr>
        <w:t> </w:t>
      </w:r>
    </w:p>
    <w:p w14:paraId="4A3A728A" w14:textId="77777777" w:rsidR="00A77129" w:rsidRPr="001159FC" w:rsidRDefault="00A77129" w:rsidP="00A77129">
      <w:pPr>
        <w:rPr>
          <w:rFonts w:eastAsia="Times New Roman" w:cs="Arial"/>
          <w:color w:val="000000" w:themeColor="text1"/>
          <w:szCs w:val="24"/>
        </w:rPr>
      </w:pPr>
    </w:p>
    <w:p w14:paraId="4EAEAA7C" w14:textId="53B38E55" w:rsidR="00D942C5" w:rsidRPr="00803C76" w:rsidRDefault="00803C76" w:rsidP="00803C76">
      <w:pPr>
        <w:pStyle w:val="Heading1"/>
        <w:rPr>
          <w:rFonts w:eastAsia="Times New Roman"/>
          <w:b/>
          <w:bCs/>
        </w:rPr>
      </w:pPr>
      <w:r w:rsidRPr="00803C76">
        <w:rPr>
          <w:rFonts w:eastAsia="Times New Roman"/>
          <w:b/>
          <w:bCs/>
        </w:rPr>
        <w:t>19.</w:t>
      </w:r>
      <w:r w:rsidRPr="00803C76">
        <w:rPr>
          <w:rFonts w:eastAsia="Times New Roman"/>
          <w:b/>
          <w:bCs/>
        </w:rPr>
        <w:tab/>
      </w:r>
      <w:r w:rsidR="00D942C5" w:rsidRPr="00803C76">
        <w:rPr>
          <w:rFonts w:eastAsia="Times New Roman"/>
          <w:b/>
          <w:bCs/>
          <w:u w:val="single"/>
        </w:rPr>
        <w:t>Absence Update</w:t>
      </w:r>
      <w:r w:rsidR="00D942C5" w:rsidRPr="00803C76">
        <w:rPr>
          <w:rFonts w:eastAsia="Times New Roman"/>
          <w:b/>
          <w:bCs/>
        </w:rPr>
        <w:t xml:space="preserve"> </w:t>
      </w:r>
    </w:p>
    <w:p w14:paraId="5B5D06B6" w14:textId="10F0329D" w:rsidR="00803C76" w:rsidRDefault="00B03C33" w:rsidP="00803C76">
      <w:pPr>
        <w:rPr>
          <w:rFonts w:eastAsia="Times New Roman" w:cs="Arial"/>
          <w:color w:val="000000" w:themeColor="text1"/>
          <w:szCs w:val="24"/>
        </w:rPr>
      </w:pPr>
      <w:r>
        <w:rPr>
          <w:rFonts w:eastAsia="Times New Roman" w:cs="Arial"/>
          <w:color w:val="000000" w:themeColor="text1"/>
          <w:szCs w:val="24"/>
        </w:rPr>
        <w:tab/>
        <w:t>(Appendi</w:t>
      </w:r>
      <w:r w:rsidR="004F04ED">
        <w:rPr>
          <w:rFonts w:eastAsia="Times New Roman" w:cs="Arial"/>
          <w:color w:val="000000" w:themeColor="text1"/>
          <w:szCs w:val="24"/>
        </w:rPr>
        <w:t>ces XVII, XVIII)</w:t>
      </w:r>
    </w:p>
    <w:p w14:paraId="5CCD643E" w14:textId="77777777" w:rsidR="00B03C33" w:rsidRDefault="00B03C33" w:rsidP="00803C76">
      <w:pPr>
        <w:rPr>
          <w:rFonts w:eastAsia="Times New Roman" w:cs="Arial"/>
          <w:color w:val="000000" w:themeColor="text1"/>
          <w:szCs w:val="24"/>
        </w:rPr>
      </w:pPr>
    </w:p>
    <w:p w14:paraId="21A1B57F" w14:textId="642AC719" w:rsidR="00D45F81" w:rsidRDefault="00D45F81" w:rsidP="00803C76">
      <w:pPr>
        <w:rPr>
          <w:rFonts w:eastAsia="Times New Roman" w:cs="Arial"/>
          <w:b/>
          <w:bCs/>
          <w:color w:val="000000" w:themeColor="text1"/>
          <w:szCs w:val="24"/>
        </w:rPr>
      </w:pPr>
      <w:r w:rsidRPr="00D45F81">
        <w:rPr>
          <w:rFonts w:eastAsia="Times New Roman" w:cs="Arial"/>
          <w:b/>
          <w:bCs/>
          <w:color w:val="000000" w:themeColor="text1"/>
          <w:szCs w:val="24"/>
        </w:rPr>
        <w:t>***IN CONFIDENCE***</w:t>
      </w:r>
    </w:p>
    <w:p w14:paraId="0D0CE17C" w14:textId="77777777" w:rsidR="00CE580D" w:rsidRDefault="00CE580D" w:rsidP="00803C76">
      <w:pPr>
        <w:rPr>
          <w:rFonts w:eastAsia="Times New Roman" w:cs="Arial"/>
          <w:b/>
          <w:bCs/>
          <w:color w:val="000000" w:themeColor="text1"/>
          <w:szCs w:val="24"/>
        </w:rPr>
      </w:pPr>
    </w:p>
    <w:p w14:paraId="356F5B7D" w14:textId="77777777" w:rsidR="00CE580D" w:rsidRDefault="00CE580D" w:rsidP="00CE580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4. Exemption: consultations or negotiations</w:t>
      </w:r>
      <w:r>
        <w:rPr>
          <w:rStyle w:val="contentcontrolboundarysink"/>
          <w:rFonts w:ascii="Arial" w:eastAsiaTheme="majorEastAsia" w:hAnsi="Arial" w:cs="Arial"/>
        </w:rPr>
        <w:t>​</w:t>
      </w:r>
      <w:r>
        <w:rPr>
          <w:rStyle w:val="eop"/>
          <w:rFonts w:ascii="Arial" w:eastAsiaTheme="majorEastAsia" w:hAnsi="Arial" w:cs="Arial"/>
          <w:color w:val="FF0000"/>
        </w:rPr>
        <w:t> </w:t>
      </w:r>
    </w:p>
    <w:p w14:paraId="0C1591D2" w14:textId="77777777" w:rsidR="00CE580D" w:rsidRDefault="00CE580D" w:rsidP="00CE580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2060"/>
        </w:rPr>
        <w:t> </w:t>
      </w:r>
    </w:p>
    <w:p w14:paraId="3287DCBD" w14:textId="3042B1F2" w:rsidR="00CE580D" w:rsidRPr="00D20C97" w:rsidRDefault="00CE580D" w:rsidP="00CE580D">
      <w:pPr>
        <w:pStyle w:val="paragraph"/>
        <w:spacing w:before="0" w:beforeAutospacing="0" w:after="0" w:afterAutospacing="0"/>
        <w:textAlignment w:val="baseline"/>
        <w:rPr>
          <w:rFonts w:ascii="Segoe UI" w:hAnsi="Segoe UI" w:cs="Segoe UI"/>
          <w:sz w:val="18"/>
          <w:szCs w:val="18"/>
        </w:rPr>
      </w:pPr>
      <w:r w:rsidRPr="00D20C97">
        <w:rPr>
          <w:rStyle w:val="normaltextrun"/>
          <w:rFonts w:ascii="Arial" w:eastAsiaTheme="majorEastAsia" w:hAnsi="Arial" w:cs="Arial"/>
        </w:rPr>
        <w:t xml:space="preserve">An update on the absence position in Ards and North Down Council was presented to </w:t>
      </w:r>
      <w:r w:rsidR="00D20C97">
        <w:rPr>
          <w:rStyle w:val="normaltextrun"/>
          <w:rFonts w:ascii="Arial" w:eastAsiaTheme="majorEastAsia" w:hAnsi="Arial" w:cs="Arial"/>
        </w:rPr>
        <w:t xml:space="preserve">the </w:t>
      </w:r>
      <w:proofErr w:type="gramStart"/>
      <w:r w:rsidRPr="00D20C97">
        <w:rPr>
          <w:rStyle w:val="normaltextrun"/>
          <w:rFonts w:ascii="Arial" w:eastAsiaTheme="majorEastAsia" w:hAnsi="Arial" w:cs="Arial"/>
        </w:rPr>
        <w:t>Council</w:t>
      </w:r>
      <w:proofErr w:type="gramEnd"/>
      <w:r w:rsidRPr="00D20C97">
        <w:rPr>
          <w:rStyle w:val="normaltextrun"/>
          <w:rFonts w:ascii="Arial" w:eastAsiaTheme="majorEastAsia" w:hAnsi="Arial" w:cs="Arial"/>
        </w:rPr>
        <w:t xml:space="preserve"> and they were asked to note the content.</w:t>
      </w:r>
      <w:r w:rsidRPr="00D20C97">
        <w:rPr>
          <w:rStyle w:val="eop"/>
          <w:rFonts w:ascii="Arial" w:eastAsiaTheme="majorEastAsia" w:hAnsi="Arial" w:cs="Arial"/>
        </w:rPr>
        <w:t> </w:t>
      </w:r>
    </w:p>
    <w:p w14:paraId="5BF71CF4" w14:textId="6FEC0D28" w:rsidR="007E3BF6" w:rsidRPr="00D20C97" w:rsidRDefault="007E3BF6" w:rsidP="00D942C5">
      <w:pPr>
        <w:spacing w:before="100" w:beforeAutospacing="1" w:after="100" w:afterAutospacing="1"/>
        <w:rPr>
          <w:rFonts w:eastAsia="Times New Roman" w:cs="Arial"/>
          <w:b/>
          <w:bCs/>
          <w:caps/>
          <w:color w:val="000000" w:themeColor="text1"/>
          <w:sz w:val="28"/>
          <w:szCs w:val="28"/>
          <w:u w:val="single"/>
        </w:rPr>
      </w:pPr>
      <w:r w:rsidRPr="00D20C97">
        <w:rPr>
          <w:rFonts w:eastAsia="Times New Roman" w:cs="Arial"/>
          <w:b/>
          <w:bCs/>
          <w:caps/>
          <w:color w:val="000000" w:themeColor="text1"/>
          <w:sz w:val="28"/>
          <w:szCs w:val="28"/>
          <w:u w:val="single"/>
        </w:rPr>
        <w:t>Re-admittance of public/press</w:t>
      </w:r>
    </w:p>
    <w:p w14:paraId="5CA6968F" w14:textId="7D741E22" w:rsidR="007E3BF6" w:rsidRPr="007E3BF6" w:rsidRDefault="007E3BF6" w:rsidP="00D942C5">
      <w:pPr>
        <w:spacing w:before="100" w:beforeAutospacing="1" w:after="100" w:afterAutospacing="1"/>
        <w:rPr>
          <w:rFonts w:eastAsia="Times New Roman" w:cs="Arial"/>
          <w:b/>
          <w:bCs/>
          <w:color w:val="000000" w:themeColor="text1"/>
          <w:szCs w:val="24"/>
        </w:rPr>
      </w:pPr>
      <w:r w:rsidRPr="007E3BF6">
        <w:rPr>
          <w:rFonts w:eastAsia="Times New Roman" w:cs="Arial"/>
          <w:b/>
          <w:bCs/>
          <w:color w:val="000000" w:themeColor="text1"/>
          <w:szCs w:val="24"/>
        </w:rPr>
        <w:t>AGREED, on the proposal of Councillor Gilmour, seconded by Alderman McIlveen, that the public/press be re-admitted to the meeting.</w:t>
      </w:r>
    </w:p>
    <w:p w14:paraId="68EB701F" w14:textId="15B97F12" w:rsidR="00D942C5" w:rsidRPr="00803C76" w:rsidRDefault="00803C76" w:rsidP="00803C76">
      <w:pPr>
        <w:pStyle w:val="Heading1"/>
        <w:rPr>
          <w:b/>
          <w:bCs/>
          <w:u w:val="single"/>
        </w:rPr>
      </w:pPr>
      <w:r w:rsidRPr="00803C76">
        <w:rPr>
          <w:b/>
          <w:bCs/>
          <w:u w:val="single"/>
        </w:rPr>
        <w:t xml:space="preserve">Termination of meeting </w:t>
      </w:r>
    </w:p>
    <w:p w14:paraId="7E646B43" w14:textId="77777777" w:rsidR="00803C76" w:rsidRDefault="00803C76"/>
    <w:p w14:paraId="14F8529F" w14:textId="01795F8D" w:rsidR="00803C76" w:rsidRDefault="00803C76">
      <w:r>
        <w:t xml:space="preserve">The meeting terminated at </w:t>
      </w:r>
      <w:r w:rsidR="007E3BF6">
        <w:t>8.35 pm</w:t>
      </w:r>
      <w:r>
        <w:t xml:space="preserve">. </w:t>
      </w:r>
    </w:p>
    <w:p w14:paraId="3A800E09" w14:textId="77777777" w:rsidR="00606088" w:rsidRDefault="00606088"/>
    <w:p w14:paraId="6FC42537" w14:textId="7817CBA3" w:rsidR="00606088" w:rsidRDefault="00606088" w:rsidP="00606088">
      <w:pPr>
        <w:pStyle w:val="paragraph"/>
        <w:spacing w:before="0" w:beforeAutospacing="0" w:after="0" w:afterAutospacing="0"/>
        <w:textAlignment w:val="baseline"/>
        <w:rPr>
          <w:rFonts w:ascii="Segoe UI" w:hAnsi="Segoe UI" w:cs="Segoe UI"/>
          <w:sz w:val="18"/>
          <w:szCs w:val="18"/>
        </w:rPr>
      </w:pPr>
    </w:p>
    <w:p w14:paraId="2073F32C" w14:textId="02DBD8ED" w:rsidR="00606088" w:rsidRDefault="00606088" w:rsidP="00606088">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429080A4" w14:textId="77777777" w:rsidR="00606088" w:rsidRDefault="00606088" w:rsidP="00606088">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rPr>
        <w:t> </w:t>
      </w:r>
    </w:p>
    <w:p w14:paraId="3CA3FE0E" w14:textId="77777777" w:rsidR="00606088" w:rsidRDefault="00606088" w:rsidP="00606088">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72960C68" w14:textId="77777777" w:rsidR="00606088" w:rsidRDefault="00606088"/>
    <w:sectPr w:rsidR="00606088" w:rsidSect="0049471F">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948AC" w14:textId="77777777" w:rsidR="00000178" w:rsidRDefault="00000178" w:rsidP="00000178">
      <w:r>
        <w:separator/>
      </w:r>
    </w:p>
  </w:endnote>
  <w:endnote w:type="continuationSeparator" w:id="0">
    <w:p w14:paraId="450597C7" w14:textId="77777777" w:rsidR="00000178" w:rsidRDefault="00000178" w:rsidP="0000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078545"/>
      <w:docPartObj>
        <w:docPartGallery w:val="Page Numbers (Bottom of Page)"/>
        <w:docPartUnique/>
      </w:docPartObj>
    </w:sdtPr>
    <w:sdtEndPr>
      <w:rPr>
        <w:noProof/>
      </w:rPr>
    </w:sdtEndPr>
    <w:sdtContent>
      <w:p w14:paraId="6B420B2A" w14:textId="04FE03D8" w:rsidR="0049471F" w:rsidRDefault="004947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2C118E" w14:textId="77777777" w:rsidR="0049471F" w:rsidRDefault="00494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84CCF" w14:textId="77777777" w:rsidR="00000178" w:rsidRDefault="00000178" w:rsidP="00000178">
      <w:r>
        <w:separator/>
      </w:r>
    </w:p>
  </w:footnote>
  <w:footnote w:type="continuationSeparator" w:id="0">
    <w:p w14:paraId="7F806428" w14:textId="77777777" w:rsidR="00000178" w:rsidRDefault="00000178" w:rsidP="00000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2DEB" w14:textId="361CDAA2" w:rsidR="00000178" w:rsidRDefault="00000178">
    <w:pPr>
      <w:pStyle w:val="Header"/>
    </w:pPr>
    <w:r>
      <w:tab/>
    </w:r>
    <w:r>
      <w:tab/>
      <w:t>CS.11.11.2025</w:t>
    </w:r>
    <w:r w:rsidR="00D20C97">
      <w:t>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6EA9" w14:textId="72C69F3D" w:rsidR="004A66B4" w:rsidRPr="004E12E0" w:rsidRDefault="004E12E0">
    <w:pPr>
      <w:pStyle w:val="Header"/>
      <w:rPr>
        <w:b/>
        <w:bCs/>
        <w:sz w:val="36"/>
        <w:szCs w:val="36"/>
      </w:rPr>
    </w:pPr>
    <w:r w:rsidRPr="004E12E0">
      <w:rPr>
        <w:b/>
        <w:bCs/>
        <w:sz w:val="36"/>
        <w:szCs w:val="36"/>
      </w:rPr>
      <w:tab/>
    </w:r>
    <w:r w:rsidRPr="004E12E0">
      <w:rPr>
        <w:b/>
        <w:bCs/>
        <w:sz w:val="36"/>
        <w:szCs w:val="36"/>
      </w:rPr>
      <w:tab/>
      <w:t xml:space="preserve">Item 7.4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4223"/>
    <w:multiLevelType w:val="hybridMultilevel"/>
    <w:tmpl w:val="1AF6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65DFF"/>
    <w:multiLevelType w:val="hybridMultilevel"/>
    <w:tmpl w:val="345AB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EE156D1"/>
    <w:multiLevelType w:val="multilevel"/>
    <w:tmpl w:val="4E0EDFAC"/>
    <w:lvl w:ilvl="0">
      <w:start w:val="1"/>
      <w:numFmt w:val="decimal"/>
      <w:lvlText w:val="%1."/>
      <w:lvlJc w:val="left"/>
      <w:pPr>
        <w:ind w:left="709" w:firstLine="1417"/>
      </w:pPr>
      <w:rPr>
        <w:rFonts w:hint="default"/>
        <w:b w:val="0"/>
        <w:bCs w:val="0"/>
        <w:i w:val="0"/>
        <w:iCs w:val="0"/>
        <w:color w:val="auto"/>
        <w:sz w:val="24"/>
        <w:szCs w:val="24"/>
      </w:rPr>
    </w:lvl>
    <w:lvl w:ilvl="1">
      <w:start w:val="1"/>
      <w:numFmt w:val="lowerLetter"/>
      <w:lvlText w:val="%2)"/>
      <w:lvlJc w:val="left"/>
      <w:pPr>
        <w:ind w:left="2203" w:hanging="360"/>
      </w:p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3" w15:restartNumberingAfterBreak="0">
    <w:nsid w:val="20616A48"/>
    <w:multiLevelType w:val="multilevel"/>
    <w:tmpl w:val="31D8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812DB1"/>
    <w:multiLevelType w:val="hybridMultilevel"/>
    <w:tmpl w:val="21EC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2D3012"/>
    <w:multiLevelType w:val="hybridMultilevel"/>
    <w:tmpl w:val="8C2A97FC"/>
    <w:lvl w:ilvl="0" w:tplc="0809000F">
      <w:start w:val="1"/>
      <w:numFmt w:val="decimal"/>
      <w:lvlText w:val="%1."/>
      <w:lvlJc w:val="left"/>
      <w:pPr>
        <w:ind w:left="2424" w:hanging="360"/>
      </w:pPr>
      <w:rPr>
        <w:rFonts w:hint="default"/>
      </w:rPr>
    </w:lvl>
    <w:lvl w:ilvl="1" w:tplc="08090019" w:tentative="1">
      <w:start w:val="1"/>
      <w:numFmt w:val="lowerLetter"/>
      <w:lvlText w:val="%2."/>
      <w:lvlJc w:val="left"/>
      <w:pPr>
        <w:ind w:left="3144" w:hanging="360"/>
      </w:pPr>
    </w:lvl>
    <w:lvl w:ilvl="2" w:tplc="0809001B" w:tentative="1">
      <w:start w:val="1"/>
      <w:numFmt w:val="lowerRoman"/>
      <w:lvlText w:val="%3."/>
      <w:lvlJc w:val="right"/>
      <w:pPr>
        <w:ind w:left="3864" w:hanging="180"/>
      </w:pPr>
    </w:lvl>
    <w:lvl w:ilvl="3" w:tplc="0809000F" w:tentative="1">
      <w:start w:val="1"/>
      <w:numFmt w:val="decimal"/>
      <w:lvlText w:val="%4."/>
      <w:lvlJc w:val="left"/>
      <w:pPr>
        <w:ind w:left="4584" w:hanging="360"/>
      </w:pPr>
    </w:lvl>
    <w:lvl w:ilvl="4" w:tplc="08090019" w:tentative="1">
      <w:start w:val="1"/>
      <w:numFmt w:val="lowerLetter"/>
      <w:lvlText w:val="%5."/>
      <w:lvlJc w:val="left"/>
      <w:pPr>
        <w:ind w:left="5304" w:hanging="360"/>
      </w:pPr>
    </w:lvl>
    <w:lvl w:ilvl="5" w:tplc="0809001B" w:tentative="1">
      <w:start w:val="1"/>
      <w:numFmt w:val="lowerRoman"/>
      <w:lvlText w:val="%6."/>
      <w:lvlJc w:val="right"/>
      <w:pPr>
        <w:ind w:left="6024" w:hanging="180"/>
      </w:pPr>
    </w:lvl>
    <w:lvl w:ilvl="6" w:tplc="0809000F" w:tentative="1">
      <w:start w:val="1"/>
      <w:numFmt w:val="decimal"/>
      <w:lvlText w:val="%7."/>
      <w:lvlJc w:val="left"/>
      <w:pPr>
        <w:ind w:left="6744" w:hanging="360"/>
      </w:pPr>
    </w:lvl>
    <w:lvl w:ilvl="7" w:tplc="08090019" w:tentative="1">
      <w:start w:val="1"/>
      <w:numFmt w:val="lowerLetter"/>
      <w:lvlText w:val="%8."/>
      <w:lvlJc w:val="left"/>
      <w:pPr>
        <w:ind w:left="7464" w:hanging="360"/>
      </w:pPr>
    </w:lvl>
    <w:lvl w:ilvl="8" w:tplc="0809001B" w:tentative="1">
      <w:start w:val="1"/>
      <w:numFmt w:val="lowerRoman"/>
      <w:lvlText w:val="%9."/>
      <w:lvlJc w:val="right"/>
      <w:pPr>
        <w:ind w:left="8184" w:hanging="180"/>
      </w:pPr>
    </w:lvl>
  </w:abstractNum>
  <w:abstractNum w:abstractNumId="6" w15:restartNumberingAfterBreak="0">
    <w:nsid w:val="460C6ABC"/>
    <w:multiLevelType w:val="multilevel"/>
    <w:tmpl w:val="EA126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847985"/>
    <w:multiLevelType w:val="hybridMultilevel"/>
    <w:tmpl w:val="8B06F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DFA4E96"/>
    <w:multiLevelType w:val="hybridMultilevel"/>
    <w:tmpl w:val="1C2C2716"/>
    <w:lvl w:ilvl="0" w:tplc="FD3A22CE">
      <w:start w:val="1"/>
      <w:numFmt w:val="decimal"/>
      <w:lvlText w:val="%1."/>
      <w:lvlJc w:val="left"/>
      <w:pPr>
        <w:ind w:left="720" w:hanging="360"/>
      </w:pPr>
      <w:rPr>
        <w:rFonts w:ascii="Arial" w:eastAsia="Times New Roman" w:hAnsi="Arial"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0D4457A"/>
    <w:multiLevelType w:val="hybridMultilevel"/>
    <w:tmpl w:val="24960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4A7993"/>
    <w:multiLevelType w:val="hybridMultilevel"/>
    <w:tmpl w:val="91B2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004127">
    <w:abstractNumId w:val="2"/>
  </w:num>
  <w:num w:numId="2" w16cid:durableId="1493837504">
    <w:abstractNumId w:val="5"/>
  </w:num>
  <w:num w:numId="3" w16cid:durableId="1947999153">
    <w:abstractNumId w:val="10"/>
  </w:num>
  <w:num w:numId="4" w16cid:durableId="617181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7380315">
    <w:abstractNumId w:val="0"/>
  </w:num>
  <w:num w:numId="6" w16cid:durableId="402146177">
    <w:abstractNumId w:val="9"/>
  </w:num>
  <w:num w:numId="7" w16cid:durableId="323972824">
    <w:abstractNumId w:val="4"/>
  </w:num>
  <w:num w:numId="8" w16cid:durableId="1116414717">
    <w:abstractNumId w:val="7"/>
  </w:num>
  <w:num w:numId="9" w16cid:durableId="6144866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0395941">
    <w:abstractNumId w:val="3"/>
  </w:num>
  <w:num w:numId="11" w16cid:durableId="538471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CazQkulGi7acMnml4B8hPtTsHL4xuSbFJcm9nVr+e4/wl/N1N5jC1mlpHu7/XznA8GgUi7DTelK/u7lplKITA==" w:salt="qbj4if8njMRkPzvDX1Tkk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48"/>
    <w:rsid w:val="00000178"/>
    <w:rsid w:val="00015865"/>
    <w:rsid w:val="0003494D"/>
    <w:rsid w:val="00050333"/>
    <w:rsid w:val="000527DB"/>
    <w:rsid w:val="00053BCA"/>
    <w:rsid w:val="00057168"/>
    <w:rsid w:val="00092181"/>
    <w:rsid w:val="000A0464"/>
    <w:rsid w:val="000A6E3C"/>
    <w:rsid w:val="000C239D"/>
    <w:rsid w:val="000D1AA8"/>
    <w:rsid w:val="000D4B28"/>
    <w:rsid w:val="000D562B"/>
    <w:rsid w:val="000E1E09"/>
    <w:rsid w:val="00104D18"/>
    <w:rsid w:val="00111CD7"/>
    <w:rsid w:val="001357E9"/>
    <w:rsid w:val="001429A5"/>
    <w:rsid w:val="001564DC"/>
    <w:rsid w:val="00173B20"/>
    <w:rsid w:val="001873C4"/>
    <w:rsid w:val="001A6E9F"/>
    <w:rsid w:val="001A6F16"/>
    <w:rsid w:val="001D3250"/>
    <w:rsid w:val="001D3E96"/>
    <w:rsid w:val="001E21BF"/>
    <w:rsid w:val="00214C35"/>
    <w:rsid w:val="00216712"/>
    <w:rsid w:val="002A5067"/>
    <w:rsid w:val="002F04DC"/>
    <w:rsid w:val="00301667"/>
    <w:rsid w:val="00310E5E"/>
    <w:rsid w:val="0037543C"/>
    <w:rsid w:val="003C0096"/>
    <w:rsid w:val="003C3E35"/>
    <w:rsid w:val="003D2236"/>
    <w:rsid w:val="00403A1A"/>
    <w:rsid w:val="00421460"/>
    <w:rsid w:val="00430114"/>
    <w:rsid w:val="0045070D"/>
    <w:rsid w:val="00480EA3"/>
    <w:rsid w:val="0048662E"/>
    <w:rsid w:val="0049471F"/>
    <w:rsid w:val="004A66B4"/>
    <w:rsid w:val="004B483D"/>
    <w:rsid w:val="004C30A1"/>
    <w:rsid w:val="004D4FD1"/>
    <w:rsid w:val="004D626F"/>
    <w:rsid w:val="004E12E0"/>
    <w:rsid w:val="004F04ED"/>
    <w:rsid w:val="005402E3"/>
    <w:rsid w:val="00543335"/>
    <w:rsid w:val="00581297"/>
    <w:rsid w:val="005A2733"/>
    <w:rsid w:val="005B7DE5"/>
    <w:rsid w:val="005D50D6"/>
    <w:rsid w:val="005D6E22"/>
    <w:rsid w:val="00606088"/>
    <w:rsid w:val="006349A1"/>
    <w:rsid w:val="00656C51"/>
    <w:rsid w:val="006A4C0A"/>
    <w:rsid w:val="006C00F3"/>
    <w:rsid w:val="006C24C7"/>
    <w:rsid w:val="006D344A"/>
    <w:rsid w:val="006D7633"/>
    <w:rsid w:val="006F1F39"/>
    <w:rsid w:val="006F65BA"/>
    <w:rsid w:val="00706929"/>
    <w:rsid w:val="0072384D"/>
    <w:rsid w:val="00742428"/>
    <w:rsid w:val="00750B19"/>
    <w:rsid w:val="00761FEE"/>
    <w:rsid w:val="00767C56"/>
    <w:rsid w:val="007761C6"/>
    <w:rsid w:val="0077796D"/>
    <w:rsid w:val="00784A1E"/>
    <w:rsid w:val="007E0B04"/>
    <w:rsid w:val="007E36F7"/>
    <w:rsid w:val="007E3BF6"/>
    <w:rsid w:val="007F0A1D"/>
    <w:rsid w:val="00803C76"/>
    <w:rsid w:val="00823534"/>
    <w:rsid w:val="0082390C"/>
    <w:rsid w:val="0088030F"/>
    <w:rsid w:val="0088714B"/>
    <w:rsid w:val="008C4017"/>
    <w:rsid w:val="008D1EC8"/>
    <w:rsid w:val="008D7EDE"/>
    <w:rsid w:val="008E0A00"/>
    <w:rsid w:val="008E2AA9"/>
    <w:rsid w:val="008F39F8"/>
    <w:rsid w:val="008F7ED5"/>
    <w:rsid w:val="00904F0D"/>
    <w:rsid w:val="00910C13"/>
    <w:rsid w:val="00925A89"/>
    <w:rsid w:val="0093225D"/>
    <w:rsid w:val="0093401F"/>
    <w:rsid w:val="009565D8"/>
    <w:rsid w:val="00960DDA"/>
    <w:rsid w:val="00961E51"/>
    <w:rsid w:val="00970498"/>
    <w:rsid w:val="009744FC"/>
    <w:rsid w:val="00982278"/>
    <w:rsid w:val="009A4140"/>
    <w:rsid w:val="009B2943"/>
    <w:rsid w:val="009C7049"/>
    <w:rsid w:val="00A1003E"/>
    <w:rsid w:val="00A363C3"/>
    <w:rsid w:val="00A56CF7"/>
    <w:rsid w:val="00A77129"/>
    <w:rsid w:val="00A8212D"/>
    <w:rsid w:val="00A82704"/>
    <w:rsid w:val="00AB242B"/>
    <w:rsid w:val="00AE1201"/>
    <w:rsid w:val="00AE5A50"/>
    <w:rsid w:val="00AF659B"/>
    <w:rsid w:val="00B031C4"/>
    <w:rsid w:val="00B03A82"/>
    <w:rsid w:val="00B03C33"/>
    <w:rsid w:val="00B533CE"/>
    <w:rsid w:val="00B96861"/>
    <w:rsid w:val="00BA16C9"/>
    <w:rsid w:val="00BA393D"/>
    <w:rsid w:val="00BB4CEB"/>
    <w:rsid w:val="00BB5F0A"/>
    <w:rsid w:val="00BE16C5"/>
    <w:rsid w:val="00BE5701"/>
    <w:rsid w:val="00BE5B89"/>
    <w:rsid w:val="00BF0007"/>
    <w:rsid w:val="00C21B03"/>
    <w:rsid w:val="00C26956"/>
    <w:rsid w:val="00C5358E"/>
    <w:rsid w:val="00C57D3A"/>
    <w:rsid w:val="00C75C24"/>
    <w:rsid w:val="00C878D3"/>
    <w:rsid w:val="00C879D9"/>
    <w:rsid w:val="00CA17DB"/>
    <w:rsid w:val="00CA7D27"/>
    <w:rsid w:val="00CB5157"/>
    <w:rsid w:val="00CC2007"/>
    <w:rsid w:val="00CC3A73"/>
    <w:rsid w:val="00CE580D"/>
    <w:rsid w:val="00CF6A2B"/>
    <w:rsid w:val="00D1557A"/>
    <w:rsid w:val="00D20C97"/>
    <w:rsid w:val="00D26534"/>
    <w:rsid w:val="00D45F81"/>
    <w:rsid w:val="00D87848"/>
    <w:rsid w:val="00D942C5"/>
    <w:rsid w:val="00DA5D5E"/>
    <w:rsid w:val="00DA6D5B"/>
    <w:rsid w:val="00DD7D43"/>
    <w:rsid w:val="00E13AC6"/>
    <w:rsid w:val="00E239F8"/>
    <w:rsid w:val="00E406A6"/>
    <w:rsid w:val="00E4510C"/>
    <w:rsid w:val="00E458B2"/>
    <w:rsid w:val="00E5036D"/>
    <w:rsid w:val="00E63503"/>
    <w:rsid w:val="00E824F4"/>
    <w:rsid w:val="00E838DD"/>
    <w:rsid w:val="00EB1E63"/>
    <w:rsid w:val="00EB4B49"/>
    <w:rsid w:val="00EC232A"/>
    <w:rsid w:val="00F63F3D"/>
    <w:rsid w:val="00FB31CB"/>
    <w:rsid w:val="00FD12E5"/>
    <w:rsid w:val="00FD1418"/>
    <w:rsid w:val="00FD1597"/>
    <w:rsid w:val="00FE2389"/>
    <w:rsid w:val="00FF3909"/>
    <w:rsid w:val="00FF53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B211EF"/>
  <w15:chartTrackingRefBased/>
  <w15:docId w15:val="{70A8667D-F33B-40C3-A438-5D089329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48"/>
    <w:pPr>
      <w:spacing w:after="0" w:line="240" w:lineRule="auto"/>
    </w:pPr>
    <w:rPr>
      <w:rFonts w:ascii="Arial" w:eastAsia="Calibri" w:hAnsi="Arial" w:cs="Times New Roman"/>
      <w:kern w:val="0"/>
      <w:szCs w:val="22"/>
      <w14:ligatures w14:val="none"/>
    </w:rPr>
  </w:style>
  <w:style w:type="paragraph" w:styleId="Heading1">
    <w:name w:val="heading 1"/>
    <w:basedOn w:val="Normal"/>
    <w:next w:val="Normal"/>
    <w:link w:val="Heading1Char"/>
    <w:qFormat/>
    <w:rsid w:val="00D942C5"/>
    <w:pPr>
      <w:keepNext/>
      <w:keepLines/>
      <w:outlineLvl w:val="0"/>
    </w:pPr>
    <w:rPr>
      <w:rFonts w:eastAsiaTheme="majorEastAsia" w:cstheme="majorBidi"/>
      <w:caps/>
      <w:kern w:val="2"/>
      <w:sz w:val="28"/>
      <w:szCs w:val="40"/>
      <w14:ligatures w14:val="standardContextual"/>
    </w:rPr>
  </w:style>
  <w:style w:type="paragraph" w:styleId="Heading2">
    <w:name w:val="heading 2"/>
    <w:basedOn w:val="Normal"/>
    <w:next w:val="Normal"/>
    <w:link w:val="Heading2Char"/>
    <w:uiPriority w:val="9"/>
    <w:semiHidden/>
    <w:unhideWhenUsed/>
    <w:qFormat/>
    <w:rsid w:val="00D8784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784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7848"/>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87848"/>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87848"/>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87848"/>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87848"/>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87848"/>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42C5"/>
    <w:rPr>
      <w:rFonts w:ascii="Arial" w:eastAsiaTheme="majorEastAsia" w:hAnsi="Arial" w:cstheme="majorBidi"/>
      <w:caps/>
      <w:sz w:val="28"/>
      <w:szCs w:val="40"/>
    </w:rPr>
  </w:style>
  <w:style w:type="character" w:customStyle="1" w:styleId="Heading2Char">
    <w:name w:val="Heading 2 Char"/>
    <w:basedOn w:val="DefaultParagraphFont"/>
    <w:link w:val="Heading2"/>
    <w:uiPriority w:val="9"/>
    <w:semiHidden/>
    <w:rsid w:val="00D87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848"/>
    <w:rPr>
      <w:rFonts w:eastAsiaTheme="majorEastAsia" w:cstheme="majorBidi"/>
      <w:color w:val="272727" w:themeColor="text1" w:themeTint="D8"/>
    </w:rPr>
  </w:style>
  <w:style w:type="paragraph" w:styleId="Title">
    <w:name w:val="Title"/>
    <w:basedOn w:val="Normal"/>
    <w:next w:val="Normal"/>
    <w:link w:val="TitleChar"/>
    <w:uiPriority w:val="10"/>
    <w:qFormat/>
    <w:rsid w:val="00D8784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78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84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78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84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87848"/>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D87848"/>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87848"/>
    <w:rPr>
      <w:i/>
      <w:iCs/>
      <w:color w:val="0F4761" w:themeColor="accent1" w:themeShade="BF"/>
    </w:rPr>
  </w:style>
  <w:style w:type="paragraph" w:styleId="IntenseQuote">
    <w:name w:val="Intense Quote"/>
    <w:basedOn w:val="Normal"/>
    <w:next w:val="Normal"/>
    <w:link w:val="IntenseQuoteChar"/>
    <w:uiPriority w:val="30"/>
    <w:qFormat/>
    <w:rsid w:val="00D8784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87848"/>
    <w:rPr>
      <w:i/>
      <w:iCs/>
      <w:color w:val="0F4761" w:themeColor="accent1" w:themeShade="BF"/>
    </w:rPr>
  </w:style>
  <w:style w:type="character" w:styleId="IntenseReference">
    <w:name w:val="Intense Reference"/>
    <w:basedOn w:val="DefaultParagraphFont"/>
    <w:uiPriority w:val="32"/>
    <w:qFormat/>
    <w:rsid w:val="00D87848"/>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D942C5"/>
  </w:style>
  <w:style w:type="paragraph" w:styleId="Header">
    <w:name w:val="header"/>
    <w:basedOn w:val="Normal"/>
    <w:link w:val="HeaderChar"/>
    <w:uiPriority w:val="99"/>
    <w:unhideWhenUsed/>
    <w:rsid w:val="00000178"/>
    <w:pPr>
      <w:tabs>
        <w:tab w:val="center" w:pos="4513"/>
        <w:tab w:val="right" w:pos="9026"/>
      </w:tabs>
    </w:pPr>
  </w:style>
  <w:style w:type="character" w:customStyle="1" w:styleId="HeaderChar">
    <w:name w:val="Header Char"/>
    <w:basedOn w:val="DefaultParagraphFont"/>
    <w:link w:val="Header"/>
    <w:uiPriority w:val="99"/>
    <w:rsid w:val="00000178"/>
    <w:rPr>
      <w:rFonts w:ascii="Arial" w:eastAsia="Calibri" w:hAnsi="Arial" w:cs="Times New Roman"/>
      <w:kern w:val="0"/>
      <w:szCs w:val="22"/>
      <w14:ligatures w14:val="none"/>
    </w:rPr>
  </w:style>
  <w:style w:type="paragraph" w:styleId="Footer">
    <w:name w:val="footer"/>
    <w:basedOn w:val="Normal"/>
    <w:link w:val="FooterChar"/>
    <w:uiPriority w:val="99"/>
    <w:unhideWhenUsed/>
    <w:rsid w:val="00000178"/>
    <w:pPr>
      <w:tabs>
        <w:tab w:val="center" w:pos="4513"/>
        <w:tab w:val="right" w:pos="9026"/>
      </w:tabs>
    </w:pPr>
  </w:style>
  <w:style w:type="character" w:customStyle="1" w:styleId="FooterChar">
    <w:name w:val="Footer Char"/>
    <w:basedOn w:val="DefaultParagraphFont"/>
    <w:link w:val="Footer"/>
    <w:uiPriority w:val="99"/>
    <w:rsid w:val="00000178"/>
    <w:rPr>
      <w:rFonts w:ascii="Arial" w:eastAsia="Calibri" w:hAnsi="Arial" w:cs="Times New Roman"/>
      <w:kern w:val="0"/>
      <w:szCs w:val="22"/>
      <w14:ligatures w14:val="none"/>
    </w:rPr>
  </w:style>
  <w:style w:type="paragraph" w:styleId="BodyText">
    <w:name w:val="Body Text"/>
    <w:basedOn w:val="Normal"/>
    <w:link w:val="BodyTextChar"/>
    <w:uiPriority w:val="1"/>
    <w:qFormat/>
    <w:rsid w:val="00E239F8"/>
    <w:pPr>
      <w:widowControl w:val="0"/>
      <w:autoSpaceDE w:val="0"/>
      <w:autoSpaceDN w:val="0"/>
    </w:pPr>
    <w:rPr>
      <w:rFonts w:eastAsia="Arial" w:cs="Arial"/>
      <w:szCs w:val="24"/>
      <w:lang w:val="en-US"/>
    </w:rPr>
  </w:style>
  <w:style w:type="character" w:customStyle="1" w:styleId="BodyTextChar">
    <w:name w:val="Body Text Char"/>
    <w:basedOn w:val="DefaultParagraphFont"/>
    <w:link w:val="BodyText"/>
    <w:uiPriority w:val="1"/>
    <w:rsid w:val="00E239F8"/>
    <w:rPr>
      <w:rFonts w:ascii="Arial" w:eastAsia="Arial" w:hAnsi="Arial" w:cs="Arial"/>
      <w:kern w:val="0"/>
      <w:lang w:val="en-US"/>
      <w14:ligatures w14:val="none"/>
    </w:rPr>
  </w:style>
  <w:style w:type="paragraph" w:customStyle="1" w:styleId="xmsonormal">
    <w:name w:val="x_msonormal"/>
    <w:basedOn w:val="Normal"/>
    <w:rsid w:val="00B03C33"/>
    <w:rPr>
      <w:rFonts w:ascii="Calibri" w:eastAsiaTheme="minorHAnsi" w:hAnsi="Calibri" w:cs="Calibri"/>
      <w:sz w:val="22"/>
      <w:lang w:eastAsia="en-GB"/>
    </w:rPr>
  </w:style>
  <w:style w:type="paragraph" w:customStyle="1" w:styleId="elementtoproof">
    <w:name w:val="elementtoproof"/>
    <w:basedOn w:val="Normal"/>
    <w:rsid w:val="000D1AA8"/>
    <w:rPr>
      <w:rFonts w:ascii="Aptos" w:eastAsiaTheme="minorHAnsi" w:hAnsi="Aptos" w:cs="Aptos"/>
      <w:szCs w:val="24"/>
      <w:lang w:eastAsia="en-GB"/>
    </w:rPr>
  </w:style>
  <w:style w:type="table" w:styleId="TableGrid">
    <w:name w:val="Table Grid"/>
    <w:basedOn w:val="TableNormal"/>
    <w:uiPriority w:val="39"/>
    <w:rsid w:val="001D325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06088"/>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606088"/>
  </w:style>
  <w:style w:type="character" w:customStyle="1" w:styleId="eop">
    <w:name w:val="eop"/>
    <w:basedOn w:val="DefaultParagraphFont"/>
    <w:rsid w:val="00606088"/>
  </w:style>
  <w:style w:type="character" w:customStyle="1" w:styleId="contentcontrolboundarysink">
    <w:name w:val="contentcontrolboundarysink"/>
    <w:basedOn w:val="DefaultParagraphFont"/>
    <w:rsid w:val="0060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167495">
      <w:bodyDiv w:val="1"/>
      <w:marLeft w:val="0"/>
      <w:marRight w:val="0"/>
      <w:marTop w:val="0"/>
      <w:marBottom w:val="0"/>
      <w:divBdr>
        <w:top w:val="none" w:sz="0" w:space="0" w:color="auto"/>
        <w:left w:val="none" w:sz="0" w:space="0" w:color="auto"/>
        <w:bottom w:val="none" w:sz="0" w:space="0" w:color="auto"/>
        <w:right w:val="none" w:sz="0" w:space="0" w:color="auto"/>
      </w:divBdr>
    </w:div>
    <w:div w:id="761336300">
      <w:bodyDiv w:val="1"/>
      <w:marLeft w:val="0"/>
      <w:marRight w:val="0"/>
      <w:marTop w:val="0"/>
      <w:marBottom w:val="0"/>
      <w:divBdr>
        <w:top w:val="none" w:sz="0" w:space="0" w:color="auto"/>
        <w:left w:val="none" w:sz="0" w:space="0" w:color="auto"/>
        <w:bottom w:val="none" w:sz="0" w:space="0" w:color="auto"/>
        <w:right w:val="none" w:sz="0" w:space="0" w:color="auto"/>
      </w:divBdr>
    </w:div>
    <w:div w:id="1205409891">
      <w:bodyDiv w:val="1"/>
      <w:marLeft w:val="0"/>
      <w:marRight w:val="0"/>
      <w:marTop w:val="0"/>
      <w:marBottom w:val="0"/>
      <w:divBdr>
        <w:top w:val="none" w:sz="0" w:space="0" w:color="auto"/>
        <w:left w:val="none" w:sz="0" w:space="0" w:color="auto"/>
        <w:bottom w:val="none" w:sz="0" w:space="0" w:color="auto"/>
        <w:right w:val="none" w:sz="0" w:space="0" w:color="auto"/>
      </w:divBdr>
    </w:div>
    <w:div w:id="163152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1fae8add6543b3500c5ca8f454d87763">
  <xsd:schema xmlns:xsd="http://www.w3.org/2001/XMLSchema" xmlns:xs="http://www.w3.org/2001/XMLSchema" xmlns:p="http://schemas.microsoft.com/office/2006/metadata/properties" xmlns:ns2="bd0212b0-7afa-4d79-b56d-d16bdeb4adb2" targetNamespace="http://schemas.microsoft.com/office/2006/metadata/properties" ma:root="true" ma:fieldsID="60157ef4b4cf33bbcdeca374ad618838"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9AF3A-417C-4193-A7B4-D9B6D6F6FA7F}">
  <ds:schemaRefs>
    <ds:schemaRef ds:uri="http://schemas.microsoft.com/sharepoint/v3/contenttype/forms"/>
  </ds:schemaRefs>
</ds:datastoreItem>
</file>

<file path=customXml/itemProps2.xml><?xml version="1.0" encoding="utf-8"?>
<ds:datastoreItem xmlns:ds="http://schemas.openxmlformats.org/officeDocument/2006/customXml" ds:itemID="{4D8660DB-870D-47D2-95B4-B1B9DAF7F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4A844-ACDE-49DD-9FD7-F84B7202B9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B5A5B8-D657-4416-B8AF-AE14D49C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6835</Words>
  <Characters>35886</Characters>
  <Application>Microsoft Office Word</Application>
  <DocSecurity>8</DocSecurity>
  <Lines>1121</Lines>
  <Paragraphs>540</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42181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Cull, Joshua</cp:lastModifiedBy>
  <cp:revision>6</cp:revision>
  <cp:lastPrinted>2025-11-19T11:47:00Z</cp:lastPrinted>
  <dcterms:created xsi:type="dcterms:W3CDTF">2025-11-19T11:10:00Z</dcterms:created>
  <dcterms:modified xsi:type="dcterms:W3CDTF">2026-01-09T10:26:00Z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y fmtid="{D5CDD505-2E9C-101B-9397-08002B2CF9AE}" pid="3" name="Order">
    <vt:r8>100</vt:r8>
  </property>
</Properties>
</file>