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38339986" w:rsidR="00BE72BE" w:rsidRDefault="00BE72BE" w:rsidP="00BE72BE">
      <w:pPr>
        <w:rPr>
          <w:rFonts w:cs="Arial"/>
        </w:rPr>
      </w:pPr>
      <w:r w:rsidRPr="00600EA9">
        <w:t xml:space="preserve">A </w:t>
      </w:r>
      <w:r>
        <w:t xml:space="preserve">hybrid </w:t>
      </w:r>
      <w:r>
        <w:rPr>
          <w:rFonts w:cs="Arial"/>
        </w:rPr>
        <w:t xml:space="preserve">(in person and via Zoom) </w:t>
      </w:r>
      <w:r w:rsidRPr="00600EA9">
        <w:t xml:space="preserve">meeting of the </w:t>
      </w:r>
      <w:r w:rsidR="00EC5488">
        <w:t>Corporate Services</w:t>
      </w:r>
      <w:r>
        <w:t xml:space="preserve"> Committee </w:t>
      </w:r>
      <w:r w:rsidRPr="00600EA9">
        <w:t xml:space="preserve">was held </w:t>
      </w:r>
      <w:r>
        <w:t>at the Council Chamber, Church Street, Newtownards, and via Zoom, o</w:t>
      </w:r>
      <w:r w:rsidRPr="00600EA9">
        <w:t xml:space="preserve">n </w:t>
      </w:r>
      <w:r w:rsidR="00EC5488">
        <w:rPr>
          <w:rFonts w:cs="Arial"/>
        </w:rPr>
        <w:t>Tuesday</w:t>
      </w:r>
      <w:r>
        <w:rPr>
          <w:rFonts w:cs="Arial"/>
        </w:rPr>
        <w:t xml:space="preserve"> 1</w:t>
      </w:r>
      <w:r w:rsidR="0056063D">
        <w:rPr>
          <w:rFonts w:cs="Arial"/>
        </w:rPr>
        <w:t>1</w:t>
      </w:r>
      <w:r>
        <w:rPr>
          <w:rFonts w:cs="Arial"/>
        </w:rPr>
        <w:t xml:space="preserve"> </w:t>
      </w:r>
      <w:r w:rsidR="00EC5488">
        <w:rPr>
          <w:rFonts w:cs="Arial"/>
        </w:rPr>
        <w:t>February</w:t>
      </w:r>
      <w:r>
        <w:rPr>
          <w:rFonts w:cs="Arial"/>
        </w:rPr>
        <w:t xml:space="preserve"> 202</w:t>
      </w:r>
      <w:r w:rsidR="00EC5488">
        <w:rPr>
          <w:rFonts w:cs="Arial"/>
        </w:rPr>
        <w:t>5</w:t>
      </w:r>
      <w:r>
        <w:rPr>
          <w:rFonts w:cs="Arial"/>
        </w:rPr>
        <w:t xml:space="preserve">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00AA71EB"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94446E" w:rsidRPr="0094446E">
        <w:rPr>
          <w:rFonts w:eastAsiaTheme="minorHAnsi" w:cs="Arial"/>
          <w:bCs/>
          <w:szCs w:val="24"/>
        </w:rPr>
        <w:t>Councillor Irwin</w:t>
      </w:r>
    </w:p>
    <w:p w14:paraId="34A74248" w14:textId="77777777" w:rsidR="00BE72BE" w:rsidRPr="005E5922" w:rsidRDefault="00BE72BE" w:rsidP="00BE72BE">
      <w:pPr>
        <w:tabs>
          <w:tab w:val="left" w:pos="2156"/>
        </w:tabs>
        <w:rPr>
          <w:rFonts w:eastAsiaTheme="minorHAnsi" w:cs="Arial"/>
          <w:b/>
          <w:szCs w:val="24"/>
        </w:rPr>
      </w:pPr>
    </w:p>
    <w:p w14:paraId="4B8D0620" w14:textId="3CD5AF85" w:rsidR="00986EC7" w:rsidRPr="00986EC7"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986EC7" w:rsidRPr="00986EC7">
        <w:rPr>
          <w:rFonts w:eastAsiaTheme="minorHAnsi" w:cs="Arial"/>
          <w:bCs/>
          <w:szCs w:val="24"/>
        </w:rPr>
        <w:t>Graham</w:t>
      </w:r>
      <w:r w:rsidR="00986EC7" w:rsidRPr="00986EC7">
        <w:rPr>
          <w:rFonts w:eastAsiaTheme="minorHAnsi" w:cs="Arial"/>
          <w:bCs/>
          <w:szCs w:val="24"/>
        </w:rPr>
        <w:tab/>
      </w:r>
      <w:r w:rsidR="003F191D">
        <w:rPr>
          <w:rFonts w:eastAsiaTheme="minorHAnsi" w:cs="Arial"/>
          <w:bCs/>
          <w:szCs w:val="24"/>
        </w:rPr>
        <w:tab/>
      </w:r>
      <w:r w:rsidR="00986EC7" w:rsidRPr="00986EC7">
        <w:rPr>
          <w:rFonts w:eastAsiaTheme="minorHAnsi" w:cs="Arial"/>
          <w:bCs/>
          <w:szCs w:val="24"/>
        </w:rPr>
        <w:t>McIlveen</w:t>
      </w:r>
    </w:p>
    <w:p w14:paraId="0419A78E" w14:textId="6BB6E247" w:rsidR="00BE72BE" w:rsidRDefault="00986EC7" w:rsidP="00BE72BE">
      <w:pPr>
        <w:tabs>
          <w:tab w:val="left" w:pos="2156"/>
          <w:tab w:val="left" w:pos="4536"/>
        </w:tabs>
        <w:rPr>
          <w:rFonts w:eastAsiaTheme="minorHAnsi" w:cs="Arial"/>
          <w:bCs/>
          <w:szCs w:val="24"/>
        </w:rPr>
      </w:pPr>
      <w:r>
        <w:rPr>
          <w:rFonts w:eastAsiaTheme="minorHAnsi" w:cs="Arial"/>
          <w:b/>
          <w:szCs w:val="24"/>
        </w:rPr>
        <w:tab/>
      </w:r>
      <w:r w:rsidRPr="00986EC7">
        <w:rPr>
          <w:rFonts w:eastAsiaTheme="minorHAnsi" w:cs="Arial"/>
          <w:bCs/>
          <w:szCs w:val="24"/>
        </w:rPr>
        <w:t>McAlpine</w:t>
      </w:r>
      <w:r w:rsidR="003307EE">
        <w:rPr>
          <w:rFonts w:eastAsiaTheme="minorHAnsi" w:cs="Arial"/>
          <w:bCs/>
          <w:szCs w:val="24"/>
        </w:rPr>
        <w:t xml:space="preserve"> (Zoom</w:t>
      </w:r>
      <w:r w:rsidR="00C066C0">
        <w:rPr>
          <w:rFonts w:eastAsiaTheme="minorHAnsi" w:cs="Arial"/>
          <w:bCs/>
          <w:szCs w:val="24"/>
        </w:rPr>
        <w:t xml:space="preserve">, </w:t>
      </w:r>
      <w:r w:rsidR="003F191D">
        <w:rPr>
          <w:rFonts w:eastAsiaTheme="minorHAnsi" w:cs="Arial"/>
          <w:bCs/>
          <w:szCs w:val="24"/>
        </w:rPr>
        <w:t>7.02pm)</w:t>
      </w:r>
      <w:r w:rsidR="000A1E22">
        <w:rPr>
          <w:rFonts w:eastAsiaTheme="minorHAnsi" w:cs="Arial"/>
          <w:bCs/>
          <w:szCs w:val="24"/>
        </w:rPr>
        <w:tab/>
      </w:r>
      <w:r>
        <w:rPr>
          <w:rFonts w:eastAsiaTheme="minorHAnsi" w:cs="Arial"/>
          <w:bCs/>
          <w:szCs w:val="24"/>
        </w:rPr>
        <w:t>Smith</w:t>
      </w:r>
      <w:r w:rsidR="003307EE">
        <w:rPr>
          <w:rFonts w:eastAsiaTheme="minorHAnsi" w:cs="Arial"/>
          <w:bCs/>
          <w:szCs w:val="24"/>
        </w:rPr>
        <w:t xml:space="preserve"> (Zoom)</w:t>
      </w:r>
    </w:p>
    <w:p w14:paraId="2A8DA3EB" w14:textId="7814599E"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McRandal</w:t>
      </w:r>
    </w:p>
    <w:p w14:paraId="1BE0B1B3" w14:textId="77777777" w:rsidR="00986EC7"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00986EC7">
        <w:rPr>
          <w:rFonts w:eastAsiaTheme="minorHAnsi" w:cs="Arial"/>
          <w:bCs/>
          <w:szCs w:val="24"/>
        </w:rPr>
        <w:t>McIlveen</w:t>
      </w:r>
    </w:p>
    <w:p w14:paraId="673DB7E4" w14:textId="43614F1C" w:rsidR="00BE72BE" w:rsidRPr="00E254E5" w:rsidRDefault="00986EC7" w:rsidP="00BE72BE">
      <w:pPr>
        <w:tabs>
          <w:tab w:val="left" w:pos="2156"/>
          <w:tab w:val="left" w:pos="4536"/>
        </w:tabs>
        <w:rPr>
          <w:rFonts w:eastAsiaTheme="minorHAnsi" w:cs="Arial"/>
          <w:bCs/>
          <w:szCs w:val="24"/>
        </w:rPr>
      </w:pPr>
      <w:r>
        <w:rPr>
          <w:rFonts w:eastAsiaTheme="minorHAnsi" w:cs="Arial"/>
          <w:bCs/>
          <w:szCs w:val="24"/>
        </w:rPr>
        <w:tab/>
      </w:r>
      <w:r w:rsidR="00BE72BE" w:rsidRPr="00E254E5">
        <w:rPr>
          <w:rFonts w:eastAsiaTheme="minorHAnsi" w:cs="Arial"/>
          <w:bCs/>
          <w:szCs w:val="24"/>
        </w:rPr>
        <w:tab/>
      </w:r>
      <w:r w:rsidR="00BE72BE" w:rsidRPr="00E254E5">
        <w:rPr>
          <w:rFonts w:eastAsiaTheme="minorHAnsi" w:cs="Arial"/>
          <w:bCs/>
          <w:szCs w:val="24"/>
        </w:rPr>
        <w:tab/>
      </w:r>
    </w:p>
    <w:p w14:paraId="4B5FE492" w14:textId="6CBB5529"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986EC7" w:rsidRPr="00986EC7">
        <w:rPr>
          <w:rFonts w:eastAsiaTheme="minorHAnsi" w:cs="Arial"/>
          <w:bCs/>
          <w:szCs w:val="24"/>
        </w:rPr>
        <w:t>Chambers</w:t>
      </w:r>
      <w:r w:rsidR="00986EC7">
        <w:rPr>
          <w:rFonts w:eastAsiaTheme="minorHAnsi" w:cs="Arial"/>
          <w:b/>
          <w:szCs w:val="24"/>
        </w:rPr>
        <w:tab/>
      </w:r>
      <w:r w:rsidR="003F191D">
        <w:rPr>
          <w:rFonts w:eastAsiaTheme="minorHAnsi" w:cs="Arial"/>
          <w:b/>
          <w:szCs w:val="24"/>
        </w:rPr>
        <w:tab/>
      </w:r>
      <w:r w:rsidR="00986EC7" w:rsidRPr="00986EC7">
        <w:rPr>
          <w:rFonts w:eastAsiaTheme="minorHAnsi" w:cs="Arial"/>
          <w:bCs/>
          <w:szCs w:val="24"/>
        </w:rPr>
        <w:t>Irvine, W</w:t>
      </w:r>
    </w:p>
    <w:p w14:paraId="7A2B7173" w14:textId="69BEE98C"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Cochrane</w:t>
      </w:r>
      <w:r>
        <w:rPr>
          <w:rFonts w:eastAsiaTheme="minorHAnsi" w:cs="Arial"/>
          <w:bCs/>
          <w:szCs w:val="24"/>
        </w:rPr>
        <w:tab/>
      </w:r>
      <w:r w:rsidR="003F191D">
        <w:rPr>
          <w:rFonts w:eastAsiaTheme="minorHAnsi" w:cs="Arial"/>
          <w:bCs/>
          <w:szCs w:val="24"/>
        </w:rPr>
        <w:tab/>
      </w:r>
      <w:r w:rsidR="00986EC7">
        <w:rPr>
          <w:rFonts w:eastAsiaTheme="minorHAnsi" w:cs="Arial"/>
          <w:bCs/>
          <w:szCs w:val="24"/>
        </w:rPr>
        <w:t>McCracken</w:t>
      </w:r>
    </w:p>
    <w:p w14:paraId="58941B90" w14:textId="5C12902D" w:rsidR="00986EC7" w:rsidRDefault="000A1E22" w:rsidP="00BE72BE">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Gilmour</w:t>
      </w:r>
      <w:r w:rsidR="00986EC7">
        <w:rPr>
          <w:rFonts w:eastAsiaTheme="minorHAnsi" w:cs="Arial"/>
          <w:bCs/>
          <w:szCs w:val="24"/>
        </w:rPr>
        <w:tab/>
      </w:r>
      <w:r w:rsidR="003F191D">
        <w:rPr>
          <w:rFonts w:eastAsiaTheme="minorHAnsi" w:cs="Arial"/>
          <w:bCs/>
          <w:szCs w:val="24"/>
        </w:rPr>
        <w:tab/>
      </w:r>
      <w:r w:rsidR="00986EC7">
        <w:rPr>
          <w:rFonts w:eastAsiaTheme="minorHAnsi" w:cs="Arial"/>
          <w:bCs/>
          <w:szCs w:val="24"/>
        </w:rPr>
        <w:t>Moore</w:t>
      </w:r>
      <w:r w:rsidR="00C566C0">
        <w:rPr>
          <w:rFonts w:eastAsiaTheme="minorHAnsi" w:cs="Arial"/>
          <w:bCs/>
          <w:szCs w:val="24"/>
        </w:rPr>
        <w:t xml:space="preserve"> (7.15pm)</w:t>
      </w:r>
    </w:p>
    <w:p w14:paraId="5F5DAD38" w14:textId="66C895FB" w:rsidR="00986EC7" w:rsidRDefault="00986EC7" w:rsidP="00BE72BE">
      <w:pPr>
        <w:tabs>
          <w:tab w:val="left" w:pos="2156"/>
          <w:tab w:val="left" w:pos="4536"/>
        </w:tabs>
        <w:rPr>
          <w:rFonts w:eastAsiaTheme="minorHAnsi" w:cs="Arial"/>
          <w:bCs/>
          <w:szCs w:val="24"/>
        </w:rPr>
      </w:pPr>
      <w:r>
        <w:rPr>
          <w:rFonts w:eastAsiaTheme="minorHAnsi" w:cs="Arial"/>
          <w:bCs/>
          <w:szCs w:val="24"/>
        </w:rPr>
        <w:tab/>
        <w:t>Irvine, S</w:t>
      </w:r>
      <w:r w:rsidR="003307EE">
        <w:rPr>
          <w:rFonts w:eastAsiaTheme="minorHAnsi" w:cs="Arial"/>
          <w:bCs/>
          <w:szCs w:val="24"/>
        </w:rPr>
        <w:t xml:space="preserve"> (Zoom</w:t>
      </w:r>
      <w:r w:rsidR="00C066C0">
        <w:rPr>
          <w:rFonts w:eastAsiaTheme="minorHAnsi" w:cs="Arial"/>
          <w:bCs/>
          <w:szCs w:val="24"/>
        </w:rPr>
        <w:t>, 7.04pm)</w:t>
      </w:r>
      <w:r w:rsidR="003F191D">
        <w:rPr>
          <w:rFonts w:eastAsiaTheme="minorHAnsi" w:cs="Arial"/>
          <w:bCs/>
          <w:szCs w:val="24"/>
        </w:rPr>
        <w:tab/>
      </w:r>
      <w:r>
        <w:rPr>
          <w:rFonts w:eastAsiaTheme="minorHAnsi" w:cs="Arial"/>
          <w:bCs/>
          <w:szCs w:val="24"/>
        </w:rPr>
        <w:t>Thompson</w:t>
      </w:r>
    </w:p>
    <w:p w14:paraId="388105E0" w14:textId="38A12A92" w:rsidR="000A1E22" w:rsidRDefault="00986EC7" w:rsidP="00BE72BE">
      <w:pPr>
        <w:tabs>
          <w:tab w:val="left" w:pos="2156"/>
          <w:tab w:val="left" w:pos="4536"/>
        </w:tabs>
        <w:rPr>
          <w:rFonts w:eastAsiaTheme="minorHAnsi" w:cs="Arial"/>
          <w:bCs/>
          <w:szCs w:val="24"/>
        </w:rPr>
      </w:pPr>
      <w:r>
        <w:rPr>
          <w:rFonts w:eastAsiaTheme="minorHAnsi" w:cs="Arial"/>
          <w:bCs/>
          <w:szCs w:val="24"/>
        </w:rPr>
        <w:tab/>
      </w:r>
      <w:r w:rsidR="000A1E22">
        <w:rPr>
          <w:rFonts w:eastAsiaTheme="minorHAnsi" w:cs="Arial"/>
          <w:bCs/>
          <w:szCs w:val="24"/>
        </w:rPr>
        <w:tab/>
      </w:r>
    </w:p>
    <w:p w14:paraId="31DE383E" w14:textId="7280D040" w:rsidR="00BE72BE" w:rsidRDefault="00BE72BE" w:rsidP="00BE72BE">
      <w:pPr>
        <w:tabs>
          <w:tab w:val="left" w:pos="2156"/>
          <w:tab w:val="left" w:pos="4536"/>
        </w:tabs>
        <w:rPr>
          <w:rFonts w:eastAsiaTheme="minorHAnsi" w:cs="Arial"/>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986EC7" w:rsidRPr="00986EC7">
        <w:rPr>
          <w:rFonts w:eastAsiaTheme="minorHAnsi" w:cs="Arial"/>
          <w:bCs/>
          <w:szCs w:val="24"/>
        </w:rPr>
        <w:t>Director of Corporate Services (M Steele), Head of Finance (S Grieve), Head of Transformation and Performance (S Denny), Head of Strategic Capital Development (A Dadley), Community Planning Manager (P Mackey) and Democratic Services Officer (R King)</w:t>
      </w:r>
    </w:p>
    <w:p w14:paraId="35206D87" w14:textId="77777777" w:rsidR="00BE72BE" w:rsidRDefault="00BE72BE" w:rsidP="00BE72BE"/>
    <w:p w14:paraId="3816A710" w14:textId="051B84E8" w:rsidR="00BE72BE" w:rsidRPr="00BE72BE" w:rsidRDefault="00BE72BE" w:rsidP="00442152">
      <w:pPr>
        <w:pStyle w:val="Heading1"/>
      </w:pPr>
      <w:r w:rsidRPr="00442152">
        <w:rPr>
          <w:rFonts w:cs="Arial"/>
          <w:u w:val="none"/>
        </w:rPr>
        <w:t>1.</w:t>
      </w:r>
      <w:r w:rsidRPr="00442152">
        <w:rPr>
          <w:u w:val="none"/>
        </w:rPr>
        <w:tab/>
      </w:r>
      <w: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37436" w14:textId="5D7F44F2" w:rsidR="00986EC7" w:rsidRDefault="00986EC7" w:rsidP="00BE72BE">
      <w:pPr>
        <w:rPr>
          <w:rFonts w:cs="Arial"/>
          <w:szCs w:val="24"/>
        </w:rPr>
      </w:pPr>
      <w:r>
        <w:rPr>
          <w:rFonts w:cs="Arial"/>
          <w:szCs w:val="24"/>
        </w:rPr>
        <w:t xml:space="preserve">Apologies were received from Alderman Brooks and Councillor Kennedy and apologies for lateness were received from Alderman McAlpine, </w:t>
      </w:r>
      <w:r w:rsidR="003307EE">
        <w:rPr>
          <w:rFonts w:cs="Arial"/>
          <w:szCs w:val="24"/>
        </w:rPr>
        <w:t>Councillor S Irvine and Councillor Moore.</w:t>
      </w:r>
    </w:p>
    <w:p w14:paraId="774E42EC" w14:textId="77777777" w:rsidR="00BE72BE" w:rsidRDefault="00BE72BE" w:rsidP="00BE72BE">
      <w:pPr>
        <w:rPr>
          <w:rFonts w:cs="Arial"/>
          <w:szCs w:val="24"/>
        </w:rPr>
      </w:pPr>
    </w:p>
    <w:p w14:paraId="5B3ADE3E" w14:textId="16093A0F" w:rsidR="00BE72BE" w:rsidRDefault="00BE72BE" w:rsidP="00BE72BE">
      <w:pPr>
        <w:rPr>
          <w:rFonts w:cs="Arial"/>
          <w:b/>
          <w:bCs/>
          <w:szCs w:val="24"/>
        </w:rPr>
      </w:pPr>
      <w:r>
        <w:rPr>
          <w:rFonts w:cs="Arial"/>
          <w:b/>
          <w:bCs/>
          <w:szCs w:val="24"/>
        </w:rPr>
        <w:t>NOTED.</w:t>
      </w:r>
    </w:p>
    <w:p w14:paraId="491EF09E" w14:textId="77777777" w:rsidR="00442152" w:rsidRPr="00BE72BE" w:rsidRDefault="00442152" w:rsidP="00BE72BE">
      <w:pPr>
        <w:rPr>
          <w:rFonts w:cs="Arial"/>
          <w:b/>
          <w:bCs/>
          <w:szCs w:val="24"/>
        </w:rPr>
      </w:pP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67E2B6F1" w14:textId="695F62E2" w:rsidR="00BE72BE" w:rsidRDefault="003307EE" w:rsidP="00BE72BE">
      <w:pPr>
        <w:rPr>
          <w:rFonts w:cs="Arial"/>
          <w:szCs w:val="24"/>
        </w:rPr>
      </w:pPr>
      <w:r>
        <w:rPr>
          <w:rFonts w:cs="Arial"/>
          <w:szCs w:val="24"/>
        </w:rPr>
        <w:t>There were no declarations of interest.</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219470EE" w14:textId="77777777" w:rsidR="003F191D" w:rsidRDefault="003F191D" w:rsidP="00BE72BE">
      <w:pPr>
        <w:rPr>
          <w:rFonts w:cs="Arial"/>
          <w:b/>
          <w:bCs/>
          <w:szCs w:val="24"/>
        </w:rPr>
      </w:pPr>
    </w:p>
    <w:p w14:paraId="7570A158" w14:textId="677B21C0" w:rsidR="003F191D" w:rsidRDefault="003F191D" w:rsidP="00BE72BE">
      <w:pPr>
        <w:rPr>
          <w:rFonts w:cs="Arial"/>
          <w:szCs w:val="24"/>
        </w:rPr>
      </w:pPr>
      <w:r w:rsidRPr="003F191D">
        <w:rPr>
          <w:rFonts w:cs="Arial"/>
          <w:szCs w:val="24"/>
        </w:rPr>
        <w:t>(Alderman McAlpine, attending remotely, joined the meeting</w:t>
      </w:r>
      <w:r>
        <w:rPr>
          <w:rFonts w:cs="Arial"/>
          <w:szCs w:val="24"/>
        </w:rPr>
        <w:t xml:space="preserve"> -</w:t>
      </w:r>
      <w:r w:rsidRPr="003F191D">
        <w:rPr>
          <w:rFonts w:cs="Arial"/>
          <w:szCs w:val="24"/>
        </w:rPr>
        <w:t xml:space="preserve"> 7.02pm)</w:t>
      </w:r>
    </w:p>
    <w:p w14:paraId="56AC75CA" w14:textId="77777777" w:rsidR="0054056C" w:rsidRPr="003F191D" w:rsidRDefault="0054056C" w:rsidP="00BE72BE">
      <w:pPr>
        <w:rPr>
          <w:rFonts w:cs="Arial"/>
          <w:szCs w:val="24"/>
        </w:rPr>
      </w:pPr>
    </w:p>
    <w:p w14:paraId="3E9CA518" w14:textId="0EEA3F5C" w:rsidR="0094446E" w:rsidRDefault="00BE72BE" w:rsidP="0094446E">
      <w:pPr>
        <w:pStyle w:val="Heading1"/>
        <w:ind w:left="720" w:hanging="720"/>
        <w:rPr>
          <w:rFonts w:ascii="Arial Bold" w:eastAsia="Calibri" w:hAnsi="Arial Bold" w:cs="Arial"/>
          <w:b w:val="0"/>
          <w:bCs/>
          <w:caps/>
          <w:color w:val="auto"/>
          <w:szCs w:val="28"/>
        </w:rPr>
      </w:pPr>
      <w:bookmarkStart w:id="4" w:name="_Hlk184739711"/>
      <w:r w:rsidRPr="0056063D">
        <w:rPr>
          <w:rFonts w:cs="Arial"/>
          <w:bCs/>
          <w:color w:val="auto"/>
          <w:sz w:val="24"/>
          <w:szCs w:val="24"/>
          <w:u w:val="none"/>
        </w:rPr>
        <w:t>3.</w:t>
      </w:r>
      <w:r w:rsidRPr="0056063D">
        <w:rPr>
          <w:u w:val="none"/>
        </w:rPr>
        <w:tab/>
      </w:r>
      <w:bookmarkEnd w:id="0"/>
      <w:r w:rsidR="0022081F" w:rsidRPr="0022081F">
        <w:rPr>
          <w:rFonts w:ascii="Arial Bold" w:eastAsia="Calibri" w:hAnsi="Arial Bold" w:cs="Arial"/>
          <w:b w:val="0"/>
          <w:bCs/>
          <w:caps/>
          <w:color w:val="auto"/>
          <w:szCs w:val="28"/>
        </w:rPr>
        <w:t>Deputation – NI Water - plans for 2025</w:t>
      </w:r>
      <w:bookmarkStart w:id="5" w:name="_Hlk161127560"/>
      <w:bookmarkEnd w:id="1"/>
      <w:bookmarkEnd w:id="4"/>
    </w:p>
    <w:p w14:paraId="0B3FD9BD" w14:textId="13329BBF" w:rsidR="0094446E" w:rsidRDefault="0094446E" w:rsidP="0094446E">
      <w:r>
        <w:tab/>
        <w:t>(Appendix I)</w:t>
      </w:r>
    </w:p>
    <w:p w14:paraId="7A3ECE0D" w14:textId="77777777" w:rsidR="007B0BA5" w:rsidRDefault="007B0BA5" w:rsidP="00451C59">
      <w:pPr>
        <w:pStyle w:val="Normal0"/>
        <w:rPr>
          <w:rFonts w:eastAsia="Calibri"/>
        </w:rPr>
      </w:pPr>
    </w:p>
    <w:p w14:paraId="3226C6E6" w14:textId="45551F56" w:rsidR="007B0BA5" w:rsidRDefault="007B0BA5" w:rsidP="00451C59">
      <w:pPr>
        <w:rPr>
          <w:b/>
        </w:rPr>
      </w:pPr>
      <w:r>
        <w:t xml:space="preserve">Representing Northern Ireland Water, </w:t>
      </w:r>
      <w:r w:rsidRPr="007B0BA5">
        <w:t>Dr Stephen Blockwell</w:t>
      </w:r>
      <w:r>
        <w:t>,</w:t>
      </w:r>
      <w:r w:rsidRPr="007B0BA5">
        <w:t xml:space="preserve"> Head of Investment Management</w:t>
      </w:r>
      <w:r>
        <w:t xml:space="preserve">, and Mr </w:t>
      </w:r>
      <w:r w:rsidRPr="007B0BA5">
        <w:t>Mark Consiglia, Wastewater Assets Area Manager</w:t>
      </w:r>
      <w:r>
        <w:t>, were in attendance via Zoom to deliver their presentation to the Committee.</w:t>
      </w:r>
    </w:p>
    <w:p w14:paraId="38BC1A65" w14:textId="77777777" w:rsidR="007B0BA5" w:rsidRDefault="007B0BA5" w:rsidP="00451C59"/>
    <w:p w14:paraId="68F892B8" w14:textId="2EDD4EE2" w:rsidR="007B0BA5" w:rsidRDefault="007B0BA5" w:rsidP="00451C59">
      <w:r>
        <w:lastRenderedPageBreak/>
        <w:t>Dr Blockwell referred to the attached presentation and his address to the Committee was detailed as follows:</w:t>
      </w:r>
    </w:p>
    <w:p w14:paraId="390015B2" w14:textId="77777777" w:rsidR="00451C59" w:rsidRPr="007B0BA5" w:rsidRDefault="00451C59" w:rsidP="00451C59"/>
    <w:p w14:paraId="1C381B67" w14:textId="64CD389B" w:rsidR="003307EE" w:rsidRDefault="003307EE" w:rsidP="00451C59">
      <w:r>
        <w:t>NI Water was</w:t>
      </w:r>
      <w:r w:rsidRPr="003307EE">
        <w:t xml:space="preserve"> a regulated utility responsible for water and sewage services across the whole of the country.</w:t>
      </w:r>
    </w:p>
    <w:p w14:paraId="5172D73A" w14:textId="77777777" w:rsidR="00451C59" w:rsidRPr="003307EE" w:rsidRDefault="00451C59" w:rsidP="00451C59">
      <w:pPr>
        <w:rPr>
          <w:b/>
        </w:rPr>
      </w:pPr>
    </w:p>
    <w:p w14:paraId="3F2AA6EC" w14:textId="3515EFB9" w:rsidR="00F570DC" w:rsidRDefault="003307EE" w:rsidP="00451C59">
      <w:r>
        <w:t xml:space="preserve">It was </w:t>
      </w:r>
      <w:r w:rsidRPr="003307EE">
        <w:t xml:space="preserve">funded in six-year price control periods where </w:t>
      </w:r>
      <w:r>
        <w:t>its</w:t>
      </w:r>
      <w:r w:rsidRPr="003307EE">
        <w:t xml:space="preserve"> business plans </w:t>
      </w:r>
      <w:r>
        <w:t xml:space="preserve">were </w:t>
      </w:r>
      <w:r w:rsidRPr="003307EE">
        <w:t>rigorously reviewed by the utility regulator</w:t>
      </w:r>
      <w:r w:rsidR="00F570DC">
        <w:t xml:space="preserve">, </w:t>
      </w:r>
      <w:r w:rsidRPr="003307EE">
        <w:t xml:space="preserve">EA, DWI, Consumer Council NI, and Department for Infrastructure. </w:t>
      </w:r>
    </w:p>
    <w:p w14:paraId="47C10033" w14:textId="77777777" w:rsidR="00451C59" w:rsidRDefault="00451C59" w:rsidP="00451C59">
      <w:pPr>
        <w:rPr>
          <w:b/>
        </w:rPr>
      </w:pPr>
    </w:p>
    <w:p w14:paraId="5310C065" w14:textId="666CD971" w:rsidR="003307EE" w:rsidRDefault="00F570DC" w:rsidP="00451C59">
      <w:r>
        <w:t xml:space="preserve">He referred to the attached slides to demonstrate the </w:t>
      </w:r>
      <w:r w:rsidR="003307EE" w:rsidRPr="003307EE">
        <w:t xml:space="preserve">undertaking that </w:t>
      </w:r>
      <w:r>
        <w:t>NI Water</w:t>
      </w:r>
      <w:r w:rsidR="003307EE" w:rsidRPr="003307EE">
        <w:t xml:space="preserve"> manage</w:t>
      </w:r>
      <w:r>
        <w:t>d</w:t>
      </w:r>
      <w:r w:rsidR="003307EE" w:rsidRPr="003307EE">
        <w:t xml:space="preserve"> as a company and operate</w:t>
      </w:r>
      <w:r>
        <w:t>d</w:t>
      </w:r>
      <w:r w:rsidR="003307EE" w:rsidRPr="003307EE">
        <w:t xml:space="preserve"> on a daily basis. </w:t>
      </w:r>
      <w:r>
        <w:t>It had</w:t>
      </w:r>
      <w:r w:rsidR="003307EE" w:rsidRPr="003307EE">
        <w:t xml:space="preserve"> thousands of assets and the statistics associated with the water side of </w:t>
      </w:r>
      <w:r>
        <w:t>its</w:t>
      </w:r>
      <w:r w:rsidR="003307EE" w:rsidRPr="003307EE">
        <w:t xml:space="preserve"> business</w:t>
      </w:r>
      <w:r>
        <w:t>.</w:t>
      </w:r>
    </w:p>
    <w:p w14:paraId="4DE6C38C" w14:textId="77777777" w:rsidR="00451C59" w:rsidRPr="003307EE" w:rsidRDefault="00451C59" w:rsidP="00451C59">
      <w:pPr>
        <w:rPr>
          <w:b/>
        </w:rPr>
      </w:pPr>
    </w:p>
    <w:p w14:paraId="4AFDF950" w14:textId="56A48D39" w:rsidR="003307EE" w:rsidRDefault="00F570DC" w:rsidP="00451C59">
      <w:r>
        <w:t>It provided</w:t>
      </w:r>
      <w:r w:rsidR="003307EE" w:rsidRPr="003307EE">
        <w:t xml:space="preserve"> 605 million litres of clean, safe drinking water every day to 920,000 customers and treat</w:t>
      </w:r>
      <w:r>
        <w:t>ed</w:t>
      </w:r>
      <w:r w:rsidR="003307EE" w:rsidRPr="003307EE">
        <w:t xml:space="preserve"> 360 million litres of wastewater at over 1,000 wastewater treatment works.</w:t>
      </w:r>
    </w:p>
    <w:p w14:paraId="01438160" w14:textId="77777777" w:rsidR="00451C59" w:rsidRPr="003307EE" w:rsidRDefault="00451C59" w:rsidP="00451C59">
      <w:pPr>
        <w:rPr>
          <w:b/>
        </w:rPr>
      </w:pPr>
    </w:p>
    <w:p w14:paraId="7E3CF15F" w14:textId="1CB4B56C" w:rsidR="003307EE" w:rsidRDefault="00F570DC" w:rsidP="00451C59">
      <w:r>
        <w:t>Its</w:t>
      </w:r>
      <w:r w:rsidR="003307EE" w:rsidRPr="003307EE">
        <w:t xml:space="preserve"> combined water mains and sewers </w:t>
      </w:r>
      <w:r>
        <w:t>were</w:t>
      </w:r>
      <w:r w:rsidR="003307EE" w:rsidRPr="003307EE">
        <w:t xml:space="preserve"> over 43,000 kilometres in length, and </w:t>
      </w:r>
      <w:r>
        <w:t>that was</w:t>
      </w:r>
      <w:r w:rsidR="003307EE" w:rsidRPr="003307EE">
        <w:t xml:space="preserve"> one and a half times the entire Northern Ireland </w:t>
      </w:r>
      <w:r>
        <w:t>r</w:t>
      </w:r>
      <w:r w:rsidR="003307EE" w:rsidRPr="003307EE">
        <w:t xml:space="preserve">oad </w:t>
      </w:r>
      <w:r>
        <w:t>n</w:t>
      </w:r>
      <w:r w:rsidR="003307EE" w:rsidRPr="003307EE">
        <w:t>etwork.</w:t>
      </w:r>
    </w:p>
    <w:p w14:paraId="5A6E4E2F" w14:textId="77777777" w:rsidR="00451C59" w:rsidRPr="003307EE" w:rsidRDefault="00451C59" w:rsidP="00451C59">
      <w:pPr>
        <w:rPr>
          <w:b/>
        </w:rPr>
      </w:pPr>
    </w:p>
    <w:p w14:paraId="29F179A4" w14:textId="7DCDE8C3" w:rsidR="003307EE" w:rsidRDefault="003307EE" w:rsidP="00451C59">
      <w:r w:rsidRPr="003307EE">
        <w:t xml:space="preserve">Every part of Northern Ireland's infrastructure network, whether </w:t>
      </w:r>
      <w:r w:rsidR="00F570DC">
        <w:t>it was</w:t>
      </w:r>
      <w:r w:rsidRPr="003307EE">
        <w:t xml:space="preserve"> a treatment works, a pump or a pipe, ha</w:t>
      </w:r>
      <w:r w:rsidR="00F570DC">
        <w:t>d</w:t>
      </w:r>
      <w:r w:rsidRPr="003307EE">
        <w:t xml:space="preserve"> a finite capacity</w:t>
      </w:r>
      <w:r w:rsidR="00071C18">
        <w:t xml:space="preserve"> and </w:t>
      </w:r>
      <w:r w:rsidRPr="003307EE">
        <w:t xml:space="preserve">most of </w:t>
      </w:r>
      <w:r w:rsidR="00F570DC">
        <w:t>those</w:t>
      </w:r>
      <w:r w:rsidRPr="003307EE">
        <w:t xml:space="preserve"> assets </w:t>
      </w:r>
      <w:r w:rsidR="00F570DC">
        <w:t>were</w:t>
      </w:r>
      <w:r w:rsidRPr="003307EE">
        <w:t xml:space="preserve"> legacy from decades ago.</w:t>
      </w:r>
      <w:r w:rsidR="00F570DC">
        <w:t xml:space="preserve"> </w:t>
      </w:r>
      <w:r w:rsidR="00071C18">
        <w:t xml:space="preserve"> </w:t>
      </w:r>
      <w:r w:rsidR="00F570DC">
        <w:t>S</w:t>
      </w:r>
      <w:r w:rsidRPr="003307EE">
        <w:t xml:space="preserve">o much of the capacity that </w:t>
      </w:r>
      <w:r w:rsidR="00F570DC">
        <w:t>could</w:t>
      </w:r>
      <w:r w:rsidRPr="003307EE">
        <w:t xml:space="preserve"> be handled today </w:t>
      </w:r>
      <w:r w:rsidR="00F570DC">
        <w:t>was</w:t>
      </w:r>
      <w:r w:rsidRPr="003307EE">
        <w:t xml:space="preserve"> based on th</w:t>
      </w:r>
      <w:r w:rsidR="00071C18">
        <w:t>o</w:t>
      </w:r>
      <w:r w:rsidRPr="003307EE">
        <w:t>se legacy assets.</w:t>
      </w:r>
    </w:p>
    <w:p w14:paraId="0CC311C0" w14:textId="77777777" w:rsidR="00451C59" w:rsidRPr="003307EE" w:rsidRDefault="00451C59" w:rsidP="00451C59">
      <w:pPr>
        <w:rPr>
          <w:b/>
        </w:rPr>
      </w:pPr>
    </w:p>
    <w:p w14:paraId="3738F02A" w14:textId="30568599" w:rsidR="003307EE" w:rsidRDefault="00727FAB" w:rsidP="00451C59">
      <w:r>
        <w:t>Its</w:t>
      </w:r>
      <w:r w:rsidR="00F570DC">
        <w:t xml:space="preserve"> infrastructure was </w:t>
      </w:r>
      <w:r w:rsidR="003307EE" w:rsidRPr="003307EE">
        <w:t xml:space="preserve">a key enabler for many of the outcomes of a modern society, whether </w:t>
      </w:r>
      <w:r w:rsidR="00F570DC">
        <w:t>it was</w:t>
      </w:r>
      <w:r w:rsidR="003307EE" w:rsidRPr="003307EE">
        <w:t xml:space="preserve"> public health</w:t>
      </w:r>
      <w:r w:rsidR="00F570DC">
        <w:t xml:space="preserve">, </w:t>
      </w:r>
      <w:r w:rsidR="003307EE" w:rsidRPr="003307EE">
        <w:t>economic growth or nature and biodiversity.</w:t>
      </w:r>
    </w:p>
    <w:p w14:paraId="07DEBFDF" w14:textId="77777777" w:rsidR="00451C59" w:rsidRPr="003307EE" w:rsidRDefault="00451C59" w:rsidP="00451C59">
      <w:pPr>
        <w:rPr>
          <w:b/>
        </w:rPr>
      </w:pPr>
    </w:p>
    <w:p w14:paraId="1926E113" w14:textId="2038DB78" w:rsidR="003307EE" w:rsidRDefault="00F570DC" w:rsidP="00451C59">
      <w:pPr>
        <w:rPr>
          <w:b/>
        </w:rPr>
      </w:pPr>
      <w:r>
        <w:t>The</w:t>
      </w:r>
      <w:r w:rsidR="003307EE" w:rsidRPr="003307EE">
        <w:t xml:space="preserve"> Northern Ireland </w:t>
      </w:r>
      <w:r>
        <w:t>P</w:t>
      </w:r>
      <w:r w:rsidR="003307EE" w:rsidRPr="003307EE">
        <w:t>rogram</w:t>
      </w:r>
      <w:r w:rsidR="00071C18">
        <w:t>me</w:t>
      </w:r>
      <w:r w:rsidR="003307EE" w:rsidRPr="003307EE">
        <w:t xml:space="preserve"> for </w:t>
      </w:r>
      <w:r>
        <w:t>G</w:t>
      </w:r>
      <w:r w:rsidR="003307EE" w:rsidRPr="003307EE">
        <w:t xml:space="preserve">overnment released a consultation last year, </w:t>
      </w:r>
      <w:r>
        <w:t xml:space="preserve">and it was </w:t>
      </w:r>
      <w:r w:rsidR="00F63CA3">
        <w:t xml:space="preserve">evident </w:t>
      </w:r>
      <w:r w:rsidR="003307EE" w:rsidRPr="003307EE">
        <w:t>that</w:t>
      </w:r>
      <w:r>
        <w:t xml:space="preserve"> there were </w:t>
      </w:r>
      <w:r w:rsidR="003307EE" w:rsidRPr="003307EE">
        <w:t>deficiencies in Northern Ireland's wastewater infrastructure and that ha</w:t>
      </w:r>
      <w:r w:rsidR="00F63CA3">
        <w:t>d</w:t>
      </w:r>
      <w:r w:rsidR="003307EE" w:rsidRPr="003307EE">
        <w:t xml:space="preserve"> an impact on nature and the economy.</w:t>
      </w:r>
    </w:p>
    <w:p w14:paraId="30A29C83" w14:textId="77777777" w:rsidR="003F191D" w:rsidRDefault="003F191D" w:rsidP="00451C59"/>
    <w:p w14:paraId="6994322A" w14:textId="69C3AF08" w:rsidR="003F191D" w:rsidRDefault="003F191D" w:rsidP="00451C59">
      <w:r>
        <w:t>(Councillor S Irvine, attending remotely, joined the meeting – 7.04pm)</w:t>
      </w:r>
    </w:p>
    <w:p w14:paraId="758626B7" w14:textId="77777777" w:rsidR="00451C59" w:rsidRPr="003F191D" w:rsidRDefault="00451C59" w:rsidP="00451C59"/>
    <w:p w14:paraId="65DE482D" w14:textId="1C294D76" w:rsidR="003307EE" w:rsidRDefault="00F63CA3" w:rsidP="00451C59">
      <w:r>
        <w:t>He referred to the</w:t>
      </w:r>
      <w:r w:rsidR="003307EE" w:rsidRPr="003307EE">
        <w:t xml:space="preserve"> 360 million metres of wastewater</w:t>
      </w:r>
      <w:r>
        <w:t xml:space="preserve"> that the company treated</w:t>
      </w:r>
      <w:r w:rsidR="003307EE" w:rsidRPr="003307EE">
        <w:t xml:space="preserve"> every day</w:t>
      </w:r>
      <w:r>
        <w:t xml:space="preserve"> and a </w:t>
      </w:r>
      <w:r w:rsidR="003307EE" w:rsidRPr="003307EE">
        <w:t>part of the wastewater network called storm overflows and how they work</w:t>
      </w:r>
      <w:r>
        <w:t>ed</w:t>
      </w:r>
      <w:r w:rsidR="003307EE" w:rsidRPr="003307EE">
        <w:t xml:space="preserve"> and operate</w:t>
      </w:r>
      <w:r>
        <w:t>d</w:t>
      </w:r>
      <w:r w:rsidR="003307EE" w:rsidRPr="003307EE">
        <w:t xml:space="preserve"> to prevent out of sewer flooding of homes and businesses.</w:t>
      </w:r>
    </w:p>
    <w:p w14:paraId="39BD4B3A" w14:textId="041868FC" w:rsidR="003307EE" w:rsidRDefault="00F63CA3" w:rsidP="00451C59">
      <w:r>
        <w:t>It was</w:t>
      </w:r>
      <w:r w:rsidR="003307EE" w:rsidRPr="003307EE">
        <w:t xml:space="preserve"> well documented </w:t>
      </w:r>
      <w:r>
        <w:t>that in</w:t>
      </w:r>
      <w:r w:rsidR="003307EE" w:rsidRPr="003307EE">
        <w:t xml:space="preserve"> Northern Ireland </w:t>
      </w:r>
      <w:r>
        <w:t xml:space="preserve">the </w:t>
      </w:r>
      <w:r w:rsidR="003307EE" w:rsidRPr="003307EE">
        <w:t xml:space="preserve">wastewater network and treatment infrastructure </w:t>
      </w:r>
      <w:r>
        <w:t>had</w:t>
      </w:r>
      <w:r w:rsidR="003307EE" w:rsidRPr="003307EE">
        <w:t xml:space="preserve"> been subject to underinvestment for decades.</w:t>
      </w:r>
    </w:p>
    <w:p w14:paraId="40C85E5E" w14:textId="77777777" w:rsidR="00CA051B" w:rsidRDefault="00CA051B" w:rsidP="00451C59">
      <w:pPr>
        <w:rPr>
          <w:b/>
        </w:rPr>
      </w:pPr>
    </w:p>
    <w:p w14:paraId="51778C11" w14:textId="7B2868E1" w:rsidR="003307EE" w:rsidRDefault="00F63CA3" w:rsidP="00451C59">
      <w:r>
        <w:t xml:space="preserve">It was </w:t>
      </w:r>
      <w:r w:rsidR="003307EE" w:rsidRPr="003307EE">
        <w:t xml:space="preserve">therefore simply under the size </w:t>
      </w:r>
      <w:r>
        <w:t>needed to meet the demand required which m</w:t>
      </w:r>
      <w:r w:rsidR="003307EE" w:rsidRPr="003307EE">
        <w:t>ean</w:t>
      </w:r>
      <w:r>
        <w:t>t</w:t>
      </w:r>
      <w:r w:rsidR="003307EE" w:rsidRPr="003307EE">
        <w:t xml:space="preserve"> there </w:t>
      </w:r>
      <w:r>
        <w:t>were</w:t>
      </w:r>
      <w:r w:rsidR="003307EE" w:rsidRPr="003307EE">
        <w:t xml:space="preserve"> higher levels of spills to the environment.</w:t>
      </w:r>
    </w:p>
    <w:p w14:paraId="5E7E2FFB" w14:textId="77777777" w:rsidR="00CA051B" w:rsidRPr="003307EE" w:rsidRDefault="00CA051B" w:rsidP="00451C59">
      <w:pPr>
        <w:rPr>
          <w:b/>
        </w:rPr>
      </w:pPr>
    </w:p>
    <w:p w14:paraId="768613AD" w14:textId="0F0AE866" w:rsidR="003307EE" w:rsidRDefault="003307EE" w:rsidP="00451C59">
      <w:r w:rsidRPr="003307EE">
        <w:t>The environmental impact from those under-invested assets was understood back in 2007 when the company was formed.</w:t>
      </w:r>
    </w:p>
    <w:p w14:paraId="65685320" w14:textId="77777777" w:rsidR="00CA051B" w:rsidRPr="003307EE" w:rsidRDefault="00CA051B" w:rsidP="00451C59">
      <w:pPr>
        <w:rPr>
          <w:b/>
        </w:rPr>
      </w:pPr>
    </w:p>
    <w:p w14:paraId="17041A80" w14:textId="584C8A94" w:rsidR="003307EE" w:rsidRPr="003307EE" w:rsidRDefault="003307EE" w:rsidP="00451C59">
      <w:pPr>
        <w:rPr>
          <w:b/>
        </w:rPr>
      </w:pPr>
      <w:r w:rsidRPr="003307EE">
        <w:t>At the time, a regulatory dispensation was put into place so that higher environmental standards could be levied once the assets had been invested in</w:t>
      </w:r>
      <w:r w:rsidR="00F63CA3">
        <w:t>.</w:t>
      </w:r>
      <w:r w:rsidRPr="003307EE">
        <w:t xml:space="preserve"> </w:t>
      </w:r>
    </w:p>
    <w:p w14:paraId="406AD64A" w14:textId="3BBC7CD8" w:rsidR="003307EE" w:rsidRDefault="00F63CA3" w:rsidP="00451C59">
      <w:r>
        <w:lastRenderedPageBreak/>
        <w:t>That</w:t>
      </w:r>
      <w:r w:rsidR="003307EE" w:rsidRPr="003307EE">
        <w:t xml:space="preserve"> dispensation should have been short term, a short-term mitigation, and it was there to provide breathing space for the wastewater investment program</w:t>
      </w:r>
      <w:r w:rsidR="00071C18">
        <w:t>me</w:t>
      </w:r>
      <w:r w:rsidR="003307EE" w:rsidRPr="003307EE">
        <w:t xml:space="preserve">. </w:t>
      </w:r>
      <w:r>
        <w:t>U</w:t>
      </w:r>
      <w:r w:rsidR="003307EE" w:rsidRPr="003307EE">
        <w:t>nfortunately,</w:t>
      </w:r>
      <w:r>
        <w:t xml:space="preserve"> an</w:t>
      </w:r>
      <w:r w:rsidR="003307EE" w:rsidRPr="003307EE">
        <w:t xml:space="preserve"> investment program</w:t>
      </w:r>
      <w:r w:rsidR="00071C18">
        <w:t>me</w:t>
      </w:r>
      <w:r w:rsidR="003307EE" w:rsidRPr="003307EE">
        <w:t xml:space="preserve"> was not included </w:t>
      </w:r>
      <w:r>
        <w:t>in</w:t>
      </w:r>
      <w:r w:rsidR="003307EE" w:rsidRPr="003307EE">
        <w:t xml:space="preserve"> successive business plans until PC21.</w:t>
      </w:r>
    </w:p>
    <w:p w14:paraId="2285E843" w14:textId="77777777" w:rsidR="00CA051B" w:rsidRPr="003307EE" w:rsidRDefault="00CA051B" w:rsidP="00451C59">
      <w:pPr>
        <w:rPr>
          <w:b/>
        </w:rPr>
      </w:pPr>
    </w:p>
    <w:p w14:paraId="5E3E2618" w14:textId="4828B68B" w:rsidR="003307EE" w:rsidRDefault="003307EE" w:rsidP="00451C59">
      <w:r w:rsidRPr="003307EE">
        <w:t>Northern Ireland need</w:t>
      </w:r>
      <w:r w:rsidR="00727FAB">
        <w:t>ed</w:t>
      </w:r>
      <w:r w:rsidRPr="003307EE">
        <w:t xml:space="preserve"> to protect its watercourses to reduce the level of nutrients as th</w:t>
      </w:r>
      <w:r w:rsidR="00071C18">
        <w:t>o</w:t>
      </w:r>
      <w:r w:rsidRPr="003307EE">
        <w:t xml:space="preserve">se </w:t>
      </w:r>
      <w:r w:rsidR="00727FAB">
        <w:t>could</w:t>
      </w:r>
      <w:r w:rsidRPr="003307EE">
        <w:t xml:space="preserve"> cause green and blue-green algal blooms, as ha</w:t>
      </w:r>
      <w:r w:rsidR="00727FAB">
        <w:t>d</w:t>
      </w:r>
      <w:r w:rsidRPr="003307EE">
        <w:t xml:space="preserve"> been seen in recent summers.</w:t>
      </w:r>
    </w:p>
    <w:p w14:paraId="66D8BBB1" w14:textId="77777777" w:rsidR="00CA051B" w:rsidRPr="003307EE" w:rsidRDefault="00CA051B" w:rsidP="00451C59">
      <w:pPr>
        <w:rPr>
          <w:b/>
        </w:rPr>
      </w:pPr>
    </w:p>
    <w:p w14:paraId="5A24C353" w14:textId="7E70234E" w:rsidR="003307EE" w:rsidRDefault="00727FAB" w:rsidP="00451C59">
      <w:r>
        <w:t>NI Water had</w:t>
      </w:r>
      <w:r w:rsidR="003307EE" w:rsidRPr="003307EE">
        <w:t xml:space="preserve"> to tackle that problem</w:t>
      </w:r>
      <w:r>
        <w:t xml:space="preserve"> and </w:t>
      </w:r>
      <w:r w:rsidR="003307EE" w:rsidRPr="003307EE">
        <w:t xml:space="preserve">the way to do that </w:t>
      </w:r>
      <w:r>
        <w:t>was</w:t>
      </w:r>
      <w:r w:rsidR="003307EE" w:rsidRPr="003307EE">
        <w:t xml:space="preserve"> to make sure </w:t>
      </w:r>
      <w:r>
        <w:t>it did not</w:t>
      </w:r>
      <w:r w:rsidR="003307EE" w:rsidRPr="003307EE">
        <w:t xml:space="preserve"> overload the wastewater infrastructure</w:t>
      </w:r>
      <w:r>
        <w:t xml:space="preserve"> a</w:t>
      </w:r>
      <w:r w:rsidR="003307EE" w:rsidRPr="003307EE">
        <w:t>nd that mean</w:t>
      </w:r>
      <w:r>
        <w:t>t</w:t>
      </w:r>
      <w:r w:rsidR="003307EE" w:rsidRPr="003307EE">
        <w:t xml:space="preserve"> limiting or stopping connections to an undersized network.</w:t>
      </w:r>
    </w:p>
    <w:p w14:paraId="1C0179E7" w14:textId="77777777" w:rsidR="00CA051B" w:rsidRPr="003307EE" w:rsidRDefault="00CA051B" w:rsidP="00451C59">
      <w:pPr>
        <w:rPr>
          <w:b/>
        </w:rPr>
      </w:pPr>
    </w:p>
    <w:p w14:paraId="1C669D22" w14:textId="2ACB5099" w:rsidR="003307EE" w:rsidRPr="003307EE" w:rsidRDefault="00727FAB" w:rsidP="00451C59">
      <w:pPr>
        <w:rPr>
          <w:b/>
        </w:rPr>
      </w:pPr>
      <w:r>
        <w:t>It was</w:t>
      </w:r>
      <w:r w:rsidR="003307EE" w:rsidRPr="003307EE">
        <w:t xml:space="preserve"> that necessary action that </w:t>
      </w:r>
      <w:r>
        <w:t>was</w:t>
      </w:r>
      <w:r w:rsidR="003307EE" w:rsidRPr="003307EE">
        <w:t xml:space="preserve"> impacting on Northern Ireland's ability to build new homes and to connect new businesses.</w:t>
      </w:r>
    </w:p>
    <w:p w14:paraId="7197E457" w14:textId="78591B92" w:rsidR="003307EE" w:rsidRDefault="00727FAB" w:rsidP="00451C59">
      <w:r>
        <w:t xml:space="preserve">A further slide showed </w:t>
      </w:r>
      <w:r w:rsidR="003307EE" w:rsidRPr="003307EE">
        <w:t>the shape of the capital program</w:t>
      </w:r>
      <w:r w:rsidR="00071C18">
        <w:t>me</w:t>
      </w:r>
      <w:r w:rsidR="003307EE" w:rsidRPr="003307EE">
        <w:t xml:space="preserve"> for the current six-year price control period called PC21.</w:t>
      </w:r>
    </w:p>
    <w:p w14:paraId="5D33D253" w14:textId="77777777" w:rsidR="00CA051B" w:rsidRPr="003307EE" w:rsidRDefault="00CA051B" w:rsidP="00451C59">
      <w:pPr>
        <w:rPr>
          <w:b/>
        </w:rPr>
      </w:pPr>
    </w:p>
    <w:p w14:paraId="306EB982" w14:textId="28020B9A" w:rsidR="003307EE" w:rsidRDefault="00727FAB" w:rsidP="00451C59">
      <w:r>
        <w:t>This was the</w:t>
      </w:r>
      <w:r w:rsidR="003307EE" w:rsidRPr="003307EE">
        <w:t xml:space="preserve"> plan for the whole of Northern Ireland</w:t>
      </w:r>
      <w:r>
        <w:t xml:space="preserve"> </w:t>
      </w:r>
      <w:r w:rsidR="003307EE" w:rsidRPr="003307EE">
        <w:t>that was agreed with the utility regulator and it was a plan to begin to address the problems in Northern Ireland's infrastructure, particularly wastewater.</w:t>
      </w:r>
      <w:r>
        <w:t xml:space="preserve"> It </w:t>
      </w:r>
      <w:r w:rsidR="003307EE" w:rsidRPr="003307EE">
        <w:t xml:space="preserve">was in excess of £2 billion </w:t>
      </w:r>
      <w:r>
        <w:t>of</w:t>
      </w:r>
      <w:r w:rsidR="003307EE" w:rsidRPr="003307EE">
        <w:t xml:space="preserve"> investment over six years.</w:t>
      </w:r>
    </w:p>
    <w:p w14:paraId="55CF1C75" w14:textId="77777777" w:rsidR="00CA051B" w:rsidRPr="003307EE" w:rsidRDefault="00CA051B" w:rsidP="00451C59">
      <w:pPr>
        <w:rPr>
          <w:b/>
        </w:rPr>
      </w:pPr>
    </w:p>
    <w:p w14:paraId="364B997F" w14:textId="0FD0B5E2" w:rsidR="003307EE" w:rsidRDefault="00727FAB" w:rsidP="00451C59">
      <w:r>
        <w:t>Dr Blockwell referred to</w:t>
      </w:r>
      <w:r w:rsidR="003307EE" w:rsidRPr="003307EE">
        <w:t xml:space="preserve"> a quote from Northern Ireland's environmental regulator, which spel</w:t>
      </w:r>
      <w:r>
        <w:t>t</w:t>
      </w:r>
      <w:r w:rsidR="003307EE" w:rsidRPr="003307EE">
        <w:t xml:space="preserve"> out the issues with the wastewater assets across N</w:t>
      </w:r>
      <w:r w:rsidR="00071C18">
        <w:t>orther Ireland</w:t>
      </w:r>
      <w:r>
        <w:t xml:space="preserve">. </w:t>
      </w:r>
      <w:r w:rsidR="00071C18">
        <w:t xml:space="preserve"> </w:t>
      </w:r>
      <w:r>
        <w:t>NI</w:t>
      </w:r>
      <w:r w:rsidR="00071C18">
        <w:t>W</w:t>
      </w:r>
      <w:r w:rsidR="003307EE" w:rsidRPr="003307EE">
        <w:t xml:space="preserve"> ha</w:t>
      </w:r>
      <w:r>
        <w:t>d</w:t>
      </w:r>
      <w:r w:rsidR="003307EE" w:rsidRPr="003307EE">
        <w:t xml:space="preserve"> stipulated that it </w:t>
      </w:r>
      <w:r>
        <w:t>was</w:t>
      </w:r>
      <w:r w:rsidR="003307EE" w:rsidRPr="003307EE">
        <w:t xml:space="preserve"> a public health and environmental issue that need</w:t>
      </w:r>
      <w:r>
        <w:t>ed</w:t>
      </w:r>
      <w:r w:rsidR="003307EE" w:rsidRPr="003307EE">
        <w:t xml:space="preserve"> to be resolved</w:t>
      </w:r>
      <w:r>
        <w:t xml:space="preserve"> and</w:t>
      </w:r>
      <w:r w:rsidR="003307EE" w:rsidRPr="003307EE">
        <w:t xml:space="preserve"> that the continual deterioration of water quality in Northern Ireland </w:t>
      </w:r>
      <w:r>
        <w:t>was</w:t>
      </w:r>
      <w:r w:rsidR="003307EE" w:rsidRPr="003307EE">
        <w:t xml:space="preserve"> inevitable</w:t>
      </w:r>
      <w:r>
        <w:t xml:space="preserve"> unless something was done.</w:t>
      </w:r>
    </w:p>
    <w:p w14:paraId="232C5551" w14:textId="77777777" w:rsidR="00CA051B" w:rsidRPr="003307EE" w:rsidRDefault="00CA051B" w:rsidP="00451C59">
      <w:pPr>
        <w:rPr>
          <w:b/>
        </w:rPr>
      </w:pPr>
    </w:p>
    <w:p w14:paraId="02CAB383" w14:textId="54DE5A33" w:rsidR="003307EE" w:rsidRDefault="00727FAB" w:rsidP="00451C59">
      <w:r>
        <w:t>In</w:t>
      </w:r>
      <w:r w:rsidR="003307EE" w:rsidRPr="003307EE">
        <w:t xml:space="preserve"> PC21 years four, five and six, </w:t>
      </w:r>
      <w:r w:rsidR="00D008CD">
        <w:t>there was</w:t>
      </w:r>
      <w:r w:rsidR="003307EE" w:rsidRPr="003307EE">
        <w:t xml:space="preserve"> intense capital spend and investment, particularly in wastewater.</w:t>
      </w:r>
      <w:r w:rsidR="00D008CD">
        <w:t xml:space="preserve"> </w:t>
      </w:r>
      <w:r w:rsidR="00071C18">
        <w:t xml:space="preserve"> </w:t>
      </w:r>
      <w:r w:rsidR="00D008CD">
        <w:t>T</w:t>
      </w:r>
      <w:r w:rsidR="003307EE" w:rsidRPr="003307EE">
        <w:t xml:space="preserve">hat was to alleviate some of the stresses and strains on the wastewater network and the impact that those </w:t>
      </w:r>
      <w:r w:rsidR="00D008CD">
        <w:t>had</w:t>
      </w:r>
      <w:r w:rsidR="003307EE" w:rsidRPr="003307EE">
        <w:t xml:space="preserve"> on consumers.</w:t>
      </w:r>
    </w:p>
    <w:p w14:paraId="66D966F7" w14:textId="77777777" w:rsidR="00CA051B" w:rsidRPr="003307EE" w:rsidRDefault="00CA051B" w:rsidP="00451C59">
      <w:pPr>
        <w:rPr>
          <w:b/>
        </w:rPr>
      </w:pPr>
    </w:p>
    <w:p w14:paraId="6D7187EB" w14:textId="0A0E12E9" w:rsidR="003307EE" w:rsidRDefault="003307EE" w:rsidP="00451C59">
      <w:r w:rsidRPr="003307EE">
        <w:t xml:space="preserve">Unfortunately, due to difficulties across Northern Ireland government for PC21 year </w:t>
      </w:r>
      <w:r w:rsidR="00D008CD">
        <w:t>4,</w:t>
      </w:r>
      <w:r w:rsidRPr="003307EE">
        <w:t xml:space="preserve"> </w:t>
      </w:r>
      <w:r w:rsidR="00D008CD">
        <w:t>NI Water had</w:t>
      </w:r>
      <w:r w:rsidRPr="003307EE">
        <w:t xml:space="preserve"> been allocated </w:t>
      </w:r>
      <w:r w:rsidR="00D008CD">
        <w:t>£</w:t>
      </w:r>
      <w:r w:rsidRPr="003307EE">
        <w:t xml:space="preserve">321million against the </w:t>
      </w:r>
      <w:r w:rsidR="00D008CD">
        <w:t>£</w:t>
      </w:r>
      <w:r w:rsidRPr="003307EE">
        <w:t>590million</w:t>
      </w:r>
      <w:r w:rsidR="00D008CD">
        <w:t xml:space="preserve"> that </w:t>
      </w:r>
      <w:r w:rsidRPr="003307EE">
        <w:t>Northern Ireland's infrastructure need</w:t>
      </w:r>
      <w:r w:rsidR="00D008CD">
        <w:t>ed</w:t>
      </w:r>
      <w:r w:rsidRPr="003307EE">
        <w:t>. So that</w:t>
      </w:r>
      <w:r w:rsidR="00D008CD">
        <w:t xml:space="preserve"> </w:t>
      </w:r>
      <w:r w:rsidRPr="003307EE">
        <w:t xml:space="preserve"> shortfall</w:t>
      </w:r>
      <w:r w:rsidR="00D008CD">
        <w:t xml:space="preserve"> of </w:t>
      </w:r>
      <w:r w:rsidRPr="003307EE">
        <w:t xml:space="preserve">45%, approximately </w:t>
      </w:r>
      <w:r w:rsidR="00D008CD">
        <w:t>£</w:t>
      </w:r>
      <w:r w:rsidRPr="003307EE">
        <w:t>270million against what the independent utility regulator determined was required</w:t>
      </w:r>
      <w:r w:rsidR="00D008CD">
        <w:t xml:space="preserve"> t</w:t>
      </w:r>
      <w:r w:rsidRPr="003307EE">
        <w:t>o invest in Northern Ireland's vital wastewater and water infrastructure.</w:t>
      </w:r>
    </w:p>
    <w:p w14:paraId="43B5D088" w14:textId="77777777" w:rsidR="00CA051B" w:rsidRPr="003307EE" w:rsidRDefault="00CA051B" w:rsidP="00451C59">
      <w:pPr>
        <w:rPr>
          <w:b/>
        </w:rPr>
      </w:pPr>
    </w:p>
    <w:p w14:paraId="2F7BA8E9" w14:textId="76B28D77" w:rsidR="003307EE" w:rsidRDefault="003307EE" w:rsidP="00451C59">
      <w:r w:rsidRPr="003307EE">
        <w:t>Small increases through monitoring rounds, though they</w:t>
      </w:r>
      <w:r w:rsidR="00D008CD">
        <w:t xml:space="preserve"> were</w:t>
      </w:r>
      <w:r w:rsidRPr="003307EE">
        <w:t xml:space="preserve"> very welcome, </w:t>
      </w:r>
      <w:r w:rsidR="00D008CD">
        <w:t>were</w:t>
      </w:r>
      <w:r w:rsidRPr="003307EE">
        <w:t xml:space="preserve"> not going to address the issues</w:t>
      </w:r>
      <w:r w:rsidR="00D008CD">
        <w:t>.</w:t>
      </w:r>
    </w:p>
    <w:p w14:paraId="785ACBA5" w14:textId="77777777" w:rsidR="00CA051B" w:rsidRPr="003307EE" w:rsidRDefault="00CA051B" w:rsidP="00451C59">
      <w:pPr>
        <w:rPr>
          <w:b/>
        </w:rPr>
      </w:pPr>
    </w:p>
    <w:p w14:paraId="689ABFEF" w14:textId="70433D78" w:rsidR="003307EE" w:rsidRDefault="00D008CD" w:rsidP="00451C59">
      <w:r>
        <w:t>He presented a further slide which showed the impacts of this</w:t>
      </w:r>
      <w:r w:rsidR="003307EE" w:rsidRPr="003307EE">
        <w:t xml:space="preserve"> constrained funding on the PC21 capital investment program</w:t>
      </w:r>
      <w:r w:rsidR="00071C18">
        <w:t>me</w:t>
      </w:r>
      <w:r>
        <w:t xml:space="preserve"> towards the end of the price control period.</w:t>
      </w:r>
    </w:p>
    <w:p w14:paraId="09E7FC18" w14:textId="77777777" w:rsidR="00CA051B" w:rsidRPr="003307EE" w:rsidRDefault="00CA051B" w:rsidP="00451C59">
      <w:pPr>
        <w:rPr>
          <w:b/>
        </w:rPr>
      </w:pPr>
    </w:p>
    <w:p w14:paraId="5BF2281A" w14:textId="5E4312C6" w:rsidR="003307EE" w:rsidRDefault="003307EE" w:rsidP="00451C59">
      <w:r w:rsidRPr="003307EE">
        <w:t>Th</w:t>
      </w:r>
      <w:r w:rsidR="00B81432">
        <w:t>at</w:t>
      </w:r>
      <w:r w:rsidRPr="003307EE">
        <w:t xml:space="preserve"> affect</w:t>
      </w:r>
      <w:r w:rsidR="00D008CD">
        <w:t xml:space="preserve">ed </w:t>
      </w:r>
      <w:r w:rsidRPr="003307EE">
        <w:t xml:space="preserve">enhancements or upgrades of Northern Ireland's ageing and undersized wastewater infrastructure. </w:t>
      </w:r>
      <w:r w:rsidR="00B81432">
        <w:t xml:space="preserve"> </w:t>
      </w:r>
      <w:r w:rsidR="00D008CD">
        <w:t xml:space="preserve">NI Water had to </w:t>
      </w:r>
      <w:r w:rsidRPr="003307EE">
        <w:t xml:space="preserve">prioritise the funds that </w:t>
      </w:r>
      <w:r w:rsidR="00D008CD">
        <w:t>it had</w:t>
      </w:r>
      <w:r w:rsidRPr="003307EE">
        <w:t xml:space="preserve"> on maintaining existing assets through plan</w:t>
      </w:r>
      <w:r w:rsidR="00D218B1">
        <w:t>ned</w:t>
      </w:r>
      <w:r w:rsidRPr="003307EE">
        <w:t xml:space="preserve"> maintenance and reactive </w:t>
      </w:r>
      <w:r w:rsidRPr="003307EE">
        <w:lastRenderedPageBreak/>
        <w:t xml:space="preserve">maintenance. </w:t>
      </w:r>
      <w:r w:rsidR="00B30680">
        <w:t>He also referred to the</w:t>
      </w:r>
      <w:r w:rsidRPr="003307EE">
        <w:t xml:space="preserve"> management </w:t>
      </w:r>
      <w:r w:rsidR="00B30680">
        <w:t>of the</w:t>
      </w:r>
      <w:r w:rsidRPr="003307EE">
        <w:t xml:space="preserve"> general program</w:t>
      </w:r>
      <w:r w:rsidR="00B81432">
        <w:t>me</w:t>
      </w:r>
      <w:r w:rsidRPr="003307EE">
        <w:t xml:space="preserve">, which </w:t>
      </w:r>
      <w:r w:rsidR="00B30680">
        <w:t>kept</w:t>
      </w:r>
      <w:r w:rsidRPr="003307EE">
        <w:t xml:space="preserve"> </w:t>
      </w:r>
      <w:r w:rsidR="00B30680">
        <w:t>its</w:t>
      </w:r>
      <w:r w:rsidRPr="003307EE">
        <w:t xml:space="preserve"> IT systems, fleet of vans and </w:t>
      </w:r>
      <w:r w:rsidR="00B30680">
        <w:t>its</w:t>
      </w:r>
      <w:r w:rsidRPr="003307EE">
        <w:t xml:space="preserve"> buildings running</w:t>
      </w:r>
      <w:r w:rsidR="00B30680">
        <w:t>.</w:t>
      </w:r>
    </w:p>
    <w:p w14:paraId="6B536984" w14:textId="77777777" w:rsidR="00CA051B" w:rsidRPr="003307EE" w:rsidRDefault="00CA051B" w:rsidP="00451C59">
      <w:pPr>
        <w:rPr>
          <w:b/>
        </w:rPr>
      </w:pPr>
    </w:p>
    <w:p w14:paraId="2250FD4B" w14:textId="3734D848" w:rsidR="003307EE" w:rsidRDefault="00B30680" w:rsidP="00451C59">
      <w:r>
        <w:t xml:space="preserve">It also ensured the provision </w:t>
      </w:r>
      <w:r w:rsidR="003307EE" w:rsidRPr="003307EE">
        <w:t>of safe, clean drinking water to consumers across the province at all times</w:t>
      </w:r>
      <w:r>
        <w:t xml:space="preserve"> and what remained was a </w:t>
      </w:r>
      <w:r w:rsidR="003307EE" w:rsidRPr="003307EE">
        <w:t>very small amount to address wastewater treatment and wastewater network enhancement.</w:t>
      </w:r>
    </w:p>
    <w:p w14:paraId="002471F2" w14:textId="77777777" w:rsidR="00CA051B" w:rsidRPr="003307EE" w:rsidRDefault="00CA051B" w:rsidP="00451C59">
      <w:pPr>
        <w:rPr>
          <w:b/>
        </w:rPr>
      </w:pPr>
    </w:p>
    <w:p w14:paraId="3078817A" w14:textId="79F5E488" w:rsidR="003307EE" w:rsidRDefault="00B30680" w:rsidP="00451C59">
      <w:r>
        <w:t xml:space="preserve">As a failure to invest in new assets continued, its </w:t>
      </w:r>
      <w:r w:rsidR="003307EE" w:rsidRPr="003307EE">
        <w:t xml:space="preserve">base maintenance costs </w:t>
      </w:r>
      <w:r>
        <w:t>would also</w:t>
      </w:r>
      <w:r w:rsidR="003307EE" w:rsidRPr="003307EE">
        <w:t xml:space="preserve"> increase significantly</w:t>
      </w:r>
      <w:r>
        <w:t>.</w:t>
      </w:r>
    </w:p>
    <w:p w14:paraId="129C4D63" w14:textId="77777777" w:rsidR="00CA051B" w:rsidRPr="003307EE" w:rsidRDefault="00CA051B" w:rsidP="00451C59">
      <w:pPr>
        <w:rPr>
          <w:b/>
        </w:rPr>
      </w:pPr>
    </w:p>
    <w:p w14:paraId="1DC4A2E3" w14:textId="410861D1" w:rsidR="003307EE" w:rsidRDefault="003307EE" w:rsidP="00451C59">
      <w:pPr>
        <w:rPr>
          <w:b/>
        </w:rPr>
      </w:pPr>
      <w:r w:rsidRPr="003307EE">
        <w:t>It</w:t>
      </w:r>
      <w:r w:rsidR="00B30680">
        <w:t xml:space="preserve"> was an </w:t>
      </w:r>
      <w:r w:rsidRPr="003307EE">
        <w:t>extremely challenging</w:t>
      </w:r>
      <w:r w:rsidR="00B30680">
        <w:t xml:space="preserve"> situation</w:t>
      </w:r>
      <w:r w:rsidRPr="003307EE">
        <w:t xml:space="preserve"> and </w:t>
      </w:r>
      <w:r w:rsidR="00B30680">
        <w:t>NI Water was</w:t>
      </w:r>
      <w:r w:rsidRPr="003307EE">
        <w:t xml:space="preserve"> looking at ways to minimize an impact of losing nearly a billion pounds from the wastewater recovery program</w:t>
      </w:r>
      <w:r w:rsidR="00B81432">
        <w:t>me</w:t>
      </w:r>
      <w:r w:rsidRPr="003307EE">
        <w:t>.</w:t>
      </w:r>
    </w:p>
    <w:p w14:paraId="21FCA63E" w14:textId="77777777" w:rsidR="00B30680" w:rsidRDefault="00B30680" w:rsidP="00451C59"/>
    <w:p w14:paraId="27D002BA" w14:textId="0E1B0B64" w:rsidR="00D218B1" w:rsidRDefault="00B30680" w:rsidP="00451C59">
      <w:r>
        <w:t>Referring to Ards and North Down’s ambitions, Dr Blockwell explained that his team had liaised with ANDBC’s Planning Service since 2015</w:t>
      </w:r>
      <w:r w:rsidR="00D218B1">
        <w:t xml:space="preserve"> and it</w:t>
      </w:r>
      <w:r>
        <w:t xml:space="preserve"> was</w:t>
      </w:r>
      <w:r w:rsidR="003307EE" w:rsidRPr="003307EE">
        <w:t xml:space="preserve"> up to the draft plan strategy development stage. </w:t>
      </w:r>
      <w:r>
        <w:t>He described the plans as ambitious with</w:t>
      </w:r>
      <w:r w:rsidR="003307EE" w:rsidRPr="003307EE">
        <w:t xml:space="preserve"> targets there for delivery of over 8,000 new homes and 7,500 new jobs across the </w:t>
      </w:r>
      <w:r w:rsidR="00D218B1">
        <w:t>B</w:t>
      </w:r>
      <w:r w:rsidR="003307EE" w:rsidRPr="003307EE">
        <w:t>orough by 2030.</w:t>
      </w:r>
    </w:p>
    <w:p w14:paraId="52A2BD6D" w14:textId="77777777" w:rsidR="00D218B1" w:rsidRDefault="00D218B1" w:rsidP="00451C59"/>
    <w:p w14:paraId="71C80B98" w14:textId="77777777" w:rsidR="00D218B1" w:rsidRDefault="00D218B1" w:rsidP="00451C59">
      <w:r>
        <w:t>A further slide covered</w:t>
      </w:r>
      <w:r w:rsidR="003307EE" w:rsidRPr="003307EE">
        <w:t xml:space="preserve"> some of the key capital investments that </w:t>
      </w:r>
      <w:r>
        <w:t>were</w:t>
      </w:r>
      <w:r w:rsidR="003307EE" w:rsidRPr="003307EE">
        <w:t xml:space="preserve"> going on this financial year</w:t>
      </w:r>
      <w:r>
        <w:t xml:space="preserve"> along with the </w:t>
      </w:r>
      <w:r w:rsidR="003307EE" w:rsidRPr="003307EE">
        <w:t xml:space="preserve">significant investment challenges </w:t>
      </w:r>
      <w:r>
        <w:t xml:space="preserve">that had </w:t>
      </w:r>
      <w:r w:rsidR="003307EE" w:rsidRPr="003307EE">
        <w:t xml:space="preserve">impacted </w:t>
      </w:r>
      <w:r>
        <w:t>NI Water’s</w:t>
      </w:r>
      <w:r w:rsidR="003307EE" w:rsidRPr="003307EE">
        <w:t xml:space="preserve"> investment that </w:t>
      </w:r>
      <w:r>
        <w:t>it</w:t>
      </w:r>
      <w:r w:rsidR="003307EE" w:rsidRPr="003307EE">
        <w:t xml:space="preserve"> had planned</w:t>
      </w:r>
      <w:r>
        <w:t xml:space="preserve"> this</w:t>
      </w:r>
      <w:r w:rsidR="003307EE" w:rsidRPr="003307EE">
        <w:t xml:space="preserve"> year and during the remainder of PC21 across the </w:t>
      </w:r>
      <w:r>
        <w:t>B</w:t>
      </w:r>
      <w:r w:rsidR="003307EE" w:rsidRPr="003307EE">
        <w:t>orough.</w:t>
      </w:r>
    </w:p>
    <w:p w14:paraId="76B92E7C" w14:textId="77777777" w:rsidR="00D218B1" w:rsidRDefault="00D218B1" w:rsidP="00451C59"/>
    <w:p w14:paraId="37A82850" w14:textId="6802C2AB" w:rsidR="007B0BA5" w:rsidRDefault="00D218B1" w:rsidP="00451C59">
      <w:r>
        <w:t xml:space="preserve">He highlighted </w:t>
      </w:r>
      <w:r w:rsidRPr="00D218B1">
        <w:t>Whitespots Greyabbey Trunk main</w:t>
      </w:r>
      <w:r>
        <w:t xml:space="preserve"> which</w:t>
      </w:r>
      <w:r w:rsidR="003307EE" w:rsidRPr="003307EE">
        <w:t xml:space="preserve"> represent</w:t>
      </w:r>
      <w:r>
        <w:t>ed</w:t>
      </w:r>
      <w:r w:rsidR="003307EE" w:rsidRPr="003307EE">
        <w:t xml:space="preserve"> a £5 million total investment to provide infrastructure which ensure</w:t>
      </w:r>
      <w:r>
        <w:t>d</w:t>
      </w:r>
      <w:r w:rsidR="003307EE" w:rsidRPr="003307EE">
        <w:t xml:space="preserve"> the resilience of the Grey</w:t>
      </w:r>
      <w:r>
        <w:t>a</w:t>
      </w:r>
      <w:r w:rsidR="003307EE" w:rsidRPr="003307EE">
        <w:t xml:space="preserve">bbey Water Distribution Network. </w:t>
      </w:r>
      <w:r w:rsidR="00B81432">
        <w:t xml:space="preserve"> </w:t>
      </w:r>
      <w:r w:rsidR="007F49B5">
        <w:t>£</w:t>
      </w:r>
      <w:r w:rsidR="003307EE" w:rsidRPr="003307EE">
        <w:t>120,000 ha</w:t>
      </w:r>
      <w:r w:rsidR="007F49B5">
        <w:t>d</w:t>
      </w:r>
      <w:r w:rsidR="003307EE" w:rsidRPr="003307EE">
        <w:t xml:space="preserve"> been invested this financial year and the project </w:t>
      </w:r>
      <w:r w:rsidR="007F49B5">
        <w:t xml:space="preserve">was now completed. </w:t>
      </w:r>
      <w:r w:rsidR="00B81432">
        <w:t xml:space="preserve"> </w:t>
      </w:r>
      <w:r w:rsidR="007F49B5">
        <w:t>That was</w:t>
      </w:r>
      <w:r w:rsidR="003307EE" w:rsidRPr="003307EE">
        <w:t xml:space="preserve"> </w:t>
      </w:r>
      <w:r w:rsidR="00B81432">
        <w:t xml:space="preserve">a </w:t>
      </w:r>
      <w:r w:rsidR="003307EE" w:rsidRPr="003307EE">
        <w:t>15.8 kilometre trunk main that</w:t>
      </w:r>
      <w:r w:rsidR="007F49B5">
        <w:t xml:space="preserve"> had</w:t>
      </w:r>
      <w:r w:rsidR="003307EE" w:rsidRPr="003307EE">
        <w:t xml:space="preserve"> become operational</w:t>
      </w:r>
      <w:r w:rsidR="007F49B5">
        <w:t xml:space="preserve"> in</w:t>
      </w:r>
      <w:r w:rsidR="003307EE" w:rsidRPr="003307EE">
        <w:t xml:space="preserve"> this financial year.</w:t>
      </w:r>
    </w:p>
    <w:p w14:paraId="51832CDE" w14:textId="77777777" w:rsidR="007B0BA5" w:rsidRDefault="007B0BA5" w:rsidP="00451C59"/>
    <w:p w14:paraId="01C49EF0" w14:textId="7D8DD18A" w:rsidR="007B0BA5" w:rsidRDefault="007F49B5" w:rsidP="007B0BA5">
      <w:r>
        <w:t xml:space="preserve">The </w:t>
      </w:r>
      <w:r w:rsidRPr="007F49B5">
        <w:t>Drum Road Strangford WIIM Regen2 Work package</w:t>
      </w:r>
      <w:r>
        <w:t xml:space="preserve"> was </w:t>
      </w:r>
      <w:r w:rsidR="003307EE" w:rsidRPr="003307EE">
        <w:t xml:space="preserve">a water mains rehabilitation project </w:t>
      </w:r>
      <w:r>
        <w:t>and NI Water had</w:t>
      </w:r>
      <w:r w:rsidR="003307EE" w:rsidRPr="003307EE">
        <w:t xml:space="preserve"> been accelerating its delivery in the Strangford</w:t>
      </w:r>
      <w:r>
        <w:t xml:space="preserve"> and</w:t>
      </w:r>
      <w:r w:rsidR="003307EE" w:rsidRPr="003307EE">
        <w:t xml:space="preserve"> </w:t>
      </w:r>
      <w:r>
        <w:t>Portavogie</w:t>
      </w:r>
      <w:r w:rsidR="003307EE" w:rsidRPr="003307EE">
        <w:t xml:space="preserve"> area. </w:t>
      </w:r>
      <w:r>
        <w:t>Th</w:t>
      </w:r>
      <w:r w:rsidR="00B81432">
        <w:t>at</w:t>
      </w:r>
      <w:r w:rsidR="003307EE" w:rsidRPr="003307EE">
        <w:t xml:space="preserve"> package contain</w:t>
      </w:r>
      <w:r>
        <w:t>ed around</w:t>
      </w:r>
      <w:r w:rsidR="003307EE" w:rsidRPr="003307EE">
        <w:t xml:space="preserve"> 40 schemes and involve</w:t>
      </w:r>
      <w:r>
        <w:t>d</w:t>
      </w:r>
      <w:r w:rsidR="003307EE" w:rsidRPr="003307EE">
        <w:t xml:space="preserve"> the rehabilitation of about 25 kilometres of mains, an overall investment of </w:t>
      </w:r>
      <w:r>
        <w:t>around</w:t>
      </w:r>
      <w:r w:rsidR="003307EE" w:rsidRPr="003307EE">
        <w:t xml:space="preserve"> </w:t>
      </w:r>
      <w:r>
        <w:t>£</w:t>
      </w:r>
      <w:r w:rsidR="003307EE" w:rsidRPr="003307EE">
        <w:t>3million</w:t>
      </w:r>
      <w:r>
        <w:t xml:space="preserve"> with £</w:t>
      </w:r>
      <w:r w:rsidR="003307EE" w:rsidRPr="003307EE">
        <w:t>900K being invested this financial year.</w:t>
      </w:r>
      <w:r w:rsidR="007B0BA5">
        <w:t xml:space="preserve"> </w:t>
      </w:r>
    </w:p>
    <w:p w14:paraId="22E81D81" w14:textId="77777777" w:rsidR="007B0BA5" w:rsidRDefault="007B0BA5" w:rsidP="007B0BA5"/>
    <w:p w14:paraId="2FB23FE9" w14:textId="2DFAF68A" w:rsidR="007B0BA5" w:rsidRDefault="003307EE" w:rsidP="007B0BA5">
      <w:r w:rsidRPr="003307EE">
        <w:t xml:space="preserve">Unfortunately, with </w:t>
      </w:r>
      <w:r w:rsidR="007F49B5">
        <w:t>£</w:t>
      </w:r>
      <w:r w:rsidRPr="003307EE">
        <w:t xml:space="preserve">0.8billion coming out of </w:t>
      </w:r>
      <w:r w:rsidR="007F49B5">
        <w:t>NI Water’s</w:t>
      </w:r>
      <w:r w:rsidRPr="003307EE">
        <w:t xml:space="preserve"> PC21 program</w:t>
      </w:r>
      <w:r w:rsidR="00B81432">
        <w:t>me</w:t>
      </w:r>
      <w:r w:rsidRPr="003307EE">
        <w:t xml:space="preserve">, impacts </w:t>
      </w:r>
      <w:r w:rsidR="007F49B5">
        <w:t>had</w:t>
      </w:r>
      <w:r w:rsidRPr="003307EE">
        <w:t xml:space="preserve"> been felt across all </w:t>
      </w:r>
      <w:r w:rsidR="007F49B5">
        <w:t>C</w:t>
      </w:r>
      <w:r w:rsidRPr="003307EE">
        <w:t xml:space="preserve">ouncil areas, including </w:t>
      </w:r>
      <w:r w:rsidR="007F49B5">
        <w:t>this one,</w:t>
      </w:r>
      <w:r w:rsidRPr="003307EE">
        <w:t xml:space="preserve"> regarding wastewater investment.</w:t>
      </w:r>
    </w:p>
    <w:p w14:paraId="1AA9E407" w14:textId="77777777" w:rsidR="007B0BA5" w:rsidRDefault="007B0BA5" w:rsidP="007B0BA5"/>
    <w:p w14:paraId="78B81738" w14:textId="77777777" w:rsidR="000818DB" w:rsidRDefault="003307EE" w:rsidP="000818DB">
      <w:r w:rsidRPr="003307EE">
        <w:t xml:space="preserve">In 2024-25, </w:t>
      </w:r>
      <w:r w:rsidR="007F49B5">
        <w:t>NI Water would</w:t>
      </w:r>
      <w:r w:rsidRPr="003307EE">
        <w:t xml:space="preserve"> continue to invest, but there </w:t>
      </w:r>
      <w:r w:rsidR="007F49B5">
        <w:t>would</w:t>
      </w:r>
      <w:r w:rsidRPr="003307EE">
        <w:t xml:space="preserve"> be a focus on maintaining </w:t>
      </w:r>
      <w:r w:rsidR="007F49B5">
        <w:t>its</w:t>
      </w:r>
      <w:r w:rsidRPr="003307EE">
        <w:t xml:space="preserve"> wastewater assets.</w:t>
      </w:r>
    </w:p>
    <w:p w14:paraId="7AE4FCC7" w14:textId="77777777" w:rsidR="000818DB" w:rsidRDefault="000818DB" w:rsidP="000818DB"/>
    <w:p w14:paraId="4C6F6366" w14:textId="5C107342" w:rsidR="000818DB" w:rsidRDefault="003307EE" w:rsidP="000818DB">
      <w:r w:rsidRPr="003307EE">
        <w:t>For example, the Living With Water program</w:t>
      </w:r>
      <w:r w:rsidR="00B81432">
        <w:t>me</w:t>
      </w:r>
      <w:r w:rsidRPr="003307EE">
        <w:t xml:space="preserve"> ha</w:t>
      </w:r>
      <w:r w:rsidR="007F49B5">
        <w:t>d</w:t>
      </w:r>
      <w:r w:rsidRPr="003307EE">
        <w:t xml:space="preserve"> been wound up </w:t>
      </w:r>
      <w:r w:rsidR="007F49B5">
        <w:t>a</w:t>
      </w:r>
      <w:r w:rsidRPr="003307EE">
        <w:t xml:space="preserve">nd the investment that </w:t>
      </w:r>
      <w:r w:rsidR="007F49B5">
        <w:t>it was going</w:t>
      </w:r>
      <w:r w:rsidRPr="003307EE">
        <w:t xml:space="preserve"> to conduct in </w:t>
      </w:r>
      <w:r w:rsidR="007F49B5">
        <w:t>Kinnegar Wastewate</w:t>
      </w:r>
      <w:r w:rsidRPr="003307EE">
        <w:t xml:space="preserve">r Treatment Works </w:t>
      </w:r>
      <w:r w:rsidR="007F49B5">
        <w:t>was</w:t>
      </w:r>
      <w:r w:rsidRPr="003307EE">
        <w:t xml:space="preserve"> now base maintenance</w:t>
      </w:r>
      <w:r w:rsidR="007F49B5">
        <w:t xml:space="preserve"> and it was going</w:t>
      </w:r>
      <w:r w:rsidRPr="003307EE">
        <w:t xml:space="preserve"> to invest </w:t>
      </w:r>
      <w:r w:rsidR="007F49B5">
        <w:t>around £</w:t>
      </w:r>
      <w:r w:rsidRPr="003307EE">
        <w:t>3.8 million there this year.</w:t>
      </w:r>
    </w:p>
    <w:p w14:paraId="3CB1C6DE" w14:textId="77777777" w:rsidR="000818DB" w:rsidRDefault="000818DB" w:rsidP="000818DB"/>
    <w:p w14:paraId="3467FEDA" w14:textId="77777777" w:rsidR="000818DB" w:rsidRDefault="003307EE" w:rsidP="000818DB">
      <w:r w:rsidRPr="003307EE">
        <w:lastRenderedPageBreak/>
        <w:t>There</w:t>
      </w:r>
      <w:r w:rsidR="007F49B5">
        <w:t xml:space="preserve"> was</w:t>
      </w:r>
      <w:r w:rsidRPr="003307EE">
        <w:t xml:space="preserve"> also some early contractor involvement in the </w:t>
      </w:r>
      <w:r w:rsidR="007F49B5">
        <w:t>Kinnegar</w:t>
      </w:r>
      <w:r w:rsidRPr="003307EE">
        <w:t xml:space="preserve"> sewer network that</w:t>
      </w:r>
      <w:r w:rsidR="007F49B5">
        <w:t xml:space="preserve"> was</w:t>
      </w:r>
      <w:r w:rsidRPr="003307EE">
        <w:t xml:space="preserve"> being carried out.</w:t>
      </w:r>
    </w:p>
    <w:p w14:paraId="2A316D90" w14:textId="77777777" w:rsidR="000818DB" w:rsidRDefault="000818DB" w:rsidP="000818DB"/>
    <w:p w14:paraId="6BDB21B6" w14:textId="77777777" w:rsidR="000818DB" w:rsidRDefault="007F49B5" w:rsidP="000818DB">
      <w:r>
        <w:t>At Killinch</w:t>
      </w:r>
      <w:r w:rsidR="00E8600A">
        <w:t>y</w:t>
      </w:r>
      <w:r>
        <w:t xml:space="preserve"> Wastewater Treatment Works there was</w:t>
      </w:r>
      <w:r w:rsidR="003307EE" w:rsidRPr="003307EE">
        <w:t xml:space="preserve"> some early contractor involvement there. </w:t>
      </w:r>
      <w:r w:rsidR="00E8600A">
        <w:t>There was £</w:t>
      </w:r>
      <w:r w:rsidR="00E8600A" w:rsidRPr="00E8600A">
        <w:t>470,000 in network investigations.</w:t>
      </w:r>
    </w:p>
    <w:p w14:paraId="06AE27F4" w14:textId="77777777" w:rsidR="000818DB" w:rsidRDefault="000818DB" w:rsidP="000818DB"/>
    <w:p w14:paraId="18C8132B" w14:textId="77777777" w:rsidR="000818DB" w:rsidRDefault="00E8600A" w:rsidP="000818DB">
      <w:r w:rsidRPr="00E8600A">
        <w:t>Bangor DAP Work Package 1: Carnalea Stream UIDs and Bangor DAP Work Package 2: Rathmore Stream UIDs</w:t>
      </w:r>
      <w:r>
        <w:t xml:space="preserve"> represented significant investment and were being planned, subject to planning approval.</w:t>
      </w:r>
    </w:p>
    <w:p w14:paraId="2113E795" w14:textId="77777777" w:rsidR="000818DB" w:rsidRDefault="000818DB" w:rsidP="000818DB"/>
    <w:p w14:paraId="48D1E4DE" w14:textId="77777777" w:rsidR="000818DB" w:rsidRDefault="00E8600A" w:rsidP="000818DB">
      <w:r>
        <w:t xml:space="preserve">Moving on, he pointed to the </w:t>
      </w:r>
      <w:r w:rsidR="003307EE" w:rsidRPr="003307EE">
        <w:t xml:space="preserve">inability to connect new customers </w:t>
      </w:r>
      <w:r>
        <w:t>being</w:t>
      </w:r>
      <w:r w:rsidR="003307EE" w:rsidRPr="003307EE">
        <w:t xml:space="preserve"> a visible symptom</w:t>
      </w:r>
      <w:r>
        <w:t xml:space="preserve"> of</w:t>
      </w:r>
      <w:r w:rsidR="003307EE" w:rsidRPr="003307EE">
        <w:t xml:space="preserve"> capacity issues</w:t>
      </w:r>
      <w:r>
        <w:t xml:space="preserve"> being</w:t>
      </w:r>
      <w:r w:rsidR="003307EE" w:rsidRPr="003307EE">
        <w:t xml:space="preserve"> experienced across the whole of Northern Ireland, </w:t>
      </w:r>
      <w:r>
        <w:t>and not just in Ards and North Down.</w:t>
      </w:r>
    </w:p>
    <w:p w14:paraId="12578CDE" w14:textId="77777777" w:rsidR="000818DB" w:rsidRDefault="000818DB" w:rsidP="000818DB"/>
    <w:p w14:paraId="36C207E6" w14:textId="77777777" w:rsidR="000818DB" w:rsidRDefault="003307EE" w:rsidP="000818DB">
      <w:r w:rsidRPr="003307EE">
        <w:t xml:space="preserve">Specific areas within </w:t>
      </w:r>
      <w:r w:rsidR="00E8600A">
        <w:t>this</w:t>
      </w:r>
      <w:r w:rsidRPr="003307EE">
        <w:t xml:space="preserve"> </w:t>
      </w:r>
      <w:r w:rsidR="00E8600A">
        <w:t>C</w:t>
      </w:r>
      <w:r w:rsidRPr="003307EE">
        <w:t xml:space="preserve">ouncil area </w:t>
      </w:r>
      <w:r w:rsidR="00445914">
        <w:t>would</w:t>
      </w:r>
      <w:r w:rsidRPr="003307EE">
        <w:t xml:space="preserve"> be impacted within the 19,000 units province-wide and they</w:t>
      </w:r>
      <w:r w:rsidR="00445914">
        <w:t xml:space="preserve"> were</w:t>
      </w:r>
      <w:r w:rsidRPr="003307EE">
        <w:t xml:space="preserve"> outside what </w:t>
      </w:r>
      <w:r w:rsidR="00445914">
        <w:t>were</w:t>
      </w:r>
      <w:r w:rsidRPr="003307EE">
        <w:t xml:space="preserve"> call</w:t>
      </w:r>
      <w:r w:rsidR="00445914">
        <w:t>ed</w:t>
      </w:r>
      <w:r w:rsidRPr="003307EE">
        <w:t xml:space="preserve"> developer-led solutions and funded solutions.</w:t>
      </w:r>
    </w:p>
    <w:p w14:paraId="790592A7" w14:textId="77777777" w:rsidR="000818DB" w:rsidRDefault="000818DB" w:rsidP="000818DB"/>
    <w:p w14:paraId="6235ED23" w14:textId="27D7976C" w:rsidR="000818DB" w:rsidRDefault="00445914" w:rsidP="000818DB">
      <w:r>
        <w:t>Some areas in</w:t>
      </w:r>
      <w:r w:rsidR="003307EE" w:rsidRPr="003307EE">
        <w:t xml:space="preserve"> </w:t>
      </w:r>
      <w:r>
        <w:t>Comber, Donaghadee, Killinchy, Millisle</w:t>
      </w:r>
      <w:r w:rsidR="00B81432">
        <w:t>,</w:t>
      </w:r>
      <w:r>
        <w:t xml:space="preserve"> </w:t>
      </w:r>
      <w:r w:rsidR="000818DB">
        <w:t xml:space="preserve">Newtownards </w:t>
      </w:r>
      <w:r>
        <w:t xml:space="preserve">and Portaferry were </w:t>
      </w:r>
      <w:r w:rsidR="003307EE" w:rsidRPr="003307EE">
        <w:t>affected by network constraints</w:t>
      </w:r>
      <w:r>
        <w:t>. Treatment works at Cloughey and Killinchy were at their capacity.</w:t>
      </w:r>
    </w:p>
    <w:p w14:paraId="63047EAF" w14:textId="77777777" w:rsidR="000818DB" w:rsidRDefault="000818DB" w:rsidP="000818DB"/>
    <w:p w14:paraId="32F5548B" w14:textId="77777777" w:rsidR="000818DB" w:rsidRDefault="00445914" w:rsidP="000818DB">
      <w:r>
        <w:t>T</w:t>
      </w:r>
      <w:r w:rsidR="003307EE" w:rsidRPr="003307EE">
        <w:t>he importance of front loading the planning application process</w:t>
      </w:r>
      <w:r>
        <w:t xml:space="preserve"> was recognised several years ago</w:t>
      </w:r>
      <w:r w:rsidR="003307EE" w:rsidRPr="003307EE">
        <w:t xml:space="preserve"> and </w:t>
      </w:r>
      <w:r>
        <w:t>NI Water</w:t>
      </w:r>
      <w:r w:rsidR="003307EE" w:rsidRPr="003307EE">
        <w:t xml:space="preserve"> implemented a three-stage pre-development process </w:t>
      </w:r>
      <w:r>
        <w:t>that</w:t>
      </w:r>
      <w:r w:rsidR="003307EE" w:rsidRPr="003307EE">
        <w:t xml:space="preserve"> the developers need</w:t>
      </w:r>
      <w:r>
        <w:t>ed</w:t>
      </w:r>
      <w:r w:rsidR="003307EE" w:rsidRPr="003307EE">
        <w:t xml:space="preserve"> to follow.</w:t>
      </w:r>
      <w:r>
        <w:t xml:space="preserve"> This was set out in a diagram.</w:t>
      </w:r>
    </w:p>
    <w:p w14:paraId="3FADEE61" w14:textId="77777777" w:rsidR="000818DB" w:rsidRDefault="000818DB" w:rsidP="000818DB"/>
    <w:p w14:paraId="04AD5361" w14:textId="08B916D7" w:rsidR="003307EE" w:rsidRDefault="00445914" w:rsidP="000818DB">
      <w:r>
        <w:t>Further challenges had occurred for NI Water and</w:t>
      </w:r>
      <w:r w:rsidR="003307EE" w:rsidRPr="003307EE">
        <w:t xml:space="preserve"> developers </w:t>
      </w:r>
      <w:r>
        <w:t>in relation to areas where it was</w:t>
      </w:r>
      <w:r w:rsidR="003307EE" w:rsidRPr="003307EE">
        <w:t xml:space="preserve"> no longer</w:t>
      </w:r>
      <w:r>
        <w:t xml:space="preserve"> possible to</w:t>
      </w:r>
      <w:r w:rsidR="003307EE" w:rsidRPr="003307EE">
        <w:t xml:space="preserve"> find any new storm offset opportunities to allow connect</w:t>
      </w:r>
      <w:r>
        <w:t>ion.</w:t>
      </w:r>
    </w:p>
    <w:p w14:paraId="7DF70EE8" w14:textId="77777777" w:rsidR="00CA051B" w:rsidRPr="000818DB" w:rsidRDefault="00CA051B" w:rsidP="000818DB"/>
    <w:p w14:paraId="0C5066E1" w14:textId="6122583F" w:rsidR="003307EE" w:rsidRDefault="00445914" w:rsidP="00451C59">
      <w:r>
        <w:t>NI Water</w:t>
      </w:r>
      <w:r w:rsidR="003307EE" w:rsidRPr="003307EE">
        <w:t xml:space="preserve"> had to adjust </w:t>
      </w:r>
      <w:r>
        <w:t>its</w:t>
      </w:r>
      <w:r w:rsidR="003307EE" w:rsidRPr="003307EE">
        <w:t xml:space="preserve"> pre-development process for new wastewater impact assessments</w:t>
      </w:r>
      <w:r>
        <w:t xml:space="preserve"> and had </w:t>
      </w:r>
      <w:r w:rsidR="003307EE" w:rsidRPr="003307EE">
        <w:t>informed the applicants</w:t>
      </w:r>
      <w:r>
        <w:t xml:space="preserve"> in terms of that being</w:t>
      </w:r>
      <w:r w:rsidR="003307EE" w:rsidRPr="003307EE">
        <w:t xml:space="preserve"> part of the initial first stage of the pre-development inquiry.</w:t>
      </w:r>
    </w:p>
    <w:p w14:paraId="52F788B7" w14:textId="77777777" w:rsidR="00CA051B" w:rsidRPr="003307EE" w:rsidRDefault="00CA051B" w:rsidP="00451C59">
      <w:pPr>
        <w:rPr>
          <w:b/>
        </w:rPr>
      </w:pPr>
    </w:p>
    <w:p w14:paraId="61B2B4F3" w14:textId="2C0F834A" w:rsidR="003307EE" w:rsidRDefault="003307EE" w:rsidP="00451C59">
      <w:r w:rsidRPr="003307EE">
        <w:t xml:space="preserve">There </w:t>
      </w:r>
      <w:r w:rsidR="004217EB">
        <w:t>were</w:t>
      </w:r>
      <w:r w:rsidRPr="003307EE">
        <w:t xml:space="preserve"> currently 23 towns in Northern Ireland with high pollutant storm overflows in their wastewater networks that </w:t>
      </w:r>
      <w:r w:rsidR="004217EB">
        <w:t>were</w:t>
      </w:r>
      <w:r w:rsidRPr="003307EE">
        <w:t xml:space="preserve"> not suitable for developer-led solutions. </w:t>
      </w:r>
      <w:r w:rsidR="004217EB">
        <w:t>T</w:t>
      </w:r>
      <w:r w:rsidRPr="003307EE">
        <w:t>he only solution being a major capital works project to upgrade Northern Ireland's undersized wastewater infrastructure network.</w:t>
      </w:r>
    </w:p>
    <w:p w14:paraId="4F562C28" w14:textId="77777777" w:rsidR="00CA051B" w:rsidRPr="003307EE" w:rsidRDefault="00CA051B" w:rsidP="00451C59">
      <w:pPr>
        <w:rPr>
          <w:b/>
        </w:rPr>
      </w:pPr>
    </w:p>
    <w:p w14:paraId="6669E3CB" w14:textId="69D8CDA1" w:rsidR="003307EE" w:rsidRDefault="004217EB" w:rsidP="00451C59">
      <w:r>
        <w:t>Dr Blockwell referred to the</w:t>
      </w:r>
      <w:r w:rsidR="003307EE" w:rsidRPr="003307EE">
        <w:t xml:space="preserve"> outworkings of the impact assessments conducted. There </w:t>
      </w:r>
      <w:r>
        <w:t>had</w:t>
      </w:r>
      <w:r w:rsidR="003307EE" w:rsidRPr="003307EE">
        <w:t xml:space="preserve"> been 130 </w:t>
      </w:r>
      <w:r>
        <w:t>wastewater</w:t>
      </w:r>
      <w:r w:rsidR="003307EE" w:rsidRPr="003307EE">
        <w:t xml:space="preserve"> impact assessment inquiries this year or conducted to date. The key message </w:t>
      </w:r>
      <w:r>
        <w:t>was</w:t>
      </w:r>
      <w:r w:rsidR="003307EE" w:rsidRPr="003307EE">
        <w:t xml:space="preserve"> that 92 impact assessment reports or letters </w:t>
      </w:r>
      <w:r>
        <w:t>had</w:t>
      </w:r>
      <w:r w:rsidR="003307EE" w:rsidRPr="003307EE">
        <w:t xml:space="preserve"> been issued to developers</w:t>
      </w:r>
      <w:r>
        <w:t xml:space="preserve"> which had provided solutions. Ten were</w:t>
      </w:r>
      <w:r w:rsidR="003307EE" w:rsidRPr="003307EE">
        <w:t xml:space="preserve"> currently open and ongoing. There </w:t>
      </w:r>
      <w:r>
        <w:t>had</w:t>
      </w:r>
      <w:r w:rsidR="003307EE" w:rsidRPr="003307EE">
        <w:t xml:space="preserve"> only been four occasions where no developer-led solutions </w:t>
      </w:r>
      <w:r>
        <w:t>had</w:t>
      </w:r>
      <w:r w:rsidR="003307EE" w:rsidRPr="003307EE">
        <w:t xml:space="preserve"> been identified.</w:t>
      </w:r>
    </w:p>
    <w:p w14:paraId="7D866B62" w14:textId="77777777" w:rsidR="00CA051B" w:rsidRPr="003307EE" w:rsidRDefault="00CA051B" w:rsidP="00451C59">
      <w:pPr>
        <w:rPr>
          <w:b/>
        </w:rPr>
      </w:pPr>
    </w:p>
    <w:p w14:paraId="45C0ACD6" w14:textId="3620B2C8" w:rsidR="003307EE" w:rsidRPr="003307EE" w:rsidRDefault="003307EE" w:rsidP="00451C59">
      <w:pPr>
        <w:rPr>
          <w:b/>
        </w:rPr>
      </w:pPr>
      <w:r w:rsidRPr="003307EE">
        <w:t>One impact assessment was received when it was</w:t>
      </w:r>
      <w:r w:rsidR="00B81432">
        <w:t xml:space="preserve"> not </w:t>
      </w:r>
      <w:r w:rsidRPr="003307EE">
        <w:t xml:space="preserve">required. </w:t>
      </w:r>
      <w:r w:rsidR="00B81432">
        <w:t xml:space="preserve"> </w:t>
      </w:r>
      <w:r w:rsidR="004217EB">
        <w:t xml:space="preserve">A further </w:t>
      </w:r>
      <w:r w:rsidRPr="003307EE">
        <w:t xml:space="preserve">14 </w:t>
      </w:r>
      <w:r w:rsidR="004217EB">
        <w:t>had</w:t>
      </w:r>
      <w:r w:rsidRPr="003307EE">
        <w:t xml:space="preserve"> been determined as like-for-like developments and </w:t>
      </w:r>
      <w:r w:rsidR="004217EB">
        <w:t>could</w:t>
      </w:r>
      <w:r w:rsidRPr="003307EE">
        <w:t xml:space="preserve"> go ahead </w:t>
      </w:r>
      <w:r w:rsidR="004217EB">
        <w:t>and there were</w:t>
      </w:r>
      <w:r w:rsidRPr="003307EE">
        <w:t xml:space="preserve"> nine instances where wastewater treatment works </w:t>
      </w:r>
      <w:r w:rsidR="004217EB">
        <w:t>had</w:t>
      </w:r>
      <w:r w:rsidRPr="003307EE">
        <w:t xml:space="preserve"> been identified, although </w:t>
      </w:r>
      <w:r w:rsidR="004217EB">
        <w:t>it</w:t>
      </w:r>
      <w:r w:rsidRPr="003307EE">
        <w:t xml:space="preserve"> </w:t>
      </w:r>
      <w:r w:rsidR="004217EB">
        <w:t>did</w:t>
      </w:r>
      <w:r w:rsidR="00B81432">
        <w:t xml:space="preserve"> </w:t>
      </w:r>
      <w:r w:rsidR="004217EB">
        <w:t>n</w:t>
      </w:r>
      <w:r w:rsidR="00B81432">
        <w:t>o</w:t>
      </w:r>
      <w:r w:rsidR="004217EB">
        <w:t>t</w:t>
      </w:r>
      <w:r w:rsidRPr="003307EE">
        <w:t xml:space="preserve"> recommend th</w:t>
      </w:r>
      <w:r w:rsidR="00B81432">
        <w:t>o</w:t>
      </w:r>
      <w:r w:rsidRPr="003307EE">
        <w:t>se as solutions.</w:t>
      </w:r>
    </w:p>
    <w:p w14:paraId="191D226C" w14:textId="5B22ED2E" w:rsidR="003307EE" w:rsidRDefault="004217EB" w:rsidP="00451C59">
      <w:r>
        <w:lastRenderedPageBreak/>
        <w:t>Dr Blockwell provided</w:t>
      </w:r>
      <w:r w:rsidR="003307EE" w:rsidRPr="003307EE">
        <w:t xml:space="preserve"> an overview of the planning applications from the last calendar year</w:t>
      </w:r>
      <w:r>
        <w:t>, explaining that out of</w:t>
      </w:r>
      <w:r w:rsidR="003307EE" w:rsidRPr="003307EE">
        <w:t xml:space="preserve"> 218 applications processed, 98 </w:t>
      </w:r>
      <w:r>
        <w:t>had</w:t>
      </w:r>
      <w:r w:rsidR="003307EE" w:rsidRPr="003307EE">
        <w:t xml:space="preserve"> been approved as standard conditions.</w:t>
      </w:r>
      <w:r>
        <w:t xml:space="preserve"> A</w:t>
      </w:r>
      <w:r w:rsidR="003307EE" w:rsidRPr="003307EE">
        <w:t xml:space="preserve"> further 68 </w:t>
      </w:r>
      <w:r>
        <w:t>had</w:t>
      </w:r>
      <w:r w:rsidR="003307EE" w:rsidRPr="003307EE">
        <w:t xml:space="preserve"> been approved with specific conditions</w:t>
      </w:r>
      <w:r>
        <w:t xml:space="preserve"> w</w:t>
      </w:r>
      <w:r w:rsidR="003307EE" w:rsidRPr="003307EE">
        <w:t>ith 166 approvals in total. That equate</w:t>
      </w:r>
      <w:r>
        <w:t>d</w:t>
      </w:r>
      <w:r w:rsidR="003307EE" w:rsidRPr="003307EE">
        <w:t xml:space="preserve"> to 76% of all applications.</w:t>
      </w:r>
    </w:p>
    <w:p w14:paraId="2F5E965D" w14:textId="77777777" w:rsidR="00CA051B" w:rsidRPr="003307EE" w:rsidRDefault="00CA051B" w:rsidP="00451C59">
      <w:pPr>
        <w:rPr>
          <w:b/>
        </w:rPr>
      </w:pPr>
    </w:p>
    <w:p w14:paraId="7C630D9A" w14:textId="430EB77D" w:rsidR="003307EE" w:rsidRPr="003307EE" w:rsidRDefault="003307EE" w:rsidP="00451C59">
      <w:pPr>
        <w:rPr>
          <w:b/>
        </w:rPr>
      </w:pPr>
      <w:r w:rsidRPr="003307EE">
        <w:t>The</w:t>
      </w:r>
      <w:r w:rsidR="004217EB">
        <w:t>re were</w:t>
      </w:r>
      <w:r w:rsidRPr="003307EE">
        <w:t xml:space="preserve"> 49 from developers </w:t>
      </w:r>
      <w:r w:rsidR="00A97252">
        <w:t>which</w:t>
      </w:r>
      <w:r w:rsidRPr="003307EE">
        <w:t xml:space="preserve"> </w:t>
      </w:r>
      <w:r w:rsidR="004217EB">
        <w:t>had</w:t>
      </w:r>
      <w:r w:rsidRPr="003307EE">
        <w:t xml:space="preserve"> not followed the PDE or pre-development inquiry process</w:t>
      </w:r>
      <w:r w:rsidR="004217EB">
        <w:t xml:space="preserve"> and they had been asked to come and talk to NI Water officers.</w:t>
      </w:r>
    </w:p>
    <w:p w14:paraId="11ECFFBF" w14:textId="1F77748E" w:rsidR="003307EE" w:rsidRDefault="003307EE" w:rsidP="00451C59">
      <w:pPr>
        <w:rPr>
          <w:b/>
        </w:rPr>
      </w:pPr>
      <w:r w:rsidRPr="003307EE">
        <w:t xml:space="preserve">There </w:t>
      </w:r>
      <w:r w:rsidR="004217EB">
        <w:t>had</w:t>
      </w:r>
      <w:r w:rsidRPr="003307EE">
        <w:t xml:space="preserve"> been three refusals and those </w:t>
      </w:r>
      <w:r w:rsidR="004217EB">
        <w:t>had</w:t>
      </w:r>
      <w:r w:rsidRPr="003307EE">
        <w:t xml:space="preserve"> been in closed catchment areas. </w:t>
      </w:r>
      <w:r w:rsidR="00B81432">
        <w:t xml:space="preserve"> </w:t>
      </w:r>
      <w:r w:rsidRPr="003307EE">
        <w:t>So the outright refusal equate</w:t>
      </w:r>
      <w:r w:rsidR="004217EB">
        <w:t>d</w:t>
      </w:r>
      <w:r w:rsidRPr="003307EE">
        <w:t xml:space="preserve"> to less than 0.01% of all applications received.</w:t>
      </w:r>
    </w:p>
    <w:p w14:paraId="22747D09" w14:textId="77777777" w:rsidR="00251332" w:rsidRDefault="00251332" w:rsidP="00451C59"/>
    <w:p w14:paraId="7A0B8472" w14:textId="77777777" w:rsidR="00251332" w:rsidRDefault="00251332" w:rsidP="00451C59">
      <w:r>
        <w:t>(Councillor Moore entered the meeting – 7.15pm)</w:t>
      </w:r>
    </w:p>
    <w:p w14:paraId="39FCB799" w14:textId="77777777" w:rsidR="00251332" w:rsidRDefault="00251332" w:rsidP="00451C59"/>
    <w:p w14:paraId="7210B1F8" w14:textId="77777777" w:rsidR="00251332" w:rsidRDefault="004772B6" w:rsidP="00451C59">
      <w:r>
        <w:t>Dr Blockwell</w:t>
      </w:r>
      <w:r w:rsidR="004217EB">
        <w:t xml:space="preserve"> added that h</w:t>
      </w:r>
      <w:r w:rsidR="003307EE" w:rsidRPr="003307EE">
        <w:t xml:space="preserve">istorical underinvestment </w:t>
      </w:r>
      <w:r w:rsidR="004217EB">
        <w:t>had put</w:t>
      </w:r>
      <w:r w:rsidR="003307EE" w:rsidRPr="003307EE">
        <w:t xml:space="preserve"> Northern Ireland perilously close to wastewater being a permanent issue.</w:t>
      </w:r>
      <w:r w:rsidR="00A97252">
        <w:rPr>
          <w:b/>
        </w:rPr>
        <w:t xml:space="preserve"> </w:t>
      </w:r>
      <w:r>
        <w:t>It affected</w:t>
      </w:r>
      <w:r w:rsidR="003307EE" w:rsidRPr="003307EE">
        <w:t xml:space="preserve"> the building of new homes, the economy and environmental improvements.</w:t>
      </w:r>
    </w:p>
    <w:p w14:paraId="5DDA016D" w14:textId="77777777" w:rsidR="00251332" w:rsidRDefault="00251332" w:rsidP="00451C59"/>
    <w:p w14:paraId="528D26FA" w14:textId="21678651" w:rsidR="003307EE" w:rsidRDefault="003307EE" w:rsidP="00451C59">
      <w:r w:rsidRPr="003307EE">
        <w:t>Th</w:t>
      </w:r>
      <w:r w:rsidR="00B81432">
        <w:t>o</w:t>
      </w:r>
      <w:r w:rsidRPr="003307EE">
        <w:t xml:space="preserve">se problems </w:t>
      </w:r>
      <w:r w:rsidR="004772B6">
        <w:t>had</w:t>
      </w:r>
      <w:r w:rsidRPr="003307EE">
        <w:t xml:space="preserve"> the potential to </w:t>
      </w:r>
      <w:r w:rsidR="004772B6">
        <w:t xml:space="preserve">remain in </w:t>
      </w:r>
      <w:r w:rsidRPr="003307EE">
        <w:t xml:space="preserve">Northern Ireland for a long time and </w:t>
      </w:r>
      <w:r w:rsidR="004772B6">
        <w:t>would</w:t>
      </w:r>
      <w:r w:rsidRPr="003307EE">
        <w:t xml:space="preserve"> directly impact on priorities set out in the </w:t>
      </w:r>
      <w:r w:rsidR="00B81432">
        <w:t>p</w:t>
      </w:r>
      <w:r w:rsidRPr="003307EE">
        <w:t>rogramme for government</w:t>
      </w:r>
      <w:r w:rsidR="004772B6">
        <w:t xml:space="preserve">. </w:t>
      </w:r>
      <w:r w:rsidR="00B81432">
        <w:t xml:space="preserve"> </w:t>
      </w:r>
      <w:r w:rsidRPr="003307EE">
        <w:t xml:space="preserve">Short-term injections of surplus money </w:t>
      </w:r>
      <w:r w:rsidR="004772B6">
        <w:t>were</w:t>
      </w:r>
      <w:r w:rsidRPr="003307EE">
        <w:t xml:space="preserve"> unsuitable </w:t>
      </w:r>
      <w:r w:rsidR="004772B6">
        <w:t xml:space="preserve">for </w:t>
      </w:r>
      <w:r w:rsidRPr="003307EE">
        <w:t xml:space="preserve">funding </w:t>
      </w:r>
      <w:r w:rsidR="004772B6">
        <w:t xml:space="preserve">what was </w:t>
      </w:r>
      <w:r w:rsidRPr="003307EE">
        <w:t>critical Northern Ireland infrastructure.</w:t>
      </w:r>
    </w:p>
    <w:p w14:paraId="598D26C7" w14:textId="77777777" w:rsidR="00CA051B" w:rsidRPr="003307EE" w:rsidRDefault="00CA051B" w:rsidP="00451C59">
      <w:pPr>
        <w:rPr>
          <w:b/>
        </w:rPr>
      </w:pPr>
    </w:p>
    <w:p w14:paraId="594B3F39" w14:textId="1B9883EE" w:rsidR="004772B6" w:rsidRDefault="003307EE" w:rsidP="00451C59">
      <w:pPr>
        <w:rPr>
          <w:b/>
        </w:rPr>
      </w:pPr>
      <w:r w:rsidRPr="003307EE">
        <w:t xml:space="preserve">In March last year, a Northern Ireland Audit Office report called for a comprehensive review of alternative funding and governance arrangements for </w:t>
      </w:r>
      <w:r w:rsidR="004772B6">
        <w:t>NI Water</w:t>
      </w:r>
      <w:r w:rsidRPr="003307EE">
        <w:t xml:space="preserve"> to be led by suitable qualified experts. </w:t>
      </w:r>
      <w:r w:rsidR="00B81432">
        <w:t xml:space="preserve"> </w:t>
      </w:r>
      <w:r w:rsidRPr="003307EE">
        <w:t xml:space="preserve">Existing independent economic regulatory processes clearly set out the funding </w:t>
      </w:r>
      <w:r w:rsidR="004772B6">
        <w:t>required y</w:t>
      </w:r>
      <w:r w:rsidRPr="003307EE">
        <w:t xml:space="preserve">et the certainty of investment </w:t>
      </w:r>
      <w:r w:rsidR="004772B6">
        <w:t>was</w:t>
      </w:r>
      <w:r w:rsidRPr="003307EE">
        <w:t xml:space="preserve"> not in place</w:t>
      </w:r>
      <w:r w:rsidR="004772B6">
        <w:t xml:space="preserve">. </w:t>
      </w:r>
    </w:p>
    <w:p w14:paraId="54F54825" w14:textId="2F6616D4" w:rsidR="004772B6" w:rsidRDefault="004772B6" w:rsidP="00451C59">
      <w:pPr>
        <w:rPr>
          <w:b/>
        </w:rPr>
      </w:pPr>
      <w:r>
        <w:t>W</w:t>
      </w:r>
      <w:r w:rsidR="003307EE" w:rsidRPr="003307EE">
        <w:t>ithout change to the wastewater system, Northern Ireland face</w:t>
      </w:r>
      <w:r>
        <w:t>d</w:t>
      </w:r>
      <w:r w:rsidR="003307EE" w:rsidRPr="003307EE">
        <w:t xml:space="preserve"> a permanent future of higher levels of pollution</w:t>
      </w:r>
      <w:r>
        <w:t>, s</w:t>
      </w:r>
      <w:r w:rsidR="003307EE" w:rsidRPr="003307EE">
        <w:t xml:space="preserve">evere constraints on </w:t>
      </w:r>
      <w:r>
        <w:t>its</w:t>
      </w:r>
      <w:r w:rsidR="003307EE" w:rsidRPr="003307EE">
        <w:t xml:space="preserve"> ability to build new homes</w:t>
      </w:r>
      <w:r>
        <w:t>, p</w:t>
      </w:r>
      <w:r w:rsidR="003307EE" w:rsidRPr="003307EE">
        <w:t xml:space="preserve">utting off new investors and slowing development of existing businesses. </w:t>
      </w:r>
    </w:p>
    <w:p w14:paraId="17F77DD9" w14:textId="77777777" w:rsidR="004772B6" w:rsidRDefault="004772B6" w:rsidP="00451C59"/>
    <w:p w14:paraId="059FE38C" w14:textId="3B81397A" w:rsidR="00A97252" w:rsidRDefault="004772B6" w:rsidP="00451C59">
      <w:r>
        <w:t xml:space="preserve">In closing, he </w:t>
      </w:r>
      <w:r w:rsidR="00A97252">
        <w:t>explained that he did</w:t>
      </w:r>
      <w:r w:rsidR="00B81432">
        <w:t xml:space="preserve"> </w:t>
      </w:r>
      <w:r w:rsidR="00A97252">
        <w:t>n</w:t>
      </w:r>
      <w:r w:rsidR="00B81432">
        <w:t>o</w:t>
      </w:r>
      <w:r w:rsidR="00A97252">
        <w:t>t want to give an overall picture of doom and gloom and explained that NI Water had developed clear plan</w:t>
      </w:r>
      <w:r w:rsidR="0016659C">
        <w:t>s</w:t>
      </w:r>
      <w:r w:rsidR="00A97252">
        <w:t xml:space="preserve"> to put in place the improvements to its infrastructure and deliver for the environment</w:t>
      </w:r>
      <w:r w:rsidR="0016659C">
        <w:t xml:space="preserve">, </w:t>
      </w:r>
      <w:r w:rsidR="00A97252">
        <w:t>for economic growth and Local Development Plans.</w:t>
      </w:r>
      <w:r w:rsidR="0016659C">
        <w:t xml:space="preserve"> Those plans were now being undermined due to the necessary infrastructure investment plan being paused.</w:t>
      </w:r>
    </w:p>
    <w:p w14:paraId="097800F4" w14:textId="77777777" w:rsidR="0016659C" w:rsidRDefault="0016659C" w:rsidP="00451C59"/>
    <w:p w14:paraId="7D2DDCD5" w14:textId="475BD285" w:rsidR="004772B6" w:rsidRDefault="0016659C" w:rsidP="00451C59">
      <w:r w:rsidRPr="0016659C">
        <w:t>Long-term infrastructure intensive businesses need</w:t>
      </w:r>
      <w:r>
        <w:t xml:space="preserve">ed </w:t>
      </w:r>
      <w:r w:rsidRPr="0016659C">
        <w:t>a stable and sustained investment profile.</w:t>
      </w:r>
      <w:r>
        <w:t xml:space="preserve"> S</w:t>
      </w:r>
      <w:r w:rsidR="004772B6">
        <w:t>hort term cash injections</w:t>
      </w:r>
      <w:r>
        <w:t>, while welcome,</w:t>
      </w:r>
      <w:r w:rsidR="004772B6">
        <w:t xml:space="preserve"> were </w:t>
      </w:r>
      <w:r>
        <w:t>not the most effective or efficient vehicle for delivery.</w:t>
      </w:r>
    </w:p>
    <w:p w14:paraId="2EC47F20" w14:textId="77777777" w:rsidR="004772B6" w:rsidRDefault="004772B6" w:rsidP="00451C59"/>
    <w:p w14:paraId="156BB462" w14:textId="39F93D14" w:rsidR="004772B6" w:rsidRDefault="004772B6" w:rsidP="00451C59">
      <w:r>
        <w:t>The Chair</w:t>
      </w:r>
      <w:r w:rsidR="007833EE">
        <w:t xml:space="preserve"> explained that she had allowed the presentation to run over the allotted time due to the significance and urgency of the issues that had been raised. She invited questions from </w:t>
      </w:r>
      <w:r w:rsidR="00B81432">
        <w:t>M</w:t>
      </w:r>
      <w:r w:rsidR="007833EE">
        <w:t>embers.</w:t>
      </w:r>
    </w:p>
    <w:p w14:paraId="4FA68BEF" w14:textId="77777777" w:rsidR="007833EE" w:rsidRDefault="007833EE" w:rsidP="00451C59"/>
    <w:p w14:paraId="17B71A1C" w14:textId="4108209A" w:rsidR="002A1371" w:rsidRDefault="002A1371" w:rsidP="00451C59">
      <w:r>
        <w:t xml:space="preserve">Concerned at the increasing dangers of toxicity in Belfast Lough, </w:t>
      </w:r>
      <w:r w:rsidR="007833EE">
        <w:t xml:space="preserve">Alderman McRandal </w:t>
      </w:r>
      <w:r w:rsidR="00FB4840">
        <w:t>asked if NI Water could offer reassurances that the maintenance work it had planned would</w:t>
      </w:r>
      <w:r>
        <w:t xml:space="preserve"> see a reversal or</w:t>
      </w:r>
      <w:r w:rsidR="00FB4840">
        <w:t xml:space="preserve"> decrease</w:t>
      </w:r>
      <w:r>
        <w:t xml:space="preserve"> in</w:t>
      </w:r>
      <w:r w:rsidR="00FB4840">
        <w:t xml:space="preserve"> the toxicity levels </w:t>
      </w:r>
      <w:r>
        <w:t>there.</w:t>
      </w:r>
    </w:p>
    <w:p w14:paraId="240B9AB0" w14:textId="77777777" w:rsidR="002A1371" w:rsidRDefault="002A1371" w:rsidP="00451C59"/>
    <w:p w14:paraId="67D137AB" w14:textId="0F79B070" w:rsidR="007833EE" w:rsidRDefault="002A1371" w:rsidP="00451C59">
      <w:r>
        <w:t>Dr</w:t>
      </w:r>
      <w:r w:rsidR="00FB4840">
        <w:t xml:space="preserve"> Blockwell </w:t>
      </w:r>
      <w:r>
        <w:t>explained</w:t>
      </w:r>
      <w:r w:rsidR="00FB4840">
        <w:t xml:space="preserve"> that the base maintenance was only optimi</w:t>
      </w:r>
      <w:r w:rsidR="00525D69">
        <w:t>s</w:t>
      </w:r>
      <w:r w:rsidR="00FB4840">
        <w:t xml:space="preserve">ing rather than enhancing existing wastewater treatment works. </w:t>
      </w:r>
    </w:p>
    <w:p w14:paraId="7C2C37EF" w14:textId="77777777" w:rsidR="004772B6" w:rsidRDefault="004772B6" w:rsidP="00451C59"/>
    <w:p w14:paraId="3DA60FD4" w14:textId="54DC40A0" w:rsidR="002A1371" w:rsidRDefault="002A1371" w:rsidP="00451C59">
      <w:r>
        <w:lastRenderedPageBreak/>
        <w:t xml:space="preserve">He referred to </w:t>
      </w:r>
      <w:r w:rsidR="00315961">
        <w:t xml:space="preserve">potential changes from DAERA in terms of nutrient levels within the Lough which would be a step change in the standards that NI Water had to comply with. It was also unable to accommodate for new growth. If further step changes in standards were introduced then that approach would </w:t>
      </w:r>
      <w:r w:rsidR="000818DB">
        <w:t>not be</w:t>
      </w:r>
      <w:r w:rsidR="00315961">
        <w:t xml:space="preserve"> able to leap up to those new bars.</w:t>
      </w:r>
    </w:p>
    <w:p w14:paraId="5B635221" w14:textId="77777777" w:rsidR="00315961" w:rsidRDefault="00315961" w:rsidP="00451C59"/>
    <w:p w14:paraId="1B31F020" w14:textId="66F18EE5" w:rsidR="00315961" w:rsidRDefault="00315961" w:rsidP="00451C59">
      <w:r>
        <w:t xml:space="preserve">Given that response, Alderman McRandal asked how NI Water expected to meet its environmental </w:t>
      </w:r>
      <w:r w:rsidR="00C066C0">
        <w:t>aims</w:t>
      </w:r>
      <w:r>
        <w:t xml:space="preserve"> and Dr Blockwell referred to the Living with Water Programme that had now been paused by the Department for Infrastructure and that was part of the £0.8billion now coming out of the </w:t>
      </w:r>
      <w:r w:rsidR="000818DB">
        <w:t>six-year</w:t>
      </w:r>
      <w:r>
        <w:t xml:space="preserve"> programme. NI Water was now having to cut its cloth to suit.</w:t>
      </w:r>
    </w:p>
    <w:p w14:paraId="54742A0B" w14:textId="77777777" w:rsidR="00315961" w:rsidRDefault="00315961" w:rsidP="00451C59"/>
    <w:p w14:paraId="68267BF2" w14:textId="36683D87" w:rsidR="00D9756B" w:rsidRDefault="00315961" w:rsidP="00451C59">
      <w:bookmarkStart w:id="6" w:name="_Hlk190248615"/>
      <w:r>
        <w:t xml:space="preserve">Mr Consiglia </w:t>
      </w:r>
      <w:bookmarkEnd w:id="6"/>
      <w:r>
        <w:t xml:space="preserve">added that base maintenance meant fixing existing assets and the problem NI Water faced was that the standards for discharge to the Lough were </w:t>
      </w:r>
      <w:r w:rsidR="00C066C0">
        <w:t>getting</w:t>
      </w:r>
      <w:r>
        <w:t xml:space="preserve"> tighter and tighter and </w:t>
      </w:r>
      <w:r w:rsidR="00D9756B">
        <w:t>that would require it to completely change its process and add to its existing works which it simply could not do at the moment.</w:t>
      </w:r>
    </w:p>
    <w:p w14:paraId="3ED2A60E" w14:textId="77777777" w:rsidR="00D9756B" w:rsidRDefault="00D9756B" w:rsidP="00451C59"/>
    <w:p w14:paraId="6261619F" w14:textId="2109DDAE" w:rsidR="00B64370" w:rsidRDefault="00D9756B" w:rsidP="00451C59">
      <w:r>
        <w:t xml:space="preserve">The Deputy Mayor, Councillor Chambers, referred to NI Water’s decision to mothball, in its own words, upgrades to treatment works across the Greater Belfast area which discharged </w:t>
      </w:r>
      <w:r w:rsidR="000818DB">
        <w:t>into</w:t>
      </w:r>
      <w:r>
        <w:t xml:space="preserve"> Belfast Lough meaning that some of those would become </w:t>
      </w:r>
      <w:r w:rsidR="000818DB">
        <w:t>non-compliant</w:t>
      </w:r>
      <w:r>
        <w:t xml:space="preserve"> within the next couple of years. </w:t>
      </w:r>
    </w:p>
    <w:p w14:paraId="6D28313E" w14:textId="77777777" w:rsidR="00B64370" w:rsidRDefault="00B64370" w:rsidP="00451C59"/>
    <w:p w14:paraId="5A6413FE" w14:textId="74186A3C" w:rsidR="00315961" w:rsidRDefault="00B64370" w:rsidP="00451C59">
      <w:r>
        <w:t>The Deputy Mayor</w:t>
      </w:r>
      <w:r w:rsidR="00D9756B">
        <w:t xml:space="preserve"> queried the consequences for Northern Ireland </w:t>
      </w:r>
      <w:r>
        <w:t xml:space="preserve">Water </w:t>
      </w:r>
      <w:r w:rsidR="00D9756B">
        <w:t>if that was to happen</w:t>
      </w:r>
      <w:r>
        <w:t xml:space="preserve"> and Dr Blockwell explained that it needed to provide effectual drainage and treatment in compliance with the NI Water Act and without the upgrades required it would not be complying with that which would be an issue for DAERA and NIEA. </w:t>
      </w:r>
      <w:r w:rsidR="00DC01A4">
        <w:t>He referred to potential impacts on shellfish as a further impact and those</w:t>
      </w:r>
      <w:r>
        <w:t xml:space="preserve"> issues would become apparent in its regular sampling of the Lough</w:t>
      </w:r>
      <w:r w:rsidR="00DC01A4">
        <w:t xml:space="preserve">. There would be further </w:t>
      </w:r>
      <w:r>
        <w:t>impacts on</w:t>
      </w:r>
      <w:r w:rsidR="00DC01A4">
        <w:t xml:space="preserve"> those works along with the</w:t>
      </w:r>
      <w:r>
        <w:t xml:space="preserve"> drainage </w:t>
      </w:r>
      <w:r w:rsidR="00DC01A4">
        <w:t>networks</w:t>
      </w:r>
      <w:r>
        <w:t xml:space="preserve"> as well.</w:t>
      </w:r>
    </w:p>
    <w:p w14:paraId="606134F3" w14:textId="77777777" w:rsidR="00DC01A4" w:rsidRDefault="00DC01A4" w:rsidP="00451C59"/>
    <w:p w14:paraId="0736233B" w14:textId="77777777" w:rsidR="00BB01E7" w:rsidRDefault="00DC01A4" w:rsidP="00451C59">
      <w:r w:rsidRPr="00DC01A4">
        <w:t>Mr Consiglia</w:t>
      </w:r>
      <w:r>
        <w:t xml:space="preserve"> added that it was at the forefront of his mind and explained the </w:t>
      </w:r>
      <w:r w:rsidR="00BB01E7">
        <w:t>majority of the population was in that Greater Belfast area and referred to Whitehouse serving 120,000 PE, Belfast serving 600,000 PE and Kinnegar 120,000 PE. He explained the challenges of those existing plants meeting increasingly tighter standards.</w:t>
      </w:r>
    </w:p>
    <w:p w14:paraId="61368C11" w14:textId="77777777" w:rsidR="00BB01E7" w:rsidRDefault="00BB01E7" w:rsidP="00451C59"/>
    <w:p w14:paraId="2181F4BF" w14:textId="0F5CD579" w:rsidR="00B64370" w:rsidRDefault="00BB01E7" w:rsidP="00451C59">
      <w:r>
        <w:t xml:space="preserve">Alderman McAlpine wondered how the developer led process had been accepted and if it was </w:t>
      </w:r>
      <w:r w:rsidR="00AA5EA6">
        <w:t>operating</w:t>
      </w:r>
      <w:r>
        <w:t xml:space="preserve"> elsewhere in the UK and Mr Blockwell explained the process of working with developers provided small tactical solutions in terms of squeezing out small areas of capacity within its networks</w:t>
      </w:r>
      <w:r w:rsidR="00AA5EA6">
        <w:t xml:space="preserve"> in terms of removing storm water</w:t>
      </w:r>
      <w:r>
        <w:t xml:space="preserve"> but there was a limit. Those were only </w:t>
      </w:r>
      <w:r w:rsidR="000818DB">
        <w:t>short-term</w:t>
      </w:r>
      <w:r>
        <w:t xml:space="preserve"> measures however to aid developers who would need to be able to build the work </w:t>
      </w:r>
      <w:r w:rsidR="000818DB">
        <w:t>into</w:t>
      </w:r>
      <w:r>
        <w:t xml:space="preserve"> their own business models. It was good practice to take storm waters out of sewer networks</w:t>
      </w:r>
      <w:r w:rsidR="00AA5EA6">
        <w:t xml:space="preserve"> particularly in terms of climate change and many other factors.</w:t>
      </w:r>
    </w:p>
    <w:p w14:paraId="50B31BBB" w14:textId="77777777" w:rsidR="00AA5EA6" w:rsidRDefault="00AA5EA6" w:rsidP="00451C59"/>
    <w:p w14:paraId="4708AF77" w14:textId="05935D9F" w:rsidR="00AA5EA6" w:rsidRDefault="00AA5EA6" w:rsidP="00451C59">
      <w:r>
        <w:t xml:space="preserve">In a further query, Alderman McAlpine asked for NI Water’s thoughts on the safety in terms of water quality, for the growing number of sea swimmers and </w:t>
      </w:r>
      <w:r w:rsidR="00C066C0">
        <w:t>Dr</w:t>
      </w:r>
      <w:r>
        <w:t xml:space="preserve"> Blockwell </w:t>
      </w:r>
      <w:r w:rsidR="00C066C0">
        <w:t xml:space="preserve">referred to </w:t>
      </w:r>
      <w:r>
        <w:t>ongoing projects and investments of which some had</w:t>
      </w:r>
      <w:r w:rsidR="00C066C0">
        <w:t xml:space="preserve"> already</w:t>
      </w:r>
      <w:r>
        <w:t xml:space="preserve"> been put in place. He recognised it was an issue and it was monitored but the public had to be mindful of what the results were at their swimming locations. </w:t>
      </w:r>
      <w:r w:rsidR="00C066C0">
        <w:t>NI Water had</w:t>
      </w:r>
      <w:r>
        <w:t xml:space="preserve"> hoped to </w:t>
      </w:r>
      <w:r>
        <w:lastRenderedPageBreak/>
        <w:t xml:space="preserve">upgrade 231 storm overflows over the </w:t>
      </w:r>
      <w:r w:rsidR="000818DB">
        <w:t>six-year</w:t>
      </w:r>
      <w:r>
        <w:t xml:space="preserve"> period.</w:t>
      </w:r>
      <w:r w:rsidR="00B72D76">
        <w:t xml:space="preserve"> There were 944 unsatisfactory overflows in Northern Ireland and NI Water was only able to deliver 30 to 40 with the reduced funding. He explained the importance of storm water separation and minimising the number of spills. Spills were unavoidable however, particularly around Belfast due to its large population centre. It was </w:t>
      </w:r>
      <w:r w:rsidR="000818DB">
        <w:t>important</w:t>
      </w:r>
      <w:r w:rsidR="00B72D76">
        <w:t xml:space="preserve"> to be cautious of heavy rainfall. </w:t>
      </w:r>
    </w:p>
    <w:p w14:paraId="0F76757D" w14:textId="77777777" w:rsidR="00B72D76" w:rsidRDefault="00B72D76" w:rsidP="00451C59"/>
    <w:p w14:paraId="03760776" w14:textId="3ABD59F5" w:rsidR="00B72D76" w:rsidRDefault="00B72D76" w:rsidP="00451C59">
      <w:r w:rsidRPr="00B72D76">
        <w:t>Mr Consiglia</w:t>
      </w:r>
      <w:r>
        <w:t xml:space="preserve"> explained that where there was substantial rain a CSO was there to stop flooding to properties but it was about striking a balance and being more environmentally conscious. </w:t>
      </w:r>
      <w:r w:rsidR="00730978">
        <w:t xml:space="preserve">Particularly in the Bangor area a lot of CSOs were located around housing areas and it was not possible to install tanks due to a lack of space. He explained in order to fix two or three small areas a huge catchment activity was required. He felt it was important to note good work that had been done in the Bangor area pointing to various locations including Bangor Marina, Clandeboye Stream, </w:t>
      </w:r>
      <w:r w:rsidR="000818DB">
        <w:t>Stickland’s</w:t>
      </w:r>
      <w:r w:rsidR="00730978">
        <w:t xml:space="preserve"> Glen and Brompton.</w:t>
      </w:r>
    </w:p>
    <w:p w14:paraId="62A19E77" w14:textId="77777777" w:rsidR="00730978" w:rsidRDefault="00730978" w:rsidP="00451C59"/>
    <w:p w14:paraId="2C9C8CF5" w14:textId="65D3F8DB" w:rsidR="00730978" w:rsidRDefault="00730978" w:rsidP="00451C59">
      <w:r>
        <w:t xml:space="preserve">Alderman Graham asked if wastewater treatment was a bigger challenge than providing clean water to drink and what solution it would offer to the crisis in terms of funding the </w:t>
      </w:r>
      <w:r w:rsidR="000818DB">
        <w:t>infrastructure</w:t>
      </w:r>
      <w:r>
        <w:t xml:space="preserve"> upgrades.</w:t>
      </w:r>
    </w:p>
    <w:p w14:paraId="2062BD20" w14:textId="77777777" w:rsidR="00730978" w:rsidRDefault="00730978" w:rsidP="00451C59"/>
    <w:p w14:paraId="0311324D" w14:textId="09789326" w:rsidR="006C72FB" w:rsidRDefault="00730978" w:rsidP="00451C59">
      <w:r>
        <w:t xml:space="preserve">Mr Blockwell explained that the treatment works were multi barrier systems and robust. The plants were set up to remove </w:t>
      </w:r>
      <w:r w:rsidR="000818DB">
        <w:t>algae</w:t>
      </w:r>
      <w:r>
        <w:t xml:space="preserve"> and other harmful </w:t>
      </w:r>
      <w:r w:rsidR="000818DB">
        <w:t>particles</w:t>
      </w:r>
      <w:r>
        <w:t xml:space="preserve">. The other challenge was the blue green alagai in Lough Neagh </w:t>
      </w:r>
      <w:r w:rsidR="006C72FB">
        <w:t>however the treatment there had resulted in some taste issues to drinking water but tests had shown it was always safe to drink.</w:t>
      </w:r>
      <w:r w:rsidR="00B04EA1">
        <w:t xml:space="preserve"> </w:t>
      </w:r>
      <w:r w:rsidR="006C72FB">
        <w:t xml:space="preserve">For the crisis, there was </w:t>
      </w:r>
      <w:r w:rsidR="00721B57">
        <w:t>a</w:t>
      </w:r>
      <w:r w:rsidR="006C72FB">
        <w:t xml:space="preserve"> plan in </w:t>
      </w:r>
      <w:r w:rsidR="00721B57">
        <w:t>place,</w:t>
      </w:r>
      <w:r w:rsidR="006C72FB">
        <w:t xml:space="preserve"> but it needed investment.</w:t>
      </w:r>
    </w:p>
    <w:p w14:paraId="1B176A85" w14:textId="00D30A8E" w:rsidR="006C72FB" w:rsidRDefault="006C72FB" w:rsidP="00451C59"/>
    <w:p w14:paraId="6C98B6A8" w14:textId="25DC02B4" w:rsidR="006C72FB" w:rsidRDefault="00B04EA1" w:rsidP="00451C59">
      <w:r>
        <w:t>He added that it</w:t>
      </w:r>
      <w:r w:rsidR="006C72FB">
        <w:t xml:space="preserve"> was always recognised that clean water provision</w:t>
      </w:r>
      <w:r w:rsidR="00C066C0">
        <w:t xml:space="preserve"> took</w:t>
      </w:r>
      <w:r w:rsidR="006C72FB">
        <w:t xml:space="preserve"> priority over wastewater, so there </w:t>
      </w:r>
      <w:r w:rsidR="00C066C0">
        <w:t>had been</w:t>
      </w:r>
      <w:r w:rsidR="006C72FB">
        <w:t xml:space="preserve"> less investment </w:t>
      </w:r>
      <w:r w:rsidR="00C066C0">
        <w:t xml:space="preserve">in wastewater over the </w:t>
      </w:r>
      <w:r w:rsidR="006C72FB">
        <w:t xml:space="preserve">years but that was changing due to the </w:t>
      </w:r>
      <w:r w:rsidR="00251332">
        <w:t>environmental</w:t>
      </w:r>
      <w:r w:rsidR="006C72FB">
        <w:t xml:space="preserve"> issues. Firefighting to keep things ticking over was not ideal.</w:t>
      </w:r>
    </w:p>
    <w:p w14:paraId="053A1801" w14:textId="77777777" w:rsidR="006C72FB" w:rsidRDefault="006C72FB" w:rsidP="00451C59"/>
    <w:p w14:paraId="513076ED" w14:textId="37A3815C" w:rsidR="006C72FB" w:rsidRDefault="006C72FB" w:rsidP="00451C59">
      <w:r>
        <w:t>Alderman Smith noted the lack of investment and impact on development, particularly in the Ards area. He noted that the data showed the number of refusals being very small so he wondered if that was due to</w:t>
      </w:r>
      <w:r w:rsidR="00251332">
        <w:t xml:space="preserve"> an</w:t>
      </w:r>
      <w:r>
        <w:t xml:space="preserve"> increase in developer led solutions. He asked if NI Water anticipated an increase in refusals due to the lack of investment and Mr Blockwell agreed that refusals were </w:t>
      </w:r>
      <w:r w:rsidR="00B04EA1">
        <w:t>relatively</w:t>
      </w:r>
      <w:r>
        <w:t xml:space="preserve"> small and that the alternative approaches had been successful. He added that without the investment then it would be inevitable that there would be more refusals.</w:t>
      </w:r>
    </w:p>
    <w:p w14:paraId="39341DF0" w14:textId="77777777" w:rsidR="006C72FB" w:rsidRDefault="006C72FB" w:rsidP="00451C59"/>
    <w:p w14:paraId="65AF2B0C" w14:textId="43E71D67" w:rsidR="004772B6" w:rsidRDefault="006C72FB" w:rsidP="00451C59">
      <w:r>
        <w:t>The Chair thanked the officers from NI Water for atten</w:t>
      </w:r>
      <w:r w:rsidR="00251332">
        <w:t xml:space="preserve">ding, recognising the importance of the issue for </w:t>
      </w:r>
      <w:r w:rsidR="000818DB">
        <w:t>the Committee Members.</w:t>
      </w:r>
    </w:p>
    <w:p w14:paraId="2D9BFF36" w14:textId="77777777" w:rsidR="00251332" w:rsidRDefault="00251332" w:rsidP="00451C59"/>
    <w:p w14:paraId="47DC8E15" w14:textId="553F7DF7" w:rsidR="00251332" w:rsidRDefault="00251332" w:rsidP="00451C59">
      <w:r>
        <w:t xml:space="preserve">(Dr Blockwell and </w:t>
      </w:r>
      <w:r w:rsidRPr="00251332">
        <w:t>Mr Consiglia</w:t>
      </w:r>
      <w:r>
        <w:t xml:space="preserve"> left the meeting – 7.38pm)</w:t>
      </w:r>
    </w:p>
    <w:p w14:paraId="226DF96D" w14:textId="77777777" w:rsidR="00CA051B" w:rsidRDefault="00CA051B" w:rsidP="00451C59"/>
    <w:p w14:paraId="78BFB4CA" w14:textId="77777777" w:rsidR="00CA051B" w:rsidRDefault="00CA051B" w:rsidP="00451C59"/>
    <w:p w14:paraId="05E6CF3F" w14:textId="77777777" w:rsidR="00CA051B" w:rsidRPr="004772B6" w:rsidRDefault="00CA051B" w:rsidP="00451C59"/>
    <w:p w14:paraId="37A06689" w14:textId="2EDEF583" w:rsidR="0056063D" w:rsidRDefault="0056063D" w:rsidP="003307EE">
      <w:pPr>
        <w:pStyle w:val="Heading1"/>
      </w:pPr>
      <w:r w:rsidRPr="0056063D">
        <w:rPr>
          <w:u w:val="none"/>
        </w:rPr>
        <w:t>4.</w:t>
      </w:r>
      <w:r w:rsidRPr="0056063D">
        <w:rPr>
          <w:u w:val="none"/>
        </w:rPr>
        <w:tab/>
      </w:r>
      <w:r w:rsidR="0022081F" w:rsidRPr="0022081F">
        <w:t>ANDBC DATA STRATEG</w:t>
      </w:r>
      <w:r w:rsidR="00CA051B">
        <w:t>Y</w:t>
      </w:r>
    </w:p>
    <w:p w14:paraId="1F8A614D" w14:textId="28E5ECDD" w:rsidR="0056063D" w:rsidRDefault="00A467D9" w:rsidP="0056063D">
      <w:pPr>
        <w:contextualSpacing/>
        <w:rPr>
          <w:rFonts w:cs="Arial"/>
          <w:szCs w:val="24"/>
        </w:rPr>
      </w:pPr>
      <w:r>
        <w:rPr>
          <w:rFonts w:cs="Arial"/>
          <w:szCs w:val="24"/>
        </w:rPr>
        <w:tab/>
        <w:t>(Appendix II)</w:t>
      </w:r>
      <w:r w:rsidR="0056063D">
        <w:rPr>
          <w:rFonts w:cs="Arial"/>
          <w:szCs w:val="24"/>
        </w:rPr>
        <w:tab/>
      </w:r>
    </w:p>
    <w:p w14:paraId="51CABC7B" w14:textId="77777777" w:rsidR="00A467D9" w:rsidRDefault="00A467D9" w:rsidP="00A467D9"/>
    <w:p w14:paraId="1F8527F9" w14:textId="4492E0E6" w:rsidR="00A467D9" w:rsidRDefault="0056063D" w:rsidP="00A467D9">
      <w:r w:rsidRPr="004A64D9">
        <w:lastRenderedPageBreak/>
        <w:t xml:space="preserve">PREVIOUSLY CIRCULATED:- </w:t>
      </w:r>
      <w:r w:rsidR="00EC5488" w:rsidRPr="00EC5488">
        <w:t>Report from the Director of Corporate Services detailing that</w:t>
      </w:r>
      <w:r w:rsidR="00A467D9">
        <w:t xml:space="preserve"> a</w:t>
      </w:r>
      <w:r w:rsidR="00A467D9" w:rsidRPr="00A467D9">
        <w:t xml:space="preserve">s part of our Strategic Transformation and Efficiency Programme (STEP), the Council committed to developing a Digital Strategy (a plan that outlined how it would invest in digital technology to make a wide range of Council services work better for staff, residents and partners). </w:t>
      </w:r>
    </w:p>
    <w:p w14:paraId="5451E14D" w14:textId="77777777" w:rsidR="009E6D2D" w:rsidRPr="00A467D9" w:rsidRDefault="009E6D2D" w:rsidP="00A467D9"/>
    <w:p w14:paraId="525B487C" w14:textId="77777777" w:rsidR="00A467D9" w:rsidRDefault="00A467D9" w:rsidP="00A467D9">
      <w:r w:rsidRPr="00A467D9">
        <w:t>The Strategy was approved by Council in April 2024.  One of the five principles of the Strategy was ‘Better Connected’, which required us to ‘explore and exploit opportunities for collaboration, ensuring we make best use of technology to enhance innovation and the overall effectiveness of Council’.</w:t>
      </w:r>
    </w:p>
    <w:p w14:paraId="66FFA222" w14:textId="77777777" w:rsidR="00A467D9" w:rsidRPr="00A467D9" w:rsidRDefault="00A467D9" w:rsidP="00A467D9"/>
    <w:p w14:paraId="12F88C66" w14:textId="77777777" w:rsidR="00A467D9" w:rsidRDefault="00A467D9" w:rsidP="00A467D9">
      <w:r w:rsidRPr="00A467D9">
        <w:t>One of the highest priority projects associated with this principle was the establishment a comprehensive council-wide data strategy aimed at guiding staff on data sharing, storage, collaboration, and more.</w:t>
      </w:r>
    </w:p>
    <w:p w14:paraId="43B6864A" w14:textId="77777777" w:rsidR="00A467D9" w:rsidRPr="00A467D9" w:rsidRDefault="00A467D9" w:rsidP="00A467D9"/>
    <w:p w14:paraId="642EE63E" w14:textId="77777777" w:rsidR="00A467D9" w:rsidRDefault="00A467D9" w:rsidP="00A467D9">
      <w:r w:rsidRPr="00A467D9">
        <w:t>Effective and efficient data management was essential for service delivery in all public authorities. The information and data Council created, managed, and used should provide a resilient, reliable foundation to improve Council services, reduce costs and improve compliance to its regulatory and legislative requirements. Data and information were the lifeblood of any organisation.</w:t>
      </w:r>
    </w:p>
    <w:p w14:paraId="1D1C4058" w14:textId="77777777" w:rsidR="00A467D9" w:rsidRPr="00A467D9" w:rsidRDefault="00A467D9" w:rsidP="00A467D9"/>
    <w:p w14:paraId="7643B369" w14:textId="77777777" w:rsidR="00A467D9" w:rsidRPr="00A467D9" w:rsidRDefault="00A467D9" w:rsidP="00A467D9">
      <w:r w:rsidRPr="00A467D9">
        <w:t>The purpose of this strategy was to clearly communicate the importance and responsibilities for excellent information and data management. It set out a clear framework, direction, and plan to improve data quality and accessibility.</w:t>
      </w:r>
    </w:p>
    <w:p w14:paraId="1E46A9A6" w14:textId="77777777" w:rsidR="00A467D9" w:rsidRPr="00A467D9" w:rsidRDefault="00A467D9" w:rsidP="00A467D9">
      <w:pPr>
        <w:rPr>
          <w:b/>
          <w:bCs/>
        </w:rPr>
      </w:pPr>
    </w:p>
    <w:p w14:paraId="79481EC9" w14:textId="72886B7C" w:rsidR="00A467D9" w:rsidRDefault="00A467D9" w:rsidP="00A467D9">
      <w:r w:rsidRPr="00A467D9">
        <w:t>RECOMMENDED that Council approve the attached Data Strategy.</w:t>
      </w:r>
    </w:p>
    <w:p w14:paraId="76E4E18A" w14:textId="77777777" w:rsidR="00251332" w:rsidRDefault="00251332" w:rsidP="00A467D9"/>
    <w:p w14:paraId="29910D44" w14:textId="303F7B88" w:rsidR="00251332" w:rsidRDefault="00251332" w:rsidP="00A467D9">
      <w:r>
        <w:t>Proposed by Alderman McRandal, seconded by Councillor W Irvine, that the recommendation be adopted.</w:t>
      </w:r>
    </w:p>
    <w:p w14:paraId="685AD286" w14:textId="77777777" w:rsidR="00251332" w:rsidRDefault="00251332" w:rsidP="00A467D9"/>
    <w:p w14:paraId="072830F0" w14:textId="70238409" w:rsidR="00251332" w:rsidRDefault="00251332" w:rsidP="00A467D9">
      <w:r>
        <w:t xml:space="preserve">The proposer referred to a section relating to email storage on page 10 of the attached document and the </w:t>
      </w:r>
      <w:r w:rsidR="00C443F4">
        <w:t>difficulties</w:t>
      </w:r>
      <w:r>
        <w:t xml:space="preserve"> associated with emails </w:t>
      </w:r>
      <w:r w:rsidR="00C443F4">
        <w:t>that contained</w:t>
      </w:r>
      <w:r>
        <w:t xml:space="preserve"> both business and personal information. He queried how it would be determined how those emails would be stored</w:t>
      </w:r>
      <w:r w:rsidR="00C443F4">
        <w:t xml:space="preserve"> as business documents</w:t>
      </w:r>
      <w:r>
        <w:t xml:space="preserve"> and if it was down to staff to make a decision </w:t>
      </w:r>
      <w:r w:rsidR="00C443F4">
        <w:t>on how they were processed.</w:t>
      </w:r>
    </w:p>
    <w:p w14:paraId="4C2D82D1" w14:textId="77777777" w:rsidR="00C443F4" w:rsidRDefault="00C443F4" w:rsidP="00A467D9"/>
    <w:p w14:paraId="348C1F85" w14:textId="41CE8767" w:rsidR="00A467D9" w:rsidRDefault="00C443F4" w:rsidP="0056063D">
      <w:r>
        <w:t xml:space="preserve">The Head of Transformation and Performance explained that there would be a significant cleansing </w:t>
      </w:r>
      <w:r w:rsidR="00316891">
        <w:t>exercise</w:t>
      </w:r>
      <w:r>
        <w:t xml:space="preserve"> that would require staff to remove personal emails from the system. This document was a precursor to a bigger exercise which would be built on </w:t>
      </w:r>
      <w:r w:rsidR="000818DB">
        <w:t>SharePoint</w:t>
      </w:r>
      <w:r>
        <w:t xml:space="preserve"> and that software would be used for business storage while One Drive would be used for the storage of personal emails. She specified that it would be for personal emails that were business related. The officer confirmed that every email would be going through this cleansing exercise.</w:t>
      </w:r>
    </w:p>
    <w:p w14:paraId="6D8AF855" w14:textId="77777777" w:rsidR="00316891" w:rsidRDefault="00316891" w:rsidP="0056063D"/>
    <w:p w14:paraId="66003727" w14:textId="33A2F9A0" w:rsidR="00316891" w:rsidRDefault="00316891" w:rsidP="0056063D">
      <w:r>
        <w:t xml:space="preserve">Councillor W Irvine queried how this strategy compared with best practice elsewhere and the officer confirmed that due diligence had been undertaken and the individual who had produced the strategy was the author of the PRONI approved document in relation to data classification. This was an industry expert who had already produced Newry, Mourne and Down </w:t>
      </w:r>
      <w:r w:rsidR="00B04EA1">
        <w:t xml:space="preserve">District </w:t>
      </w:r>
      <w:r>
        <w:t>Council’s data strategy.</w:t>
      </w:r>
    </w:p>
    <w:p w14:paraId="272445F0" w14:textId="77777777" w:rsidR="00316891" w:rsidRDefault="00316891" w:rsidP="0056063D"/>
    <w:p w14:paraId="3718B0C7" w14:textId="354A88E7" w:rsidR="00316891" w:rsidRDefault="00316891" w:rsidP="0056063D">
      <w:r>
        <w:lastRenderedPageBreak/>
        <w:t xml:space="preserve">Alderman McIlveen asked if any Council email account was accessible and </w:t>
      </w:r>
      <w:r w:rsidR="00B04EA1">
        <w:t>under</w:t>
      </w:r>
      <w:r>
        <w:t xml:space="preserve"> the corporate ownership of the Council. He asked if an email account would need to be accessed and the circumstances in which that could happen.</w:t>
      </w:r>
    </w:p>
    <w:p w14:paraId="6736E10E" w14:textId="77777777" w:rsidR="00316891" w:rsidRDefault="00316891" w:rsidP="0056063D"/>
    <w:p w14:paraId="1A1ECAD3" w14:textId="2C38C61A" w:rsidR="00316891" w:rsidRDefault="00316891" w:rsidP="0056063D">
      <w:r>
        <w:t xml:space="preserve">The Director confirmed that all Council emails were owned by the Council but it was not </w:t>
      </w:r>
      <w:r w:rsidR="00DE451F">
        <w:t>actively</w:t>
      </w:r>
      <w:r>
        <w:t xml:space="preserve"> accessing email accounts. He explained that it could be done during an investigation or</w:t>
      </w:r>
      <w:r w:rsidR="00DE451F">
        <w:t xml:space="preserve"> other</w:t>
      </w:r>
      <w:r>
        <w:t xml:space="preserve"> issues that would </w:t>
      </w:r>
      <w:r w:rsidR="000818DB">
        <w:t>warrant</w:t>
      </w:r>
      <w:r w:rsidR="00DE451F">
        <w:t xml:space="preserve"> such action in line with Council’s Data Management Plan.</w:t>
      </w:r>
    </w:p>
    <w:p w14:paraId="73C42E60" w14:textId="77777777" w:rsidR="00DE451F" w:rsidRDefault="00DE451F" w:rsidP="0056063D"/>
    <w:p w14:paraId="1128EC39" w14:textId="4EA3FBD5" w:rsidR="00DE451F" w:rsidRDefault="00DE451F" w:rsidP="0056063D">
      <w:r>
        <w:t>Alderman McAlpine asked where Councillors and Democratic Services sat within the strategy. She could not recall any reference to Councillors but the Director clarified that there was no differentiation between staff and Elected Members within the strategy. However as elements of it evolved it would be appropriate to include more specific information.</w:t>
      </w:r>
    </w:p>
    <w:p w14:paraId="382EE16E" w14:textId="77777777" w:rsidR="00DE451F" w:rsidRDefault="00DE451F" w:rsidP="0056063D"/>
    <w:p w14:paraId="68098C62" w14:textId="74B1A235" w:rsidR="00DE451F" w:rsidRDefault="00DE451F" w:rsidP="0056063D">
      <w:r>
        <w:t xml:space="preserve">Alderman McAlpine felt it would be helpful to have that clarity included that it </w:t>
      </w:r>
      <w:r w:rsidR="00B04EA1">
        <w:t>could be</w:t>
      </w:r>
      <w:r>
        <w:t xml:space="preserve"> </w:t>
      </w:r>
      <w:r w:rsidR="00B04EA1">
        <w:t>all-encompassing</w:t>
      </w:r>
      <w:r>
        <w:t>.</w:t>
      </w:r>
    </w:p>
    <w:p w14:paraId="053195BD" w14:textId="77777777" w:rsidR="00DE451F" w:rsidRDefault="00DE451F" w:rsidP="0056063D"/>
    <w:p w14:paraId="39EE3B98" w14:textId="0316B442" w:rsidR="0056063D" w:rsidRDefault="0056063D" w:rsidP="00BE72BE">
      <w:pPr>
        <w:rPr>
          <w:b/>
          <w:bCs/>
        </w:rPr>
      </w:pPr>
      <w:r w:rsidRPr="0041231C">
        <w:rPr>
          <w:b/>
          <w:bCs/>
        </w:rPr>
        <w:t xml:space="preserve">AGREED TO RECOMMEND, on the proposal of </w:t>
      </w:r>
      <w:r w:rsidR="00DE451F">
        <w:rPr>
          <w:b/>
          <w:bCs/>
        </w:rPr>
        <w:t>Alderman McRandal</w:t>
      </w:r>
      <w:r w:rsidRPr="0041231C">
        <w:rPr>
          <w:b/>
          <w:bCs/>
        </w:rPr>
        <w:t>, seconded by</w:t>
      </w:r>
      <w:r>
        <w:rPr>
          <w:b/>
          <w:bCs/>
        </w:rPr>
        <w:t xml:space="preserve"> </w:t>
      </w:r>
      <w:r w:rsidR="00DE451F">
        <w:rPr>
          <w:b/>
          <w:bCs/>
        </w:rPr>
        <w:t>Councillor W Irvine</w:t>
      </w:r>
      <w:r w:rsidRPr="0041231C">
        <w:rPr>
          <w:b/>
          <w:bCs/>
        </w:rPr>
        <w:t xml:space="preserve">, that </w:t>
      </w:r>
      <w:r>
        <w:rPr>
          <w:b/>
          <w:bCs/>
        </w:rPr>
        <w:t>the recommendation be adopted.</w:t>
      </w:r>
    </w:p>
    <w:p w14:paraId="746A8CC0" w14:textId="77777777" w:rsidR="000F5962" w:rsidRDefault="000F5962" w:rsidP="00BE72BE">
      <w:pPr>
        <w:rPr>
          <w:b/>
          <w:bCs/>
        </w:rPr>
      </w:pPr>
    </w:p>
    <w:p w14:paraId="135BE161" w14:textId="73B739FE" w:rsidR="0056063D" w:rsidRPr="0056063D" w:rsidRDefault="0056063D" w:rsidP="0056063D">
      <w:pPr>
        <w:pStyle w:val="Heading1"/>
        <w:ind w:left="720" w:hanging="720"/>
        <w:rPr>
          <w:rFonts w:ascii="Arial Bold" w:hAnsi="Arial Bold" w:cs="Arial" w:hint="eastAsia"/>
          <w:caps/>
          <w:color w:val="auto"/>
          <w:szCs w:val="28"/>
        </w:rPr>
      </w:pPr>
      <w:bookmarkStart w:id="7" w:name="_Hlk184739885"/>
      <w:r w:rsidRPr="0056063D">
        <w:rPr>
          <w:rFonts w:cs="Arial"/>
          <w:color w:val="auto"/>
          <w:sz w:val="24"/>
          <w:szCs w:val="24"/>
          <w:u w:val="none"/>
        </w:rPr>
        <w:t>5.</w:t>
      </w:r>
      <w:r w:rsidRPr="0056063D">
        <w:rPr>
          <w:u w:val="none"/>
        </w:rPr>
        <w:tab/>
      </w:r>
      <w:r w:rsidR="0022081F" w:rsidRPr="0022081F">
        <w:rPr>
          <w:rFonts w:ascii="Arial Bold" w:eastAsia="Calibri" w:hAnsi="Arial Bold" w:cs="Arial"/>
          <w:caps/>
          <w:color w:val="auto"/>
          <w:szCs w:val="28"/>
        </w:rPr>
        <w:t>Mid-way review of the Big Plan (Community Plan) for Ards and North Down (2017-2032)</w:t>
      </w:r>
    </w:p>
    <w:p w14:paraId="1C62A765" w14:textId="48132824" w:rsidR="009672D8" w:rsidRDefault="009672D8" w:rsidP="0056063D">
      <w:pPr>
        <w:contextualSpacing/>
      </w:pPr>
      <w:r>
        <w:rPr>
          <w:rFonts w:cs="Arial"/>
          <w:szCs w:val="24"/>
        </w:rPr>
        <w:tab/>
        <w:t>(Appendix</w:t>
      </w:r>
      <w:r w:rsidR="00D67C20">
        <w:rPr>
          <w:rFonts w:cs="Arial"/>
          <w:szCs w:val="24"/>
        </w:rPr>
        <w:t xml:space="preserve"> III)</w:t>
      </w:r>
    </w:p>
    <w:p w14:paraId="4DC83F63" w14:textId="77777777" w:rsidR="009672D8" w:rsidRDefault="009672D8" w:rsidP="0056063D"/>
    <w:p w14:paraId="658EFAA7" w14:textId="1A5849C7" w:rsidR="0056063D" w:rsidRDefault="0056063D" w:rsidP="0056063D">
      <w:r w:rsidRPr="004A64D9">
        <w:t xml:space="preserve">PREVIOUSLY CIRCULATED:- </w:t>
      </w:r>
      <w:r w:rsidR="00EC5488" w:rsidRPr="00EC5488">
        <w:t xml:space="preserve">Report from the Director of Corporate Services </w:t>
      </w:r>
      <w:r w:rsidR="00D67C20">
        <w:t>detailed as follows:</w:t>
      </w:r>
    </w:p>
    <w:p w14:paraId="6EE44C7E" w14:textId="77777777" w:rsidR="00D67C20" w:rsidRDefault="00D67C20" w:rsidP="0056063D"/>
    <w:p w14:paraId="5D69C47B" w14:textId="77777777" w:rsidR="00D67C20" w:rsidRPr="00D67C20" w:rsidRDefault="00D67C20" w:rsidP="00D67C20">
      <w:pPr>
        <w:rPr>
          <w:rFonts w:eastAsia="Times New Roman" w:cs="Arial"/>
          <w:b/>
          <w:bCs/>
          <w:szCs w:val="24"/>
        </w:rPr>
      </w:pPr>
      <w:r w:rsidRPr="00D67C20">
        <w:rPr>
          <w:rFonts w:eastAsia="Times New Roman" w:cs="Arial"/>
          <w:b/>
          <w:bCs/>
          <w:szCs w:val="24"/>
        </w:rPr>
        <w:t>Background</w:t>
      </w:r>
    </w:p>
    <w:p w14:paraId="3DA38BF5" w14:textId="77777777" w:rsidR="00D67C20" w:rsidRPr="00D67C20" w:rsidRDefault="00D67C20" w:rsidP="00D67C20">
      <w:pPr>
        <w:rPr>
          <w:rFonts w:eastAsia="Times New Roman" w:cs="Arial"/>
          <w:szCs w:val="24"/>
        </w:rPr>
      </w:pPr>
      <w:r w:rsidRPr="00D67C20">
        <w:rPr>
          <w:rFonts w:eastAsia="Times New Roman" w:cs="Arial"/>
          <w:szCs w:val="24"/>
        </w:rPr>
        <w:t xml:space="preserve">The Big Plan for Ards and North Down (2017-2032) was published in April 2017. It was reviewed in 2020/21 and an addendum, Our Big Priorities, was published in April 2022. The five outcomes set out in the 2017 Big Plan were unchanged but were supported by 10 priorities and 15 workstreams. This first review took place during Covid and changed how the partnership workstreams operate. </w:t>
      </w:r>
    </w:p>
    <w:p w14:paraId="463D17B6" w14:textId="77777777" w:rsidR="00D67C20" w:rsidRPr="00D67C20" w:rsidRDefault="00D67C20" w:rsidP="00D67C20">
      <w:pPr>
        <w:rPr>
          <w:rFonts w:eastAsia="Times New Roman" w:cs="Arial"/>
          <w:szCs w:val="24"/>
        </w:rPr>
      </w:pPr>
    </w:p>
    <w:p w14:paraId="30C37590" w14:textId="77777777" w:rsidR="00D67C20" w:rsidRPr="00D67C20" w:rsidRDefault="00D67C20" w:rsidP="00D67C20">
      <w:pPr>
        <w:rPr>
          <w:rFonts w:eastAsia="Times New Roman" w:cs="Arial"/>
          <w:szCs w:val="24"/>
        </w:rPr>
      </w:pPr>
      <w:r w:rsidRPr="00D67C20">
        <w:rPr>
          <w:rFonts w:eastAsia="Times New Roman" w:cs="Arial"/>
          <w:szCs w:val="24"/>
        </w:rPr>
        <w:t xml:space="preserve">Three Statements of Progress had been published in November 2019, November 2021 and November 2023. </w:t>
      </w:r>
    </w:p>
    <w:p w14:paraId="5581E3FC" w14:textId="77777777" w:rsidR="00D67C20" w:rsidRPr="00D67C20" w:rsidRDefault="00D67C20" w:rsidP="00D67C20">
      <w:pPr>
        <w:rPr>
          <w:rFonts w:eastAsia="Times New Roman" w:cs="Arial"/>
          <w:szCs w:val="24"/>
        </w:rPr>
      </w:pPr>
    </w:p>
    <w:p w14:paraId="7314301B" w14:textId="77777777" w:rsidR="00D67C20" w:rsidRPr="00D67C20" w:rsidRDefault="00D67C20" w:rsidP="00D67C20">
      <w:pPr>
        <w:rPr>
          <w:rFonts w:eastAsia="Times New Roman" w:cs="Arial"/>
          <w:szCs w:val="24"/>
        </w:rPr>
      </w:pPr>
      <w:r w:rsidRPr="00D67C20">
        <w:rPr>
          <w:rFonts w:eastAsia="Times New Roman" w:cs="Arial"/>
          <w:szCs w:val="24"/>
        </w:rPr>
        <w:t xml:space="preserve">The Big Plan ran for another eight years. It was likely that work on the Borough’s second community plan will start in 2030.  Before then a review of the current plan (The Big Plan) and the addendum (Our Big Priorities) was undertaken to ensure they still represent the direction Ards and North Down’s Strategic Community Planning Partnership wish to follow for the next eight years. </w:t>
      </w:r>
    </w:p>
    <w:p w14:paraId="68867BC9" w14:textId="77777777" w:rsidR="00D67C20" w:rsidRPr="00D67C20" w:rsidRDefault="00D67C20" w:rsidP="00D67C20">
      <w:pPr>
        <w:rPr>
          <w:rFonts w:eastAsia="Times New Roman" w:cs="Arial"/>
          <w:szCs w:val="24"/>
        </w:rPr>
      </w:pPr>
    </w:p>
    <w:p w14:paraId="0A47B127" w14:textId="77777777" w:rsidR="00D67C20" w:rsidRPr="00D67C20" w:rsidRDefault="00D67C20" w:rsidP="00D67C20">
      <w:pPr>
        <w:rPr>
          <w:rFonts w:eastAsia="Times New Roman" w:cs="Arial"/>
          <w:b/>
          <w:bCs/>
          <w:szCs w:val="24"/>
        </w:rPr>
      </w:pPr>
      <w:r w:rsidRPr="00D67C20">
        <w:rPr>
          <w:rFonts w:eastAsia="Times New Roman" w:cs="Arial"/>
          <w:b/>
          <w:bCs/>
          <w:szCs w:val="24"/>
        </w:rPr>
        <w:t>Mid-way review of the Big Plan (2017-2032)</w:t>
      </w:r>
    </w:p>
    <w:p w14:paraId="7B63E48E" w14:textId="77777777" w:rsidR="00D67C20" w:rsidRPr="00D67C20" w:rsidRDefault="00D67C20" w:rsidP="00D67C20">
      <w:pPr>
        <w:rPr>
          <w:rFonts w:eastAsia="Times New Roman" w:cs="Arial"/>
          <w:szCs w:val="24"/>
        </w:rPr>
      </w:pPr>
      <w:r w:rsidRPr="00D67C20">
        <w:rPr>
          <w:rFonts w:eastAsia="Times New Roman" w:cs="Arial"/>
          <w:szCs w:val="24"/>
        </w:rPr>
        <w:t xml:space="preserve">In reviewing the current documents, consideration was given to statistical evidence, existing workstreams, partnership engagement, feedback from the Third Sector HUB partners and the resources available within Council’s Community Planning Service. </w:t>
      </w:r>
    </w:p>
    <w:p w14:paraId="42440F0D" w14:textId="77777777" w:rsidR="00D67C20" w:rsidRPr="00D67C20" w:rsidRDefault="00D67C20" w:rsidP="00D67C20">
      <w:pPr>
        <w:rPr>
          <w:rFonts w:eastAsia="Times New Roman" w:cs="Arial"/>
          <w:szCs w:val="24"/>
        </w:rPr>
      </w:pPr>
    </w:p>
    <w:p w14:paraId="48023C1D" w14:textId="77777777" w:rsidR="00D67C20" w:rsidRPr="00D67C20" w:rsidRDefault="00D67C20" w:rsidP="00D67C20">
      <w:pPr>
        <w:rPr>
          <w:rFonts w:eastAsia="Times New Roman" w:cs="Arial"/>
          <w:b/>
          <w:bCs/>
          <w:szCs w:val="24"/>
        </w:rPr>
      </w:pPr>
      <w:r w:rsidRPr="00D67C20">
        <w:rPr>
          <w:rFonts w:eastAsia="Times New Roman" w:cs="Arial"/>
          <w:b/>
          <w:bCs/>
          <w:szCs w:val="24"/>
        </w:rPr>
        <w:t>Outcomes</w:t>
      </w:r>
    </w:p>
    <w:p w14:paraId="18C90EF0" w14:textId="77777777" w:rsidR="00D67C20" w:rsidRPr="00D67C20" w:rsidRDefault="00D67C20" w:rsidP="00D67C20">
      <w:pPr>
        <w:rPr>
          <w:rFonts w:eastAsia="Times New Roman" w:cs="Arial"/>
          <w:szCs w:val="24"/>
        </w:rPr>
      </w:pPr>
      <w:r w:rsidRPr="00D67C20">
        <w:rPr>
          <w:rFonts w:eastAsia="Times New Roman" w:cs="Arial"/>
          <w:szCs w:val="24"/>
        </w:rPr>
        <w:lastRenderedPageBreak/>
        <w:t xml:space="preserve">A recommendation was made to amend the wording of all five outcomes. The rational for this was to better reflect what the partnership is trying to achieve. The suggested changes better aligned the outcomes with the workstreams. </w:t>
      </w:r>
    </w:p>
    <w:p w14:paraId="744EBDF7" w14:textId="77777777" w:rsidR="00D67C20" w:rsidRPr="00D67C20" w:rsidRDefault="00D67C20" w:rsidP="00D67C20">
      <w:pPr>
        <w:rPr>
          <w:rFonts w:eastAsia="Times New Roman" w:cs="Arial"/>
          <w:szCs w:val="24"/>
        </w:rPr>
      </w:pPr>
    </w:p>
    <w:p w14:paraId="0BDA9017" w14:textId="77777777" w:rsidR="00D67C20" w:rsidRPr="00D67C20" w:rsidRDefault="00D67C20" w:rsidP="00D67C20">
      <w:pPr>
        <w:rPr>
          <w:rFonts w:eastAsia="Times New Roman" w:cs="Arial"/>
          <w:i/>
          <w:iCs/>
          <w:szCs w:val="24"/>
        </w:rPr>
      </w:pPr>
      <w:r w:rsidRPr="00D67C20">
        <w:rPr>
          <w:rFonts w:eastAsia="Times New Roman" w:cs="Arial"/>
          <w:szCs w:val="24"/>
        </w:rPr>
        <w:t xml:space="preserve">The opening words of all outcomes now included the words ‘benefit from’. </w:t>
      </w:r>
      <w:r w:rsidRPr="00D67C20">
        <w:rPr>
          <w:rFonts w:eastAsia="Times New Roman" w:cs="Arial"/>
          <w:i/>
          <w:iCs/>
          <w:szCs w:val="24"/>
        </w:rPr>
        <w:t>All people in Ards and North Down benefit from …</w:t>
      </w:r>
    </w:p>
    <w:p w14:paraId="5AD6706F" w14:textId="77777777" w:rsidR="00D67C20" w:rsidRPr="00D67C20" w:rsidRDefault="00D67C20" w:rsidP="00D67C20">
      <w:pPr>
        <w:rPr>
          <w:rFonts w:eastAsia="Times New Roman" w:cs="Arial"/>
          <w:szCs w:val="24"/>
        </w:rPr>
      </w:pPr>
    </w:p>
    <w:p w14:paraId="6FA4475C" w14:textId="77777777" w:rsidR="00D67C20" w:rsidRPr="00D67C20" w:rsidRDefault="00D67C20" w:rsidP="00D67C20">
      <w:pPr>
        <w:rPr>
          <w:rFonts w:eastAsia="Times New Roman" w:cs="Arial"/>
          <w:szCs w:val="24"/>
        </w:rPr>
      </w:pPr>
      <w:r w:rsidRPr="00D67C20">
        <w:rPr>
          <w:rFonts w:eastAsia="Times New Roman" w:cs="Arial"/>
          <w:szCs w:val="24"/>
        </w:rPr>
        <w:t>The table below outlines the rest of the proposed changes</w:t>
      </w:r>
    </w:p>
    <w:tbl>
      <w:tblPr>
        <w:tblStyle w:val="TableGrid8"/>
        <w:tblW w:w="0" w:type="auto"/>
        <w:tblLook w:val="04A0" w:firstRow="1" w:lastRow="0" w:firstColumn="1" w:lastColumn="0" w:noHBand="0" w:noVBand="1"/>
      </w:tblPr>
      <w:tblGrid>
        <w:gridCol w:w="2987"/>
        <w:gridCol w:w="12"/>
        <w:gridCol w:w="3004"/>
        <w:gridCol w:w="3013"/>
      </w:tblGrid>
      <w:tr w:rsidR="00D67C20" w:rsidRPr="00D67C20" w14:paraId="31B90FD3" w14:textId="77777777" w:rsidTr="00C355D1">
        <w:tc>
          <w:tcPr>
            <w:tcW w:w="2987" w:type="dxa"/>
          </w:tcPr>
          <w:p w14:paraId="0C5289FD"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kern w:val="2"/>
                <w:szCs w:val="24"/>
                <w14:ligatures w14:val="standardContextual"/>
              </w:rPr>
              <w:t>Original wording</w:t>
            </w:r>
          </w:p>
        </w:tc>
        <w:tc>
          <w:tcPr>
            <w:tcW w:w="3016" w:type="dxa"/>
            <w:gridSpan w:val="2"/>
          </w:tcPr>
          <w:p w14:paraId="5584623C"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kern w:val="2"/>
                <w:szCs w:val="24"/>
                <w14:ligatures w14:val="standardContextual"/>
              </w:rPr>
              <w:t>Amended wording</w:t>
            </w:r>
          </w:p>
        </w:tc>
        <w:tc>
          <w:tcPr>
            <w:tcW w:w="3013" w:type="dxa"/>
          </w:tcPr>
          <w:p w14:paraId="52B981E5"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kern w:val="2"/>
                <w:szCs w:val="24"/>
                <w14:ligatures w14:val="standardContextual"/>
              </w:rPr>
              <w:t>Rational of change</w:t>
            </w:r>
          </w:p>
        </w:tc>
      </w:tr>
      <w:tr w:rsidR="00D67C20" w:rsidRPr="00D67C20" w14:paraId="20F6939B" w14:textId="77777777" w:rsidTr="00C355D1">
        <w:tc>
          <w:tcPr>
            <w:tcW w:w="2987" w:type="dxa"/>
          </w:tcPr>
          <w:p w14:paraId="23A0DF21"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Fulfil their lifelong potential</w:t>
            </w:r>
          </w:p>
        </w:tc>
        <w:tc>
          <w:tcPr>
            <w:tcW w:w="3016" w:type="dxa"/>
            <w:gridSpan w:val="2"/>
          </w:tcPr>
          <w:p w14:paraId="6D9CC7C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Opportunities to fulfil their lifelong potential</w:t>
            </w:r>
          </w:p>
        </w:tc>
        <w:tc>
          <w:tcPr>
            <w:tcW w:w="3013" w:type="dxa"/>
          </w:tcPr>
          <w:p w14:paraId="32A938D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Our workstreams focus on empowering people to look after themselves. We can provide the opportunities, but we need people to take them.</w:t>
            </w:r>
          </w:p>
        </w:tc>
      </w:tr>
      <w:tr w:rsidR="00D67C20" w:rsidRPr="00D67C20" w14:paraId="7AB4EC6D" w14:textId="77777777" w:rsidTr="00C355D1">
        <w:tc>
          <w:tcPr>
            <w:tcW w:w="2999" w:type="dxa"/>
            <w:gridSpan w:val="2"/>
          </w:tcPr>
          <w:p w14:paraId="2E8972AF"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Enjoy good health and wellbeing</w:t>
            </w:r>
          </w:p>
        </w:tc>
        <w:tc>
          <w:tcPr>
            <w:tcW w:w="3004" w:type="dxa"/>
          </w:tcPr>
          <w:p w14:paraId="6A016117"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Being equipped to enjoy good health and wellbeing</w:t>
            </w:r>
          </w:p>
        </w:tc>
        <w:tc>
          <w:tcPr>
            <w:tcW w:w="3013" w:type="dxa"/>
          </w:tcPr>
          <w:p w14:paraId="51F68E10"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Like above. We can provide to tools people need to manage their own wellbeing, or to help them live as well as possible with ill health.</w:t>
            </w:r>
          </w:p>
        </w:tc>
      </w:tr>
      <w:tr w:rsidR="00D67C20" w:rsidRPr="00D67C20" w14:paraId="7BD980FE" w14:textId="77777777" w:rsidTr="00C355D1">
        <w:tc>
          <w:tcPr>
            <w:tcW w:w="2999" w:type="dxa"/>
            <w:gridSpan w:val="2"/>
          </w:tcPr>
          <w:p w14:paraId="09DF1207"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Live in communities where they are respects, are safe and feel secure</w:t>
            </w:r>
          </w:p>
        </w:tc>
        <w:tc>
          <w:tcPr>
            <w:tcW w:w="3004" w:type="dxa"/>
          </w:tcPr>
          <w:p w14:paraId="4DC356E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Communities where they are respected, are safe and feel secure</w:t>
            </w:r>
          </w:p>
        </w:tc>
        <w:tc>
          <w:tcPr>
            <w:tcW w:w="3013" w:type="dxa"/>
          </w:tcPr>
          <w:p w14:paraId="59E9DD3E"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People should feel safe and secure everywhere in the Borough, whether they live in a community or are visiting it.</w:t>
            </w:r>
          </w:p>
        </w:tc>
      </w:tr>
      <w:tr w:rsidR="00D67C20" w:rsidRPr="00D67C20" w14:paraId="12936D4E" w14:textId="77777777" w:rsidTr="00C355D1">
        <w:tc>
          <w:tcPr>
            <w:tcW w:w="2999" w:type="dxa"/>
            <w:gridSpan w:val="2"/>
          </w:tcPr>
          <w:p w14:paraId="62367892"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Benefit from a prosperous economy</w:t>
            </w:r>
          </w:p>
        </w:tc>
        <w:tc>
          <w:tcPr>
            <w:tcW w:w="3004" w:type="dxa"/>
          </w:tcPr>
          <w:p w14:paraId="5EBC733F"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A prosperous and inclusive economy</w:t>
            </w:r>
          </w:p>
        </w:tc>
        <w:tc>
          <w:tcPr>
            <w:tcW w:w="3013" w:type="dxa"/>
          </w:tcPr>
          <w:p w14:paraId="7E9E1B8A"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The word inclusive has been added as the workstreams that fall under this outcome are about providing support to people furthest from the labour market and to address financial disadvantage.</w:t>
            </w:r>
          </w:p>
        </w:tc>
      </w:tr>
      <w:tr w:rsidR="00D67C20" w:rsidRPr="00D67C20" w14:paraId="00C38327" w14:textId="77777777" w:rsidTr="00C355D1">
        <w:tc>
          <w:tcPr>
            <w:tcW w:w="2999" w:type="dxa"/>
            <w:gridSpan w:val="2"/>
          </w:tcPr>
          <w:p w14:paraId="3CD4F9AA"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Feel pride from having access to a well-managed sustainable environment</w:t>
            </w:r>
          </w:p>
        </w:tc>
        <w:tc>
          <w:tcPr>
            <w:tcW w:w="3004" w:type="dxa"/>
          </w:tcPr>
          <w:p w14:paraId="517ACEAA"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An environment that is valued, well-managed and accessible</w:t>
            </w:r>
          </w:p>
        </w:tc>
        <w:tc>
          <w:tcPr>
            <w:tcW w:w="3013" w:type="dxa"/>
          </w:tcPr>
          <w:p w14:paraId="6F573CC7"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 xml:space="preserve">The original wording was too narrow for the workstreams that have developed. </w:t>
            </w:r>
          </w:p>
        </w:tc>
      </w:tr>
    </w:tbl>
    <w:p w14:paraId="678B0F29" w14:textId="77777777" w:rsidR="00D67C20" w:rsidRPr="00D67C20" w:rsidRDefault="00D67C20" w:rsidP="00D67C20">
      <w:pPr>
        <w:rPr>
          <w:rFonts w:eastAsia="Times New Roman" w:cs="Arial"/>
          <w:szCs w:val="24"/>
        </w:rPr>
      </w:pPr>
    </w:p>
    <w:p w14:paraId="5CD1873D" w14:textId="77777777" w:rsidR="00D67C20" w:rsidRPr="00D67C20" w:rsidRDefault="00D67C20" w:rsidP="00D67C20">
      <w:pPr>
        <w:rPr>
          <w:rFonts w:eastAsia="Times New Roman" w:cs="Arial"/>
          <w:szCs w:val="24"/>
        </w:rPr>
      </w:pPr>
      <w:r w:rsidRPr="00D67C20">
        <w:rPr>
          <w:rFonts w:eastAsia="Times New Roman" w:cs="Arial"/>
          <w:szCs w:val="24"/>
        </w:rPr>
        <w:t xml:space="preserve">The agreed changes were subtle but made it easier to provide a narrative communicating, to all stakeholders, the priorities and the workstreams. </w:t>
      </w:r>
    </w:p>
    <w:p w14:paraId="6D3E1150" w14:textId="77777777" w:rsidR="00D67C20" w:rsidRPr="00D67C20" w:rsidRDefault="00D67C20" w:rsidP="00D67C20">
      <w:pPr>
        <w:rPr>
          <w:rFonts w:eastAsia="Times New Roman" w:cs="Arial"/>
          <w:b/>
          <w:bCs/>
          <w:szCs w:val="24"/>
        </w:rPr>
      </w:pPr>
    </w:p>
    <w:p w14:paraId="012B2852" w14:textId="77777777" w:rsidR="00D67C20" w:rsidRPr="00D67C20" w:rsidRDefault="00D67C20" w:rsidP="00D67C20">
      <w:pPr>
        <w:rPr>
          <w:rFonts w:eastAsia="Times New Roman" w:cs="Arial"/>
          <w:b/>
          <w:bCs/>
          <w:szCs w:val="24"/>
        </w:rPr>
      </w:pPr>
      <w:r w:rsidRPr="00D67C20">
        <w:rPr>
          <w:rFonts w:eastAsia="Times New Roman" w:cs="Arial"/>
          <w:b/>
          <w:bCs/>
          <w:szCs w:val="24"/>
        </w:rPr>
        <w:t>Priorities</w:t>
      </w:r>
    </w:p>
    <w:p w14:paraId="6FB687CF" w14:textId="77777777" w:rsidR="00D67C20" w:rsidRPr="00D67C20" w:rsidRDefault="00D67C20" w:rsidP="00D67C20">
      <w:pPr>
        <w:rPr>
          <w:rFonts w:eastAsia="Times New Roman" w:cs="Arial"/>
          <w:szCs w:val="24"/>
        </w:rPr>
      </w:pPr>
      <w:r w:rsidRPr="00D67C20">
        <w:rPr>
          <w:rFonts w:eastAsia="Times New Roman" w:cs="Arial"/>
          <w:szCs w:val="24"/>
        </w:rPr>
        <w:t xml:space="preserve">In 2022, The Big Plan Part II | Our Big Priorities had 10 priorities. Many of the workstreams fell across multiple priorities. In our efforts to reduce silos the updated </w:t>
      </w:r>
      <w:r w:rsidRPr="00D67C20">
        <w:rPr>
          <w:rFonts w:eastAsia="Times New Roman" w:cs="Arial"/>
          <w:b/>
          <w:bCs/>
          <w:i/>
          <w:iCs/>
          <w:szCs w:val="24"/>
        </w:rPr>
        <w:t>Big Plan | Outcomes, Priorities and Workstreams</w:t>
      </w:r>
      <w:r w:rsidRPr="00D67C20">
        <w:rPr>
          <w:rFonts w:eastAsia="Times New Roman" w:cs="Arial"/>
          <w:szCs w:val="24"/>
        </w:rPr>
        <w:t xml:space="preserve"> had reduced the priorities from 10 to six. </w:t>
      </w:r>
    </w:p>
    <w:p w14:paraId="48850EFB" w14:textId="77777777" w:rsidR="00D67C20" w:rsidRPr="00D67C20" w:rsidRDefault="00D67C20" w:rsidP="00D67C20">
      <w:pPr>
        <w:rPr>
          <w:rFonts w:eastAsia="Times New Roman" w:cs="Arial"/>
          <w:szCs w:val="24"/>
        </w:rPr>
      </w:pPr>
    </w:p>
    <w:p w14:paraId="339C7F16" w14:textId="77777777" w:rsidR="00D67C20" w:rsidRPr="00D67C20" w:rsidRDefault="00D67C20" w:rsidP="00D67C20">
      <w:pPr>
        <w:rPr>
          <w:rFonts w:eastAsia="Times New Roman" w:cs="Arial"/>
          <w:szCs w:val="24"/>
        </w:rPr>
      </w:pPr>
      <w:r w:rsidRPr="00D67C20">
        <w:rPr>
          <w:rFonts w:eastAsia="Times New Roman" w:cs="Arial"/>
          <w:szCs w:val="24"/>
        </w:rPr>
        <w:t xml:space="preserve">The table below sets out the rational for the amendments. </w:t>
      </w:r>
    </w:p>
    <w:tbl>
      <w:tblPr>
        <w:tblStyle w:val="TableGrid8"/>
        <w:tblW w:w="0" w:type="auto"/>
        <w:tblLook w:val="04A0" w:firstRow="1" w:lastRow="0" w:firstColumn="1" w:lastColumn="0" w:noHBand="0" w:noVBand="1"/>
      </w:tblPr>
      <w:tblGrid>
        <w:gridCol w:w="2995"/>
        <w:gridCol w:w="3014"/>
        <w:gridCol w:w="3007"/>
      </w:tblGrid>
      <w:tr w:rsidR="00D67C20" w:rsidRPr="00D67C20" w14:paraId="22C45FF7" w14:textId="77777777" w:rsidTr="00C355D1">
        <w:tc>
          <w:tcPr>
            <w:tcW w:w="2995" w:type="dxa"/>
          </w:tcPr>
          <w:p w14:paraId="15C448E9"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kern w:val="2"/>
                <w:szCs w:val="24"/>
                <w14:ligatures w14:val="standardContextual"/>
              </w:rPr>
              <w:lastRenderedPageBreak/>
              <w:t>Original priorities</w:t>
            </w:r>
          </w:p>
        </w:tc>
        <w:tc>
          <w:tcPr>
            <w:tcW w:w="3014" w:type="dxa"/>
          </w:tcPr>
          <w:p w14:paraId="262DC4EC"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kern w:val="2"/>
                <w:szCs w:val="24"/>
                <w14:ligatures w14:val="standardContextual"/>
              </w:rPr>
              <w:t>Amended priority</w:t>
            </w:r>
          </w:p>
        </w:tc>
        <w:tc>
          <w:tcPr>
            <w:tcW w:w="3007" w:type="dxa"/>
          </w:tcPr>
          <w:p w14:paraId="44E86701"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kern w:val="2"/>
                <w:szCs w:val="24"/>
                <w14:ligatures w14:val="standardContextual"/>
              </w:rPr>
              <w:t>Rational</w:t>
            </w:r>
          </w:p>
        </w:tc>
      </w:tr>
      <w:tr w:rsidR="00D67C20" w:rsidRPr="00D67C20" w14:paraId="08138ECE" w14:textId="77777777" w:rsidTr="00C355D1">
        <w:tc>
          <w:tcPr>
            <w:tcW w:w="2995" w:type="dxa"/>
          </w:tcPr>
          <w:p w14:paraId="62A24EF6"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Participation</w:t>
            </w:r>
          </w:p>
        </w:tc>
        <w:tc>
          <w:tcPr>
            <w:tcW w:w="3014" w:type="dxa"/>
          </w:tcPr>
          <w:p w14:paraId="07BC111B"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Participation</w:t>
            </w:r>
          </w:p>
        </w:tc>
        <w:tc>
          <w:tcPr>
            <w:tcW w:w="3007" w:type="dxa"/>
          </w:tcPr>
          <w:p w14:paraId="54E8F533"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No change</w:t>
            </w:r>
          </w:p>
        </w:tc>
      </w:tr>
      <w:tr w:rsidR="00D67C20" w:rsidRPr="00D67C20" w14:paraId="50AE4A53" w14:textId="77777777" w:rsidTr="00C355D1">
        <w:tc>
          <w:tcPr>
            <w:tcW w:w="2995" w:type="dxa"/>
          </w:tcPr>
          <w:p w14:paraId="715A302D"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Infrastructure</w:t>
            </w:r>
          </w:p>
        </w:tc>
        <w:tc>
          <w:tcPr>
            <w:tcW w:w="3014" w:type="dxa"/>
          </w:tcPr>
          <w:p w14:paraId="2BF7292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Infrastructure</w:t>
            </w:r>
          </w:p>
        </w:tc>
        <w:tc>
          <w:tcPr>
            <w:tcW w:w="3007" w:type="dxa"/>
          </w:tcPr>
          <w:p w14:paraId="43F2B24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No change</w:t>
            </w:r>
          </w:p>
        </w:tc>
      </w:tr>
      <w:tr w:rsidR="00D67C20" w:rsidRPr="00D67C20" w14:paraId="029A5BE1" w14:textId="77777777" w:rsidTr="00C355D1">
        <w:tc>
          <w:tcPr>
            <w:tcW w:w="2995" w:type="dxa"/>
          </w:tcPr>
          <w:p w14:paraId="496627A5"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Emotional Wellbeing</w:t>
            </w:r>
          </w:p>
        </w:tc>
        <w:tc>
          <w:tcPr>
            <w:tcW w:w="3014" w:type="dxa"/>
            <w:vMerge w:val="restart"/>
          </w:tcPr>
          <w:p w14:paraId="6F0BC872"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Determinants of Health</w:t>
            </w:r>
          </w:p>
        </w:tc>
        <w:tc>
          <w:tcPr>
            <w:tcW w:w="3007" w:type="dxa"/>
            <w:vMerge w:val="restart"/>
          </w:tcPr>
          <w:p w14:paraId="32159FA5"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A person’s health is influenced by many factors. The CP Partnership, and the wide remit of its members, can help people to stay healthy. This priority focuses on prevention and empowerment.</w:t>
            </w:r>
          </w:p>
        </w:tc>
      </w:tr>
      <w:tr w:rsidR="00D67C20" w:rsidRPr="00D67C20" w14:paraId="1C6B4D5F" w14:textId="77777777" w:rsidTr="00C355D1">
        <w:tc>
          <w:tcPr>
            <w:tcW w:w="2995" w:type="dxa"/>
          </w:tcPr>
          <w:p w14:paraId="76C37F8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Health Equity</w:t>
            </w:r>
          </w:p>
        </w:tc>
        <w:tc>
          <w:tcPr>
            <w:tcW w:w="3014" w:type="dxa"/>
            <w:vMerge/>
          </w:tcPr>
          <w:p w14:paraId="45007879" w14:textId="77777777" w:rsidR="00D67C20" w:rsidRPr="00D67C20" w:rsidRDefault="00D67C20" w:rsidP="00D67C20">
            <w:pPr>
              <w:rPr>
                <w:rFonts w:eastAsia="Times New Roman" w:cs="Arial"/>
                <w:kern w:val="2"/>
                <w:szCs w:val="24"/>
                <w14:ligatures w14:val="standardContextual"/>
              </w:rPr>
            </w:pPr>
          </w:p>
        </w:tc>
        <w:tc>
          <w:tcPr>
            <w:tcW w:w="3007" w:type="dxa"/>
            <w:vMerge/>
          </w:tcPr>
          <w:p w14:paraId="3E1A924C" w14:textId="77777777" w:rsidR="00D67C20" w:rsidRPr="00D67C20" w:rsidRDefault="00D67C20" w:rsidP="00D67C20">
            <w:pPr>
              <w:rPr>
                <w:rFonts w:eastAsia="Times New Roman" w:cs="Arial"/>
                <w:kern w:val="2"/>
                <w:szCs w:val="24"/>
                <w14:ligatures w14:val="standardContextual"/>
              </w:rPr>
            </w:pPr>
          </w:p>
        </w:tc>
      </w:tr>
      <w:tr w:rsidR="00D67C20" w:rsidRPr="00D67C20" w14:paraId="792B5ECF" w14:textId="77777777" w:rsidTr="00C355D1">
        <w:tc>
          <w:tcPr>
            <w:tcW w:w="2995" w:type="dxa"/>
          </w:tcPr>
          <w:p w14:paraId="5B83EE3B"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Welcoming to Everyone</w:t>
            </w:r>
          </w:p>
        </w:tc>
        <w:tc>
          <w:tcPr>
            <w:tcW w:w="3014" w:type="dxa"/>
            <w:vMerge w:val="restart"/>
          </w:tcPr>
          <w:p w14:paraId="6F573A87"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Welcoming Spaces</w:t>
            </w:r>
          </w:p>
        </w:tc>
        <w:tc>
          <w:tcPr>
            <w:tcW w:w="3007" w:type="dxa"/>
            <w:vMerge w:val="restart"/>
          </w:tcPr>
          <w:p w14:paraId="006D38DE"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Welcoming spaces incorporates all people and vulnerabilities.</w:t>
            </w:r>
          </w:p>
        </w:tc>
      </w:tr>
      <w:tr w:rsidR="00D67C20" w:rsidRPr="00D67C20" w14:paraId="776E304E" w14:textId="77777777" w:rsidTr="00C355D1">
        <w:tc>
          <w:tcPr>
            <w:tcW w:w="2995" w:type="dxa"/>
          </w:tcPr>
          <w:p w14:paraId="0FE113F4"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Vulnerable people</w:t>
            </w:r>
          </w:p>
        </w:tc>
        <w:tc>
          <w:tcPr>
            <w:tcW w:w="3014" w:type="dxa"/>
            <w:vMerge/>
          </w:tcPr>
          <w:p w14:paraId="48C7341C" w14:textId="77777777" w:rsidR="00D67C20" w:rsidRPr="00D67C20" w:rsidRDefault="00D67C20" w:rsidP="00D67C20">
            <w:pPr>
              <w:rPr>
                <w:rFonts w:eastAsia="Times New Roman" w:cs="Arial"/>
                <w:kern w:val="2"/>
                <w:szCs w:val="24"/>
                <w14:ligatures w14:val="standardContextual"/>
              </w:rPr>
            </w:pPr>
          </w:p>
        </w:tc>
        <w:tc>
          <w:tcPr>
            <w:tcW w:w="3007" w:type="dxa"/>
            <w:vMerge/>
          </w:tcPr>
          <w:p w14:paraId="1D26E00E" w14:textId="77777777" w:rsidR="00D67C20" w:rsidRPr="00D67C20" w:rsidRDefault="00D67C20" w:rsidP="00D67C20">
            <w:pPr>
              <w:rPr>
                <w:rFonts w:eastAsia="Times New Roman" w:cs="Arial"/>
                <w:kern w:val="2"/>
                <w:szCs w:val="24"/>
                <w14:ligatures w14:val="standardContextual"/>
              </w:rPr>
            </w:pPr>
          </w:p>
        </w:tc>
      </w:tr>
      <w:tr w:rsidR="00D67C20" w:rsidRPr="00D67C20" w14:paraId="1A9EB0B6" w14:textId="77777777" w:rsidTr="00C355D1">
        <w:tc>
          <w:tcPr>
            <w:tcW w:w="2995" w:type="dxa"/>
          </w:tcPr>
          <w:p w14:paraId="59401B84"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Better jobs and skills</w:t>
            </w:r>
          </w:p>
        </w:tc>
        <w:tc>
          <w:tcPr>
            <w:tcW w:w="3014" w:type="dxa"/>
            <w:vMerge w:val="restart"/>
          </w:tcPr>
          <w:p w14:paraId="0B6C8879"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Employment, Employability and Economic Inequalities</w:t>
            </w:r>
          </w:p>
        </w:tc>
        <w:tc>
          <w:tcPr>
            <w:tcW w:w="3007" w:type="dxa"/>
            <w:vMerge w:val="restart"/>
          </w:tcPr>
          <w:p w14:paraId="5DBC448D"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We need to understand why economic inequalities exist and the barriers to economic activity to improve employment opportunities. Community development support and economic development support need to work together.</w:t>
            </w:r>
          </w:p>
        </w:tc>
      </w:tr>
      <w:tr w:rsidR="00D67C20" w:rsidRPr="00D67C20" w14:paraId="30232CE1" w14:textId="77777777" w:rsidTr="00C355D1">
        <w:tc>
          <w:tcPr>
            <w:tcW w:w="2995" w:type="dxa"/>
          </w:tcPr>
          <w:p w14:paraId="54EE07A3"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Inequalities (Economic)</w:t>
            </w:r>
          </w:p>
        </w:tc>
        <w:tc>
          <w:tcPr>
            <w:tcW w:w="3014" w:type="dxa"/>
            <w:vMerge/>
          </w:tcPr>
          <w:p w14:paraId="4AA7EA08" w14:textId="77777777" w:rsidR="00D67C20" w:rsidRPr="00D67C20" w:rsidRDefault="00D67C20" w:rsidP="00D67C20">
            <w:pPr>
              <w:rPr>
                <w:rFonts w:eastAsia="Times New Roman" w:cs="Arial"/>
                <w:kern w:val="2"/>
                <w:szCs w:val="24"/>
                <w14:ligatures w14:val="standardContextual"/>
              </w:rPr>
            </w:pPr>
          </w:p>
        </w:tc>
        <w:tc>
          <w:tcPr>
            <w:tcW w:w="3007" w:type="dxa"/>
            <w:vMerge/>
          </w:tcPr>
          <w:p w14:paraId="26CA0B60" w14:textId="77777777" w:rsidR="00D67C20" w:rsidRPr="00D67C20" w:rsidRDefault="00D67C20" w:rsidP="00D67C20">
            <w:pPr>
              <w:rPr>
                <w:rFonts w:eastAsia="Times New Roman" w:cs="Arial"/>
                <w:kern w:val="2"/>
                <w:szCs w:val="24"/>
                <w14:ligatures w14:val="standardContextual"/>
              </w:rPr>
            </w:pPr>
          </w:p>
        </w:tc>
      </w:tr>
      <w:tr w:rsidR="00D67C20" w:rsidRPr="00D67C20" w14:paraId="74181D30" w14:textId="77777777" w:rsidTr="00C355D1">
        <w:tc>
          <w:tcPr>
            <w:tcW w:w="2995" w:type="dxa"/>
          </w:tcPr>
          <w:p w14:paraId="507D86C2"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Sustainability</w:t>
            </w:r>
          </w:p>
        </w:tc>
        <w:tc>
          <w:tcPr>
            <w:tcW w:w="3014" w:type="dxa"/>
            <w:vMerge w:val="restart"/>
          </w:tcPr>
          <w:p w14:paraId="7AA7A434"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Environmentally Sustainable Communities</w:t>
            </w:r>
          </w:p>
        </w:tc>
        <w:tc>
          <w:tcPr>
            <w:tcW w:w="3007" w:type="dxa"/>
            <w:vMerge w:val="restart"/>
          </w:tcPr>
          <w:p w14:paraId="0C535608"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8"/>
                <w14:ligatures w14:val="standardContextual"/>
              </w:rPr>
              <w:t xml:space="preserve">A </w:t>
            </w:r>
            <w:r w:rsidRPr="00D67C20">
              <w:rPr>
                <w:rFonts w:eastAsia="Times New Roman" w:cs="Arial"/>
                <w:kern w:val="2"/>
                <w:szCs w:val="24"/>
                <w14:ligatures w14:val="standardContextual"/>
              </w:rPr>
              <w:t xml:space="preserve">well-functioning environment is essential to support people and their needs – food, water, shelter, clean air etc... It also improves mental and physical well-being. Climate change will interfere with existing environmental systems, and we need to make communities resilient and sustainable. </w:t>
            </w:r>
          </w:p>
        </w:tc>
      </w:tr>
      <w:tr w:rsidR="00D67C20" w:rsidRPr="00D67C20" w14:paraId="6C298110" w14:textId="77777777" w:rsidTr="00C355D1">
        <w:tc>
          <w:tcPr>
            <w:tcW w:w="2995" w:type="dxa"/>
          </w:tcPr>
          <w:p w14:paraId="5C24A1B0" w14:textId="77777777" w:rsidR="00D67C20" w:rsidRPr="00D67C20" w:rsidRDefault="00D67C20" w:rsidP="00D67C20">
            <w:pPr>
              <w:rPr>
                <w:rFonts w:eastAsia="Times New Roman" w:cs="Arial"/>
                <w:kern w:val="2"/>
                <w:szCs w:val="24"/>
                <w14:ligatures w14:val="standardContextual"/>
              </w:rPr>
            </w:pPr>
            <w:r w:rsidRPr="00D67C20">
              <w:rPr>
                <w:rFonts w:eastAsia="Times New Roman" w:cs="Arial"/>
                <w:kern w:val="2"/>
                <w:szCs w:val="24"/>
                <w14:ligatures w14:val="standardContextual"/>
              </w:rPr>
              <w:t>Valuing our Environment</w:t>
            </w:r>
          </w:p>
        </w:tc>
        <w:tc>
          <w:tcPr>
            <w:tcW w:w="3014" w:type="dxa"/>
            <w:vMerge/>
          </w:tcPr>
          <w:p w14:paraId="045BC278" w14:textId="77777777" w:rsidR="00D67C20" w:rsidRPr="00D67C20" w:rsidRDefault="00D67C20" w:rsidP="00D67C20">
            <w:pPr>
              <w:rPr>
                <w:rFonts w:eastAsia="Times New Roman" w:cs="Arial"/>
                <w:kern w:val="2"/>
                <w:szCs w:val="24"/>
                <w14:ligatures w14:val="standardContextual"/>
              </w:rPr>
            </w:pPr>
          </w:p>
        </w:tc>
        <w:tc>
          <w:tcPr>
            <w:tcW w:w="3007" w:type="dxa"/>
            <w:vMerge/>
          </w:tcPr>
          <w:p w14:paraId="4F402DCA" w14:textId="77777777" w:rsidR="00D67C20" w:rsidRPr="00D67C20" w:rsidRDefault="00D67C20" w:rsidP="00D67C20">
            <w:pPr>
              <w:rPr>
                <w:rFonts w:eastAsia="Times New Roman" w:cs="Arial"/>
                <w:kern w:val="2"/>
                <w:szCs w:val="24"/>
                <w14:ligatures w14:val="standardContextual"/>
              </w:rPr>
            </w:pPr>
          </w:p>
        </w:tc>
      </w:tr>
    </w:tbl>
    <w:p w14:paraId="0F49251F" w14:textId="77777777" w:rsidR="00D67C20" w:rsidRPr="00D67C20" w:rsidRDefault="00D67C20" w:rsidP="00D67C20">
      <w:pPr>
        <w:rPr>
          <w:rFonts w:eastAsia="Times New Roman" w:cs="Arial"/>
          <w:szCs w:val="24"/>
        </w:rPr>
      </w:pPr>
    </w:p>
    <w:p w14:paraId="211114A4" w14:textId="77777777" w:rsidR="00D67C20" w:rsidRPr="00D67C20" w:rsidRDefault="00D67C20" w:rsidP="00D67C20">
      <w:pPr>
        <w:rPr>
          <w:rFonts w:eastAsia="Times New Roman" w:cs="Arial"/>
          <w:b/>
          <w:bCs/>
          <w:szCs w:val="24"/>
        </w:rPr>
      </w:pPr>
      <w:r w:rsidRPr="00D67C20">
        <w:rPr>
          <w:rFonts w:eastAsia="Times New Roman" w:cs="Arial"/>
          <w:b/>
          <w:bCs/>
          <w:szCs w:val="24"/>
        </w:rPr>
        <w:t>Workstreams</w:t>
      </w:r>
    </w:p>
    <w:p w14:paraId="2751A9C7" w14:textId="77777777" w:rsidR="00D67C20" w:rsidRPr="00D67C20" w:rsidRDefault="00D67C20" w:rsidP="00D67C20">
      <w:pPr>
        <w:rPr>
          <w:rFonts w:eastAsia="Times New Roman" w:cs="Arial"/>
          <w:szCs w:val="24"/>
        </w:rPr>
      </w:pPr>
      <w:r w:rsidRPr="00D67C20">
        <w:rPr>
          <w:rFonts w:eastAsia="Times New Roman" w:cs="Arial"/>
          <w:szCs w:val="24"/>
        </w:rPr>
        <w:t xml:space="preserve">Within the updated Big Plan, workstreams had remained largely unchanged. The exception to this was three workstreams that we had struggled to get traction with. </w:t>
      </w:r>
    </w:p>
    <w:p w14:paraId="02EAF4BD" w14:textId="77777777" w:rsidR="00D67C20" w:rsidRPr="00D67C20" w:rsidRDefault="00D67C20" w:rsidP="00D67C20">
      <w:pPr>
        <w:rPr>
          <w:rFonts w:eastAsia="Times New Roman" w:cs="Arial"/>
          <w:szCs w:val="24"/>
        </w:rPr>
      </w:pPr>
    </w:p>
    <w:p w14:paraId="0ABBA80B" w14:textId="77777777" w:rsidR="00D67C20" w:rsidRPr="00D67C20" w:rsidRDefault="00D67C20" w:rsidP="00D67C20">
      <w:pPr>
        <w:rPr>
          <w:rFonts w:eastAsia="Times New Roman" w:cs="Arial"/>
          <w:szCs w:val="24"/>
        </w:rPr>
      </w:pPr>
      <w:r w:rsidRPr="00D67C20">
        <w:rPr>
          <w:rFonts w:eastAsia="Times New Roman" w:cs="Arial"/>
          <w:szCs w:val="24"/>
        </w:rPr>
        <w:t xml:space="preserve">A new Health and Wellbeing Workstream had been established under outcome 2 priority 3. This incorporated two previous workstreams that focused on emotional wellbeing and social isolation &amp; loneliness. It was proposed to establish a Climate Resilient Communities Workstream, incorporating our Sustainable Food Workstream, under outcome 5 priority 6. The remit and operation of this new workstream was still in the planning stage. </w:t>
      </w:r>
    </w:p>
    <w:p w14:paraId="5C2A5602" w14:textId="77777777" w:rsidR="00D67C20" w:rsidRPr="00D67C20" w:rsidRDefault="00D67C20" w:rsidP="00D67C20">
      <w:pPr>
        <w:rPr>
          <w:rFonts w:eastAsia="Times New Roman" w:cs="Arial"/>
          <w:b/>
          <w:bCs/>
          <w:szCs w:val="24"/>
        </w:rPr>
      </w:pPr>
    </w:p>
    <w:p w14:paraId="5F327B68" w14:textId="77777777" w:rsidR="00D67C20" w:rsidRPr="00D67C20" w:rsidRDefault="00D67C20" w:rsidP="00D67C20">
      <w:pPr>
        <w:rPr>
          <w:rFonts w:eastAsia="Times New Roman" w:cs="Arial"/>
          <w:b/>
          <w:bCs/>
          <w:szCs w:val="24"/>
        </w:rPr>
      </w:pPr>
      <w:r w:rsidRPr="00D67C20">
        <w:rPr>
          <w:rFonts w:eastAsia="Times New Roman" w:cs="Arial"/>
          <w:b/>
          <w:bCs/>
          <w:szCs w:val="24"/>
        </w:rPr>
        <w:lastRenderedPageBreak/>
        <w:t>Outcomes, Priorities and Workstreams</w:t>
      </w:r>
    </w:p>
    <w:p w14:paraId="2EB53CE5" w14:textId="77777777" w:rsidR="00D67C20" w:rsidRPr="00D67C20" w:rsidRDefault="00D67C20" w:rsidP="00D67C20">
      <w:pPr>
        <w:rPr>
          <w:rFonts w:eastAsia="Times New Roman" w:cs="Arial"/>
          <w:szCs w:val="24"/>
        </w:rPr>
      </w:pPr>
      <w:r w:rsidRPr="00D67C20">
        <w:rPr>
          <w:rFonts w:eastAsia="Times New Roman" w:cs="Arial"/>
          <w:szCs w:val="24"/>
        </w:rPr>
        <w:t xml:space="preserve">There was always scope for the partnership to establish additional workstreams, but consideration should be given to alignment with agrees priorities, outcomes and available resources across the Community Planning Partnership. </w:t>
      </w:r>
    </w:p>
    <w:p w14:paraId="79EDD72F" w14:textId="77777777" w:rsidR="00D67C20" w:rsidRPr="00D67C20" w:rsidRDefault="00D67C20" w:rsidP="00D67C20">
      <w:pPr>
        <w:rPr>
          <w:rFonts w:eastAsia="Times New Roman" w:cs="Arial"/>
          <w:szCs w:val="24"/>
        </w:rPr>
      </w:pPr>
    </w:p>
    <w:p w14:paraId="3465168B" w14:textId="77777777" w:rsidR="00D67C20" w:rsidRPr="00D67C20" w:rsidRDefault="00D67C20" w:rsidP="00D67C20">
      <w:pPr>
        <w:rPr>
          <w:rFonts w:eastAsia="Times New Roman" w:cs="Arial"/>
          <w:szCs w:val="24"/>
        </w:rPr>
      </w:pPr>
      <w:r w:rsidRPr="00D67C20">
        <w:rPr>
          <w:rFonts w:eastAsia="Times New Roman" w:cs="Arial"/>
          <w:szCs w:val="24"/>
        </w:rPr>
        <w:t>The table below showed the link between outcomes, priorities and workstreams.</w:t>
      </w:r>
    </w:p>
    <w:tbl>
      <w:tblPr>
        <w:tblStyle w:val="TableGrid8"/>
        <w:tblW w:w="9464" w:type="dxa"/>
        <w:tblLook w:val="04A0" w:firstRow="1" w:lastRow="0" w:firstColumn="1" w:lastColumn="0" w:noHBand="0" w:noVBand="1"/>
      </w:tblPr>
      <w:tblGrid>
        <w:gridCol w:w="3289"/>
        <w:gridCol w:w="4113"/>
        <w:gridCol w:w="2062"/>
      </w:tblGrid>
      <w:tr w:rsidR="00D67C20" w:rsidRPr="00D67C20" w14:paraId="22BB0874" w14:textId="77777777" w:rsidTr="00D67C20">
        <w:tc>
          <w:tcPr>
            <w:tcW w:w="9464" w:type="dxa"/>
            <w:gridSpan w:val="3"/>
            <w:shd w:val="clear" w:color="auto" w:fill="000000"/>
          </w:tcPr>
          <w:p w14:paraId="251E9EB3"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i/>
                <w:iCs/>
                <w:kern w:val="2"/>
                <w:szCs w:val="24"/>
                <w14:ligatures w14:val="standardContextual"/>
              </w:rPr>
              <w:t>Outcome 1 Outcome, Priorities and Workstreams</w:t>
            </w:r>
          </w:p>
        </w:tc>
      </w:tr>
      <w:tr w:rsidR="00D67C20" w:rsidRPr="00D67C20" w14:paraId="4116D764" w14:textId="77777777" w:rsidTr="00D67C20">
        <w:tc>
          <w:tcPr>
            <w:tcW w:w="3397" w:type="dxa"/>
            <w:vMerge w:val="restart"/>
            <w:vAlign w:val="center"/>
          </w:tcPr>
          <w:p w14:paraId="7C40124B" w14:textId="77777777" w:rsidR="00D67C20" w:rsidRPr="00D67C20" w:rsidRDefault="00D67C20" w:rsidP="00D67C20">
            <w:pPr>
              <w:rPr>
                <w:rFonts w:eastAsia="Times New Roman" w:cs="Arial"/>
                <w:i/>
                <w:iCs/>
                <w:kern w:val="2"/>
                <w:szCs w:val="24"/>
                <w14:ligatures w14:val="standardContextual"/>
              </w:rPr>
            </w:pPr>
            <w:r w:rsidRPr="00D67C20">
              <w:rPr>
                <w:rFonts w:eastAsia="Times New Roman" w:cs="Arial"/>
                <w:b/>
                <w:bCs/>
                <w:kern w:val="2"/>
                <w:szCs w:val="24"/>
                <w14:ligatures w14:val="standardContextual"/>
              </w:rPr>
              <w:t>All people in Ards and North Down benefit from opportunities to fulfil their lifelong potential</w:t>
            </w:r>
          </w:p>
        </w:tc>
        <w:tc>
          <w:tcPr>
            <w:tcW w:w="4253" w:type="dxa"/>
            <w:shd w:val="clear" w:color="auto" w:fill="F2F2F2"/>
            <w:vAlign w:val="center"/>
          </w:tcPr>
          <w:p w14:paraId="410AC460" w14:textId="77777777" w:rsidR="00D67C20" w:rsidRPr="00D67C20" w:rsidRDefault="00D67C20" w:rsidP="006B62B0">
            <w:pPr>
              <w:numPr>
                <w:ilvl w:val="0"/>
                <w:numId w:val="1"/>
              </w:numPr>
              <w:ind w:left="455"/>
              <w:rPr>
                <w:rFonts w:cs="Arial"/>
                <w:i/>
                <w:iCs/>
                <w:kern w:val="2"/>
                <w:szCs w:val="24"/>
                <w14:ligatures w14:val="standardContextual"/>
              </w:rPr>
            </w:pPr>
            <w:r w:rsidRPr="00D67C20">
              <w:rPr>
                <w:rFonts w:cs="Arial"/>
                <w:i/>
                <w:iCs/>
                <w:kern w:val="2"/>
                <w:szCs w:val="24"/>
                <w14:ligatures w14:val="standardContextual"/>
              </w:rPr>
              <w:t>Participation</w:t>
            </w:r>
          </w:p>
        </w:tc>
        <w:tc>
          <w:tcPr>
            <w:tcW w:w="1814" w:type="dxa"/>
            <w:shd w:val="clear" w:color="auto" w:fill="F2F2F2"/>
            <w:vAlign w:val="center"/>
          </w:tcPr>
          <w:p w14:paraId="551C7DE7" w14:textId="77777777" w:rsidR="00D67C20" w:rsidRPr="00D67C20" w:rsidRDefault="00D67C20" w:rsidP="006B62B0">
            <w:pPr>
              <w:numPr>
                <w:ilvl w:val="0"/>
                <w:numId w:val="1"/>
              </w:numPr>
              <w:ind w:left="432"/>
              <w:rPr>
                <w:rFonts w:cs="Arial"/>
                <w:i/>
                <w:iCs/>
                <w:kern w:val="2"/>
                <w:szCs w:val="24"/>
                <w14:ligatures w14:val="standardContextual"/>
              </w:rPr>
            </w:pPr>
            <w:r w:rsidRPr="00D67C20">
              <w:rPr>
                <w:rFonts w:cs="Arial"/>
                <w:i/>
                <w:iCs/>
                <w:kern w:val="2"/>
                <w:szCs w:val="24"/>
                <w14:ligatures w14:val="standardContextual"/>
              </w:rPr>
              <w:t>Infrastructure</w:t>
            </w:r>
          </w:p>
        </w:tc>
      </w:tr>
      <w:tr w:rsidR="00D67C20" w:rsidRPr="00D67C20" w14:paraId="0FD15C23" w14:textId="77777777" w:rsidTr="00C355D1">
        <w:tc>
          <w:tcPr>
            <w:tcW w:w="3397" w:type="dxa"/>
            <w:vMerge/>
            <w:vAlign w:val="center"/>
          </w:tcPr>
          <w:p w14:paraId="2451F451" w14:textId="77777777" w:rsidR="00D67C20" w:rsidRPr="00D67C20" w:rsidRDefault="00D67C20" w:rsidP="00D67C20">
            <w:pPr>
              <w:rPr>
                <w:rFonts w:eastAsia="Times New Roman" w:cs="Arial"/>
                <w:kern w:val="2"/>
                <w:szCs w:val="24"/>
                <w14:ligatures w14:val="standardContextual"/>
              </w:rPr>
            </w:pPr>
          </w:p>
        </w:tc>
        <w:tc>
          <w:tcPr>
            <w:tcW w:w="4253" w:type="dxa"/>
            <w:vAlign w:val="center"/>
          </w:tcPr>
          <w:p w14:paraId="77168ADC" w14:textId="77777777" w:rsidR="00D67C20" w:rsidRPr="00D67C20" w:rsidRDefault="00D67C20" w:rsidP="006B62B0">
            <w:pPr>
              <w:numPr>
                <w:ilvl w:val="0"/>
                <w:numId w:val="6"/>
              </w:numPr>
              <w:ind w:left="455"/>
              <w:rPr>
                <w:rFonts w:cs="Arial"/>
                <w:kern w:val="2"/>
                <w:szCs w:val="24"/>
                <w14:ligatures w14:val="standardContextual"/>
              </w:rPr>
            </w:pPr>
            <w:r w:rsidRPr="00D67C20">
              <w:rPr>
                <w:rFonts w:cs="Arial"/>
                <w:kern w:val="2"/>
                <w:szCs w:val="24"/>
                <w14:ligatures w14:val="standardContextual"/>
              </w:rPr>
              <w:t>Community Resuscitation Group</w:t>
            </w:r>
          </w:p>
          <w:p w14:paraId="36DA060B" w14:textId="77777777" w:rsidR="00D67C20" w:rsidRPr="00D67C20" w:rsidRDefault="00D67C20" w:rsidP="006B62B0">
            <w:pPr>
              <w:numPr>
                <w:ilvl w:val="0"/>
                <w:numId w:val="6"/>
              </w:numPr>
              <w:ind w:left="455"/>
              <w:rPr>
                <w:rFonts w:cs="Arial"/>
                <w:kern w:val="2"/>
                <w:szCs w:val="24"/>
                <w14:ligatures w14:val="standardContextual"/>
              </w:rPr>
            </w:pPr>
            <w:r w:rsidRPr="00D67C20">
              <w:rPr>
                <w:rFonts w:cs="Arial"/>
                <w:kern w:val="2"/>
                <w:szCs w:val="24"/>
                <w14:ligatures w14:val="standardContextual"/>
              </w:rPr>
              <w:t>Citizen Engagement* (includes Over 50s Council, Youth Voice, Community Support Steering Group, Third Sector HUB)</w:t>
            </w:r>
          </w:p>
          <w:p w14:paraId="6526B207" w14:textId="77777777" w:rsidR="00D67C20" w:rsidRPr="00D67C20" w:rsidRDefault="00D67C20" w:rsidP="006B62B0">
            <w:pPr>
              <w:numPr>
                <w:ilvl w:val="0"/>
                <w:numId w:val="6"/>
              </w:numPr>
              <w:ind w:left="455"/>
              <w:rPr>
                <w:rFonts w:cs="Arial"/>
                <w:kern w:val="2"/>
                <w:szCs w:val="24"/>
                <w14:ligatures w14:val="standardContextual"/>
              </w:rPr>
            </w:pPr>
            <w:r w:rsidRPr="00D67C20">
              <w:rPr>
                <w:rFonts w:cs="Arial"/>
                <w:kern w:val="2"/>
                <w:szCs w:val="24"/>
                <w14:ligatures w14:val="standardContextual"/>
              </w:rPr>
              <w:t>Borough Reading Project</w:t>
            </w:r>
          </w:p>
        </w:tc>
        <w:tc>
          <w:tcPr>
            <w:tcW w:w="1814" w:type="dxa"/>
            <w:vAlign w:val="center"/>
          </w:tcPr>
          <w:p w14:paraId="1888B52D" w14:textId="77777777" w:rsidR="00D67C20" w:rsidRPr="00D67C20" w:rsidRDefault="00D67C20" w:rsidP="006B62B0">
            <w:pPr>
              <w:numPr>
                <w:ilvl w:val="0"/>
                <w:numId w:val="7"/>
              </w:numPr>
              <w:ind w:left="432"/>
              <w:rPr>
                <w:rFonts w:cs="Arial"/>
                <w:kern w:val="2"/>
                <w:szCs w:val="24"/>
                <w14:ligatures w14:val="standardContextual"/>
              </w:rPr>
            </w:pPr>
            <w:r w:rsidRPr="00D67C20">
              <w:rPr>
                <w:rFonts w:cs="Arial"/>
                <w:kern w:val="2"/>
                <w:szCs w:val="24"/>
                <w14:ligatures w14:val="standardContextual"/>
              </w:rPr>
              <w:t>Public Estate and Lands Group</w:t>
            </w:r>
          </w:p>
          <w:p w14:paraId="4F9B31C6" w14:textId="77777777" w:rsidR="00D67C20" w:rsidRPr="00D67C20" w:rsidRDefault="00D67C20" w:rsidP="00D67C20">
            <w:pPr>
              <w:ind w:left="432"/>
              <w:rPr>
                <w:rFonts w:eastAsia="Times New Roman" w:cs="Arial"/>
                <w:kern w:val="2"/>
                <w:szCs w:val="24"/>
                <w14:ligatures w14:val="standardContextual"/>
              </w:rPr>
            </w:pPr>
          </w:p>
        </w:tc>
      </w:tr>
      <w:tr w:rsidR="00D67C20" w:rsidRPr="00D67C20" w14:paraId="3DA6AEE2" w14:textId="77777777" w:rsidTr="00D67C20">
        <w:tc>
          <w:tcPr>
            <w:tcW w:w="9464" w:type="dxa"/>
            <w:gridSpan w:val="3"/>
            <w:shd w:val="clear" w:color="auto" w:fill="000000"/>
            <w:vAlign w:val="center"/>
          </w:tcPr>
          <w:p w14:paraId="6DC87112"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i/>
                <w:iCs/>
                <w:kern w:val="2"/>
                <w:szCs w:val="24"/>
                <w14:ligatures w14:val="standardContextual"/>
              </w:rPr>
              <w:t>Outcome 2 Outcome, Priority and Workstreams</w:t>
            </w:r>
          </w:p>
        </w:tc>
      </w:tr>
      <w:tr w:rsidR="00D67C20" w:rsidRPr="00D67C20" w14:paraId="384FC079" w14:textId="77777777" w:rsidTr="00D67C20">
        <w:tc>
          <w:tcPr>
            <w:tcW w:w="3397" w:type="dxa"/>
            <w:vMerge w:val="restart"/>
            <w:vAlign w:val="center"/>
          </w:tcPr>
          <w:p w14:paraId="3E8FEAF2" w14:textId="77777777" w:rsidR="00D67C20" w:rsidRPr="00D67C20" w:rsidRDefault="00D67C20" w:rsidP="00D67C20">
            <w:pPr>
              <w:rPr>
                <w:rFonts w:eastAsia="Times New Roman" w:cs="Arial"/>
                <w:i/>
                <w:iCs/>
                <w:kern w:val="2"/>
                <w:szCs w:val="24"/>
                <w14:ligatures w14:val="standardContextual"/>
              </w:rPr>
            </w:pPr>
            <w:r w:rsidRPr="00D67C20">
              <w:rPr>
                <w:rFonts w:eastAsia="Times New Roman" w:cs="Arial"/>
                <w:b/>
                <w:bCs/>
                <w:kern w:val="2"/>
                <w:szCs w:val="24"/>
                <w14:ligatures w14:val="standardContextual"/>
              </w:rPr>
              <w:t>All people in Ards and North Down benefit from being equipped to enjoy good health and wellbeing</w:t>
            </w:r>
          </w:p>
        </w:tc>
        <w:tc>
          <w:tcPr>
            <w:tcW w:w="6067" w:type="dxa"/>
            <w:gridSpan w:val="2"/>
            <w:shd w:val="clear" w:color="auto" w:fill="F2F2F2"/>
            <w:vAlign w:val="center"/>
          </w:tcPr>
          <w:p w14:paraId="32350D66" w14:textId="77777777" w:rsidR="00D67C20" w:rsidRPr="00D67C20" w:rsidRDefault="00D67C20" w:rsidP="006B62B0">
            <w:pPr>
              <w:numPr>
                <w:ilvl w:val="0"/>
                <w:numId w:val="1"/>
              </w:numPr>
              <w:ind w:left="455"/>
              <w:rPr>
                <w:rFonts w:cs="Arial"/>
                <w:i/>
                <w:iCs/>
                <w:kern w:val="2"/>
                <w:szCs w:val="24"/>
                <w14:ligatures w14:val="standardContextual"/>
              </w:rPr>
            </w:pPr>
            <w:r w:rsidRPr="00D67C20">
              <w:rPr>
                <w:rFonts w:cs="Arial"/>
                <w:i/>
                <w:iCs/>
                <w:kern w:val="2"/>
                <w:szCs w:val="24"/>
                <w14:ligatures w14:val="standardContextual"/>
              </w:rPr>
              <w:t>Determinants of Health</w:t>
            </w:r>
          </w:p>
        </w:tc>
      </w:tr>
      <w:tr w:rsidR="00D67C20" w:rsidRPr="00D67C20" w14:paraId="282C0E9B" w14:textId="77777777" w:rsidTr="00C355D1">
        <w:tc>
          <w:tcPr>
            <w:tcW w:w="3397" w:type="dxa"/>
            <w:vMerge/>
            <w:vAlign w:val="center"/>
          </w:tcPr>
          <w:p w14:paraId="6697A132" w14:textId="77777777" w:rsidR="00D67C20" w:rsidRPr="00D67C20" w:rsidRDefault="00D67C20" w:rsidP="00D67C20">
            <w:pPr>
              <w:rPr>
                <w:rFonts w:eastAsia="Times New Roman" w:cs="Arial"/>
                <w:kern w:val="2"/>
                <w:szCs w:val="24"/>
                <w14:ligatures w14:val="standardContextual"/>
              </w:rPr>
            </w:pPr>
          </w:p>
        </w:tc>
        <w:tc>
          <w:tcPr>
            <w:tcW w:w="6067" w:type="dxa"/>
            <w:gridSpan w:val="2"/>
            <w:vAlign w:val="center"/>
          </w:tcPr>
          <w:p w14:paraId="620FE0B1" w14:textId="77777777" w:rsidR="00D67C20" w:rsidRPr="00D67C20" w:rsidRDefault="00D67C20" w:rsidP="006B62B0">
            <w:pPr>
              <w:numPr>
                <w:ilvl w:val="0"/>
                <w:numId w:val="5"/>
              </w:numPr>
              <w:ind w:left="455"/>
              <w:rPr>
                <w:rFonts w:cs="Arial"/>
                <w:i/>
                <w:iCs/>
                <w:kern w:val="2"/>
                <w:szCs w:val="24"/>
                <w14:ligatures w14:val="standardContextual"/>
              </w:rPr>
            </w:pPr>
            <w:r w:rsidRPr="00D67C20">
              <w:rPr>
                <w:rFonts w:cs="Arial"/>
                <w:kern w:val="2"/>
                <w:szCs w:val="24"/>
                <w14:ligatures w14:val="standardContextual"/>
              </w:rPr>
              <w:t xml:space="preserve">Health and Wellbeing Group </w:t>
            </w:r>
            <w:r w:rsidRPr="00D67C20">
              <w:rPr>
                <w:rFonts w:cs="Arial"/>
                <w:i/>
                <w:iCs/>
                <w:kern w:val="2"/>
                <w:szCs w:val="24"/>
                <w14:ligatures w14:val="standardContextual"/>
              </w:rPr>
              <w:t>(incorporates emotional wellbeing, social isolation and loneliness)</w:t>
            </w:r>
          </w:p>
          <w:p w14:paraId="162BC4DD" w14:textId="77777777" w:rsidR="00D67C20" w:rsidRPr="00D67C20" w:rsidRDefault="00D67C20" w:rsidP="006B62B0">
            <w:pPr>
              <w:numPr>
                <w:ilvl w:val="0"/>
                <w:numId w:val="5"/>
              </w:numPr>
              <w:ind w:left="455"/>
              <w:rPr>
                <w:rFonts w:cs="Arial"/>
                <w:kern w:val="2"/>
                <w:szCs w:val="24"/>
                <w14:ligatures w14:val="standardContextual"/>
              </w:rPr>
            </w:pPr>
            <w:r w:rsidRPr="00D67C20">
              <w:rPr>
                <w:rFonts w:cs="Arial"/>
                <w:kern w:val="2"/>
                <w:szCs w:val="24"/>
                <w14:ligatures w14:val="standardContextual"/>
              </w:rPr>
              <w:t>Whole Systems Approach to Healthier Weight</w:t>
            </w:r>
          </w:p>
        </w:tc>
      </w:tr>
      <w:tr w:rsidR="00D67C20" w:rsidRPr="00D67C20" w14:paraId="5097D914" w14:textId="77777777" w:rsidTr="00D67C20">
        <w:tc>
          <w:tcPr>
            <w:tcW w:w="9464" w:type="dxa"/>
            <w:gridSpan w:val="3"/>
            <w:shd w:val="clear" w:color="auto" w:fill="000000"/>
            <w:vAlign w:val="center"/>
          </w:tcPr>
          <w:p w14:paraId="3D390C40"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i/>
                <w:iCs/>
                <w:kern w:val="2"/>
                <w:szCs w:val="24"/>
                <w14:ligatures w14:val="standardContextual"/>
              </w:rPr>
              <w:t>Outcome 3 Outcome, Priority and Workstreams</w:t>
            </w:r>
          </w:p>
        </w:tc>
      </w:tr>
      <w:tr w:rsidR="00D67C20" w:rsidRPr="00D67C20" w14:paraId="2F055591" w14:textId="77777777" w:rsidTr="00D67C20">
        <w:tc>
          <w:tcPr>
            <w:tcW w:w="3397" w:type="dxa"/>
            <w:vMerge w:val="restart"/>
            <w:vAlign w:val="center"/>
          </w:tcPr>
          <w:p w14:paraId="6C6FA855" w14:textId="77777777" w:rsidR="00D67C20" w:rsidRPr="00D67C20" w:rsidRDefault="00D67C20" w:rsidP="00D67C20">
            <w:pPr>
              <w:rPr>
                <w:rFonts w:eastAsia="Times New Roman" w:cs="Arial"/>
                <w:i/>
                <w:iCs/>
                <w:kern w:val="2"/>
                <w:szCs w:val="24"/>
                <w14:ligatures w14:val="standardContextual"/>
              </w:rPr>
            </w:pPr>
            <w:r w:rsidRPr="00D67C20">
              <w:rPr>
                <w:rFonts w:eastAsia="Times New Roman" w:cs="Arial"/>
                <w:b/>
                <w:bCs/>
                <w:kern w:val="2"/>
                <w:szCs w:val="24"/>
                <w14:ligatures w14:val="standardContextual"/>
              </w:rPr>
              <w:t>All people in Ards and North Down benefit from communities where they are respected, are safe and feel secure</w:t>
            </w:r>
          </w:p>
        </w:tc>
        <w:tc>
          <w:tcPr>
            <w:tcW w:w="6067" w:type="dxa"/>
            <w:gridSpan w:val="2"/>
            <w:shd w:val="clear" w:color="auto" w:fill="F2F2F2"/>
            <w:vAlign w:val="center"/>
          </w:tcPr>
          <w:p w14:paraId="1299BD71" w14:textId="77777777" w:rsidR="00D67C20" w:rsidRPr="00D67C20" w:rsidRDefault="00D67C20" w:rsidP="006B62B0">
            <w:pPr>
              <w:numPr>
                <w:ilvl w:val="0"/>
                <w:numId w:val="1"/>
              </w:numPr>
              <w:ind w:left="455"/>
              <w:rPr>
                <w:rFonts w:cs="Arial"/>
                <w:i/>
                <w:iCs/>
                <w:kern w:val="2"/>
                <w:szCs w:val="24"/>
                <w14:ligatures w14:val="standardContextual"/>
              </w:rPr>
            </w:pPr>
            <w:r w:rsidRPr="00D67C20">
              <w:rPr>
                <w:rFonts w:cs="Arial"/>
                <w:i/>
                <w:iCs/>
                <w:kern w:val="2"/>
                <w:szCs w:val="24"/>
                <w14:ligatures w14:val="standardContextual"/>
              </w:rPr>
              <w:t>Welcoming Spaces</w:t>
            </w:r>
          </w:p>
        </w:tc>
      </w:tr>
      <w:tr w:rsidR="00D67C20" w:rsidRPr="00D67C20" w14:paraId="39497457" w14:textId="77777777" w:rsidTr="00C355D1">
        <w:tc>
          <w:tcPr>
            <w:tcW w:w="3397" w:type="dxa"/>
            <w:vMerge/>
            <w:vAlign w:val="center"/>
          </w:tcPr>
          <w:p w14:paraId="7AB07A62" w14:textId="77777777" w:rsidR="00D67C20" w:rsidRPr="00D67C20" w:rsidRDefault="00D67C20" w:rsidP="00D67C20">
            <w:pPr>
              <w:rPr>
                <w:rFonts w:eastAsia="Times New Roman" w:cs="Arial"/>
                <w:kern w:val="2"/>
                <w:szCs w:val="24"/>
                <w14:ligatures w14:val="standardContextual"/>
              </w:rPr>
            </w:pPr>
          </w:p>
        </w:tc>
        <w:tc>
          <w:tcPr>
            <w:tcW w:w="6067" w:type="dxa"/>
            <w:gridSpan w:val="2"/>
            <w:vAlign w:val="center"/>
          </w:tcPr>
          <w:p w14:paraId="5F53F238" w14:textId="77777777" w:rsidR="00D67C20" w:rsidRPr="00D67C20" w:rsidRDefault="00D67C20" w:rsidP="006B62B0">
            <w:pPr>
              <w:numPr>
                <w:ilvl w:val="0"/>
                <w:numId w:val="4"/>
              </w:numPr>
              <w:ind w:left="455"/>
              <w:rPr>
                <w:rFonts w:cs="Arial"/>
                <w:kern w:val="2"/>
                <w:szCs w:val="24"/>
                <w14:ligatures w14:val="standardContextual"/>
              </w:rPr>
            </w:pPr>
            <w:r w:rsidRPr="00D67C20">
              <w:rPr>
                <w:rFonts w:cs="Arial"/>
                <w:kern w:val="2"/>
                <w:szCs w:val="24"/>
                <w14:ligatures w14:val="standardContextual"/>
              </w:rPr>
              <w:t>Age Friendly</w:t>
            </w:r>
          </w:p>
          <w:p w14:paraId="3280287C" w14:textId="77777777" w:rsidR="00D67C20" w:rsidRPr="00D67C20" w:rsidRDefault="00D67C20" w:rsidP="006B62B0">
            <w:pPr>
              <w:numPr>
                <w:ilvl w:val="0"/>
                <w:numId w:val="4"/>
              </w:numPr>
              <w:ind w:left="455"/>
              <w:rPr>
                <w:rFonts w:cs="Arial"/>
                <w:kern w:val="2"/>
                <w:szCs w:val="24"/>
                <w14:ligatures w14:val="standardContextual"/>
              </w:rPr>
            </w:pPr>
            <w:r w:rsidRPr="00D67C20">
              <w:rPr>
                <w:rFonts w:cs="Arial"/>
                <w:kern w:val="2"/>
                <w:szCs w:val="24"/>
                <w14:ligatures w14:val="standardContextual"/>
              </w:rPr>
              <w:t>Dementia Friendly</w:t>
            </w:r>
          </w:p>
          <w:p w14:paraId="799DE43A" w14:textId="77777777" w:rsidR="00D67C20" w:rsidRPr="00D67C20" w:rsidRDefault="00D67C20" w:rsidP="006B62B0">
            <w:pPr>
              <w:numPr>
                <w:ilvl w:val="0"/>
                <w:numId w:val="4"/>
              </w:numPr>
              <w:ind w:left="455"/>
              <w:rPr>
                <w:rFonts w:cs="Arial"/>
                <w:kern w:val="2"/>
                <w:szCs w:val="24"/>
                <w14:ligatures w14:val="standardContextual"/>
              </w:rPr>
            </w:pPr>
            <w:r w:rsidRPr="00D67C20">
              <w:rPr>
                <w:rFonts w:cs="Arial"/>
                <w:kern w:val="2"/>
                <w:szCs w:val="24"/>
                <w14:ligatures w14:val="standardContextual"/>
              </w:rPr>
              <w:t>Multi-agency Support Hub</w:t>
            </w:r>
          </w:p>
        </w:tc>
      </w:tr>
      <w:tr w:rsidR="00D67C20" w:rsidRPr="00D67C20" w14:paraId="0B06436B" w14:textId="77777777" w:rsidTr="00D67C20">
        <w:tc>
          <w:tcPr>
            <w:tcW w:w="9464" w:type="dxa"/>
            <w:gridSpan w:val="3"/>
            <w:shd w:val="clear" w:color="auto" w:fill="000000"/>
            <w:vAlign w:val="center"/>
          </w:tcPr>
          <w:p w14:paraId="5200FD67"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i/>
                <w:iCs/>
                <w:kern w:val="2"/>
                <w:szCs w:val="24"/>
                <w14:ligatures w14:val="standardContextual"/>
              </w:rPr>
              <w:t>Outcome 4 Outcome, Priority and Workstreams</w:t>
            </w:r>
          </w:p>
        </w:tc>
      </w:tr>
      <w:tr w:rsidR="00D67C20" w:rsidRPr="00D67C20" w14:paraId="5C398552" w14:textId="77777777" w:rsidTr="00D67C20">
        <w:tc>
          <w:tcPr>
            <w:tcW w:w="3397" w:type="dxa"/>
            <w:vMerge w:val="restart"/>
            <w:vAlign w:val="center"/>
          </w:tcPr>
          <w:p w14:paraId="0A552209" w14:textId="77777777" w:rsidR="00D67C20" w:rsidRPr="00D67C20" w:rsidRDefault="00D67C20" w:rsidP="00D67C20">
            <w:pPr>
              <w:rPr>
                <w:rFonts w:eastAsia="Times New Roman" w:cs="Arial"/>
                <w:i/>
                <w:iCs/>
                <w:kern w:val="2"/>
                <w:szCs w:val="24"/>
                <w14:ligatures w14:val="standardContextual"/>
              </w:rPr>
            </w:pPr>
            <w:r w:rsidRPr="00D67C20">
              <w:rPr>
                <w:rFonts w:eastAsia="Times New Roman" w:cs="Arial"/>
                <w:b/>
                <w:bCs/>
                <w:kern w:val="2"/>
                <w:szCs w:val="24"/>
                <w14:ligatures w14:val="standardContextual"/>
              </w:rPr>
              <w:t>All people in Ards and North Down benefit from a prosperous and inclusive economy</w:t>
            </w:r>
          </w:p>
        </w:tc>
        <w:tc>
          <w:tcPr>
            <w:tcW w:w="6067" w:type="dxa"/>
            <w:gridSpan w:val="2"/>
            <w:shd w:val="clear" w:color="auto" w:fill="F2F2F2"/>
            <w:vAlign w:val="center"/>
          </w:tcPr>
          <w:p w14:paraId="7F0775A7" w14:textId="77777777" w:rsidR="00D67C20" w:rsidRPr="00D67C20" w:rsidRDefault="00D67C20" w:rsidP="006B62B0">
            <w:pPr>
              <w:numPr>
                <w:ilvl w:val="0"/>
                <w:numId w:val="1"/>
              </w:numPr>
              <w:ind w:left="455"/>
              <w:rPr>
                <w:rFonts w:cs="Arial"/>
                <w:i/>
                <w:iCs/>
                <w:kern w:val="2"/>
                <w:szCs w:val="24"/>
                <w14:ligatures w14:val="standardContextual"/>
              </w:rPr>
            </w:pPr>
            <w:r w:rsidRPr="00D67C20">
              <w:rPr>
                <w:rFonts w:cs="Arial"/>
                <w:i/>
                <w:iCs/>
                <w:kern w:val="2"/>
                <w:szCs w:val="24"/>
                <w14:ligatures w14:val="standardContextual"/>
              </w:rPr>
              <w:t>Employment, Employability and Economic Inequality</w:t>
            </w:r>
          </w:p>
        </w:tc>
      </w:tr>
      <w:tr w:rsidR="00D67C20" w:rsidRPr="00D67C20" w14:paraId="0646AA6B" w14:textId="77777777" w:rsidTr="00C355D1">
        <w:tc>
          <w:tcPr>
            <w:tcW w:w="3397" w:type="dxa"/>
            <w:vMerge/>
            <w:vAlign w:val="center"/>
          </w:tcPr>
          <w:p w14:paraId="25BC8C28" w14:textId="77777777" w:rsidR="00D67C20" w:rsidRPr="00D67C20" w:rsidRDefault="00D67C20" w:rsidP="00D67C20">
            <w:pPr>
              <w:rPr>
                <w:rFonts w:eastAsia="Times New Roman" w:cs="Arial"/>
                <w:kern w:val="2"/>
                <w:szCs w:val="24"/>
                <w14:ligatures w14:val="standardContextual"/>
              </w:rPr>
            </w:pPr>
          </w:p>
        </w:tc>
        <w:tc>
          <w:tcPr>
            <w:tcW w:w="6067" w:type="dxa"/>
            <w:gridSpan w:val="2"/>
            <w:vAlign w:val="center"/>
          </w:tcPr>
          <w:p w14:paraId="4D59AD8D" w14:textId="77777777" w:rsidR="00D67C20" w:rsidRPr="00D67C20" w:rsidRDefault="00D67C20" w:rsidP="006B62B0">
            <w:pPr>
              <w:numPr>
                <w:ilvl w:val="0"/>
                <w:numId w:val="3"/>
              </w:numPr>
              <w:ind w:left="456"/>
              <w:rPr>
                <w:rFonts w:cs="Arial"/>
                <w:kern w:val="2"/>
                <w:szCs w:val="24"/>
                <w14:ligatures w14:val="standardContextual"/>
              </w:rPr>
            </w:pPr>
            <w:r w:rsidRPr="00D67C20">
              <w:rPr>
                <w:rFonts w:cs="Arial"/>
                <w:kern w:val="2"/>
                <w:szCs w:val="24"/>
                <w14:ligatures w14:val="standardContextual"/>
              </w:rPr>
              <w:t>Labour Market Partnership</w:t>
            </w:r>
          </w:p>
          <w:p w14:paraId="0463DDF5" w14:textId="77777777" w:rsidR="00D67C20" w:rsidRPr="00D67C20" w:rsidRDefault="00D67C20" w:rsidP="006B62B0">
            <w:pPr>
              <w:numPr>
                <w:ilvl w:val="0"/>
                <w:numId w:val="3"/>
              </w:numPr>
              <w:ind w:left="456"/>
              <w:rPr>
                <w:rFonts w:cs="Arial"/>
                <w:kern w:val="2"/>
                <w:szCs w:val="24"/>
                <w14:ligatures w14:val="standardContextual"/>
              </w:rPr>
            </w:pPr>
            <w:r w:rsidRPr="00D67C20">
              <w:rPr>
                <w:rFonts w:cs="Arial"/>
                <w:kern w:val="2"/>
                <w:szCs w:val="24"/>
                <w14:ligatures w14:val="standardContextual"/>
              </w:rPr>
              <w:t>Anti-poverty (via social supermarket, AND Poverty Forum and strategic subgroup of SCPP)</w:t>
            </w:r>
          </w:p>
        </w:tc>
      </w:tr>
      <w:tr w:rsidR="00D67C20" w:rsidRPr="00D67C20" w14:paraId="26563AAE" w14:textId="77777777" w:rsidTr="00D67C20">
        <w:tc>
          <w:tcPr>
            <w:tcW w:w="9464" w:type="dxa"/>
            <w:gridSpan w:val="3"/>
            <w:shd w:val="clear" w:color="auto" w:fill="000000"/>
            <w:vAlign w:val="center"/>
          </w:tcPr>
          <w:p w14:paraId="60047701" w14:textId="77777777" w:rsidR="00D67C20" w:rsidRPr="00D67C20" w:rsidRDefault="00D67C20" w:rsidP="00D67C20">
            <w:pPr>
              <w:rPr>
                <w:rFonts w:eastAsia="Times New Roman" w:cs="Arial"/>
                <w:b/>
                <w:bCs/>
                <w:kern w:val="2"/>
                <w:szCs w:val="24"/>
                <w14:ligatures w14:val="standardContextual"/>
              </w:rPr>
            </w:pPr>
            <w:r w:rsidRPr="00D67C20">
              <w:rPr>
                <w:rFonts w:eastAsia="Times New Roman" w:cs="Arial"/>
                <w:b/>
                <w:bCs/>
                <w:i/>
                <w:iCs/>
                <w:kern w:val="2"/>
                <w:szCs w:val="24"/>
                <w14:ligatures w14:val="standardContextual"/>
              </w:rPr>
              <w:t>Outcome 5 Outcome, Priority and Workstreams</w:t>
            </w:r>
          </w:p>
        </w:tc>
      </w:tr>
      <w:tr w:rsidR="00D67C20" w:rsidRPr="00D67C20" w14:paraId="18E2D233" w14:textId="77777777" w:rsidTr="00D67C20">
        <w:tc>
          <w:tcPr>
            <w:tcW w:w="3397" w:type="dxa"/>
            <w:vMerge w:val="restart"/>
            <w:vAlign w:val="center"/>
          </w:tcPr>
          <w:p w14:paraId="5515EC77" w14:textId="77777777" w:rsidR="00D67C20" w:rsidRPr="00D67C20" w:rsidRDefault="00D67C20" w:rsidP="00D67C20">
            <w:pPr>
              <w:rPr>
                <w:rFonts w:eastAsia="Times New Roman" w:cs="Arial"/>
                <w:i/>
                <w:iCs/>
                <w:kern w:val="2"/>
                <w:szCs w:val="24"/>
                <w14:ligatures w14:val="standardContextual"/>
              </w:rPr>
            </w:pPr>
            <w:r w:rsidRPr="00D67C20">
              <w:rPr>
                <w:rFonts w:eastAsia="Times New Roman" w:cs="Arial"/>
                <w:b/>
                <w:bCs/>
                <w:kern w:val="2"/>
                <w:szCs w:val="24"/>
                <w14:ligatures w14:val="standardContextual"/>
              </w:rPr>
              <w:t>All people in Ards and North Down benefit from an environment that is valued, well-managed and accessible</w:t>
            </w:r>
          </w:p>
        </w:tc>
        <w:tc>
          <w:tcPr>
            <w:tcW w:w="6067" w:type="dxa"/>
            <w:gridSpan w:val="2"/>
            <w:shd w:val="clear" w:color="auto" w:fill="F2F2F2"/>
            <w:vAlign w:val="center"/>
          </w:tcPr>
          <w:p w14:paraId="451D8778" w14:textId="77777777" w:rsidR="00D67C20" w:rsidRPr="00D67C20" w:rsidRDefault="00D67C20" w:rsidP="006B62B0">
            <w:pPr>
              <w:numPr>
                <w:ilvl w:val="0"/>
                <w:numId w:val="1"/>
              </w:numPr>
              <w:ind w:left="459"/>
              <w:rPr>
                <w:rFonts w:cs="Arial"/>
                <w:i/>
                <w:iCs/>
                <w:kern w:val="2"/>
                <w:szCs w:val="24"/>
                <w14:ligatures w14:val="standardContextual"/>
              </w:rPr>
            </w:pPr>
            <w:r w:rsidRPr="00D67C20">
              <w:rPr>
                <w:rFonts w:cs="Arial"/>
                <w:i/>
                <w:iCs/>
                <w:kern w:val="2"/>
                <w:szCs w:val="24"/>
                <w14:ligatures w14:val="standardContextual"/>
              </w:rPr>
              <w:t>Environmentally Sustainable Communities</w:t>
            </w:r>
          </w:p>
        </w:tc>
      </w:tr>
      <w:tr w:rsidR="00D67C20" w:rsidRPr="00D67C20" w14:paraId="7BDA5A35" w14:textId="77777777" w:rsidTr="00C355D1">
        <w:tc>
          <w:tcPr>
            <w:tcW w:w="3397" w:type="dxa"/>
            <w:vMerge/>
            <w:vAlign w:val="center"/>
          </w:tcPr>
          <w:p w14:paraId="50A6AC91" w14:textId="77777777" w:rsidR="00D67C20" w:rsidRPr="00D67C20" w:rsidRDefault="00D67C20" w:rsidP="00D67C20">
            <w:pPr>
              <w:rPr>
                <w:rFonts w:eastAsia="Times New Roman" w:cs="Arial"/>
                <w:kern w:val="2"/>
                <w:szCs w:val="24"/>
                <w14:ligatures w14:val="standardContextual"/>
              </w:rPr>
            </w:pPr>
          </w:p>
        </w:tc>
        <w:tc>
          <w:tcPr>
            <w:tcW w:w="6067" w:type="dxa"/>
            <w:gridSpan w:val="2"/>
            <w:vAlign w:val="center"/>
          </w:tcPr>
          <w:p w14:paraId="25371FCD" w14:textId="77777777" w:rsidR="00D67C20" w:rsidRPr="00D67C20" w:rsidRDefault="00D67C20" w:rsidP="006B62B0">
            <w:pPr>
              <w:numPr>
                <w:ilvl w:val="0"/>
                <w:numId w:val="2"/>
              </w:numPr>
              <w:ind w:left="456"/>
              <w:rPr>
                <w:rFonts w:cs="Arial"/>
                <w:kern w:val="2"/>
                <w:szCs w:val="24"/>
                <w14:ligatures w14:val="standardContextual"/>
              </w:rPr>
            </w:pPr>
            <w:r w:rsidRPr="00D67C20">
              <w:rPr>
                <w:rFonts w:cs="Arial"/>
                <w:kern w:val="2"/>
                <w:szCs w:val="24"/>
                <w14:ligatures w14:val="standardContextual"/>
              </w:rPr>
              <w:t>Sustainable Tourism</w:t>
            </w:r>
          </w:p>
          <w:p w14:paraId="4ECBCF3E" w14:textId="77777777" w:rsidR="00D67C20" w:rsidRPr="00D67C20" w:rsidRDefault="00D67C20" w:rsidP="006B62B0">
            <w:pPr>
              <w:numPr>
                <w:ilvl w:val="0"/>
                <w:numId w:val="2"/>
              </w:numPr>
              <w:ind w:left="456"/>
              <w:rPr>
                <w:rFonts w:cs="Arial"/>
                <w:kern w:val="2"/>
                <w:szCs w:val="24"/>
                <w14:ligatures w14:val="standardContextual"/>
              </w:rPr>
            </w:pPr>
            <w:r w:rsidRPr="00D67C20">
              <w:rPr>
                <w:rFonts w:cs="Arial"/>
                <w:kern w:val="2"/>
                <w:szCs w:val="24"/>
                <w14:ligatures w14:val="standardContextual"/>
              </w:rPr>
              <w:t>Climate Resilient Communities (inc. Sustainable Food)</w:t>
            </w:r>
          </w:p>
        </w:tc>
      </w:tr>
    </w:tbl>
    <w:p w14:paraId="02C3978C" w14:textId="77777777" w:rsidR="00D67C20" w:rsidRPr="00D67C20" w:rsidRDefault="00D67C20" w:rsidP="00D67C20">
      <w:pPr>
        <w:rPr>
          <w:rFonts w:eastAsia="Times New Roman" w:cs="Arial"/>
          <w:sz w:val="22"/>
        </w:rPr>
      </w:pPr>
      <w:r w:rsidRPr="00D67C20">
        <w:rPr>
          <w:rFonts w:eastAsia="Times New Roman" w:cs="Arial"/>
          <w:sz w:val="22"/>
        </w:rPr>
        <w:t>*Citizen Engagement was not a specific workstream but a combination of initiatives that help increase the public’s influence on issues to be addressed and how public services were delivered.</w:t>
      </w:r>
    </w:p>
    <w:p w14:paraId="249985BE" w14:textId="77777777" w:rsidR="00D67C20" w:rsidRPr="00D67C20" w:rsidRDefault="00D67C20" w:rsidP="00D67C20">
      <w:pPr>
        <w:rPr>
          <w:rFonts w:eastAsia="Times New Roman" w:cs="Arial"/>
          <w:b/>
          <w:bCs/>
          <w:szCs w:val="24"/>
        </w:rPr>
      </w:pPr>
    </w:p>
    <w:p w14:paraId="30AC8020" w14:textId="77777777" w:rsidR="00D67C20" w:rsidRPr="00D67C20" w:rsidRDefault="00D67C20" w:rsidP="00D67C20">
      <w:pPr>
        <w:rPr>
          <w:rFonts w:eastAsia="Times New Roman" w:cs="Arial"/>
          <w:szCs w:val="24"/>
        </w:rPr>
      </w:pPr>
      <w:r w:rsidRPr="00D67C20">
        <w:rPr>
          <w:rFonts w:eastAsia="Times New Roman" w:cs="Arial"/>
          <w:szCs w:val="24"/>
        </w:rPr>
        <w:t xml:space="preserve">A more streamlined Big Plan would help better communicate the focus and activities of the Community Planning Partnership and how this resulted in better outcomes for people living in, working in and visiting Ards and North Down. </w:t>
      </w:r>
    </w:p>
    <w:p w14:paraId="64BC1BA6" w14:textId="77777777" w:rsidR="00D67C20" w:rsidRPr="00D67C20" w:rsidRDefault="00D67C20" w:rsidP="00D67C20">
      <w:pPr>
        <w:rPr>
          <w:rFonts w:eastAsia="Times New Roman" w:cs="Arial"/>
          <w:szCs w:val="24"/>
        </w:rPr>
      </w:pPr>
    </w:p>
    <w:p w14:paraId="1F7D88D9" w14:textId="77777777" w:rsidR="00D67C20" w:rsidRPr="00D67C20" w:rsidRDefault="00D67C20" w:rsidP="00D67C20">
      <w:pPr>
        <w:rPr>
          <w:rFonts w:eastAsia="Times New Roman" w:cs="Arial"/>
          <w:szCs w:val="24"/>
        </w:rPr>
      </w:pPr>
      <w:r w:rsidRPr="00D67C20">
        <w:rPr>
          <w:rFonts w:eastAsia="Times New Roman" w:cs="Arial"/>
          <w:szCs w:val="24"/>
        </w:rPr>
        <w:t xml:space="preserve">On 11 November 2024, Ards and North Down’s Strategic Community Planning Partnership agreed the following: </w:t>
      </w:r>
    </w:p>
    <w:p w14:paraId="2DF7A2A2" w14:textId="77777777" w:rsidR="00D67C20" w:rsidRPr="00D67C20" w:rsidRDefault="00D67C20" w:rsidP="006B62B0">
      <w:pPr>
        <w:numPr>
          <w:ilvl w:val="0"/>
          <w:numId w:val="8"/>
        </w:numPr>
        <w:spacing w:after="160" w:line="259" w:lineRule="auto"/>
        <w:contextualSpacing/>
        <w:rPr>
          <w:rFonts w:cs="Arial"/>
          <w:kern w:val="2"/>
          <w:szCs w:val="24"/>
          <w14:ligatures w14:val="standardContextual"/>
        </w:rPr>
      </w:pPr>
      <w:r w:rsidRPr="00D67C20">
        <w:rPr>
          <w:rFonts w:cs="Arial"/>
          <w:kern w:val="2"/>
          <w:szCs w:val="24"/>
          <w14:ligatures w14:val="standardContextual"/>
        </w:rPr>
        <w:t>To adopt the revised wording of the five Big Plan outcomes</w:t>
      </w:r>
    </w:p>
    <w:p w14:paraId="1026E45D" w14:textId="77777777" w:rsidR="00D67C20" w:rsidRPr="00D67C20" w:rsidRDefault="00D67C20" w:rsidP="006B62B0">
      <w:pPr>
        <w:numPr>
          <w:ilvl w:val="0"/>
          <w:numId w:val="8"/>
        </w:numPr>
        <w:spacing w:after="160" w:line="259" w:lineRule="auto"/>
        <w:contextualSpacing/>
        <w:rPr>
          <w:rFonts w:cs="Arial"/>
          <w:kern w:val="2"/>
          <w:szCs w:val="24"/>
          <w14:ligatures w14:val="standardContextual"/>
        </w:rPr>
      </w:pPr>
      <w:r w:rsidRPr="00D67C20">
        <w:rPr>
          <w:rFonts w:cs="Arial"/>
          <w:kern w:val="2"/>
          <w:szCs w:val="24"/>
          <w14:ligatures w14:val="standardContextual"/>
        </w:rPr>
        <w:lastRenderedPageBreak/>
        <w:t>To adopt the amended list of priorities</w:t>
      </w:r>
    </w:p>
    <w:p w14:paraId="3F139083" w14:textId="77777777" w:rsidR="00D67C20" w:rsidRDefault="00D67C20" w:rsidP="006B62B0">
      <w:pPr>
        <w:numPr>
          <w:ilvl w:val="0"/>
          <w:numId w:val="8"/>
        </w:numPr>
        <w:spacing w:after="160" w:line="259" w:lineRule="auto"/>
        <w:contextualSpacing/>
        <w:rPr>
          <w:rFonts w:cs="Arial"/>
          <w:kern w:val="2"/>
          <w:szCs w:val="24"/>
          <w14:ligatures w14:val="standardContextual"/>
        </w:rPr>
      </w:pPr>
      <w:r w:rsidRPr="00D67C20">
        <w:rPr>
          <w:rFonts w:cs="Arial"/>
          <w:kern w:val="2"/>
          <w:szCs w:val="24"/>
          <w14:ligatures w14:val="standardContextual"/>
        </w:rPr>
        <w:t xml:space="preserve">To adopt the content of the document as an updated Community Plan for Ards and North Down (2017-2032) to be known as The Big Plan | Outcomes, Priorities and Workstreams. </w:t>
      </w:r>
    </w:p>
    <w:p w14:paraId="33CB54DF" w14:textId="77777777" w:rsidR="00A30315" w:rsidRPr="00D67C20" w:rsidRDefault="00A30315" w:rsidP="00A30315">
      <w:pPr>
        <w:spacing w:after="160" w:line="259" w:lineRule="auto"/>
        <w:ind w:left="720"/>
        <w:contextualSpacing/>
        <w:rPr>
          <w:rFonts w:cs="Arial"/>
          <w:kern w:val="2"/>
          <w:szCs w:val="24"/>
          <w14:ligatures w14:val="standardContextual"/>
        </w:rPr>
      </w:pPr>
    </w:p>
    <w:p w14:paraId="6C9BCB6D" w14:textId="77777777" w:rsidR="00D67C20" w:rsidRPr="00D67C20" w:rsidRDefault="00D67C20" w:rsidP="00D67C20">
      <w:pPr>
        <w:rPr>
          <w:rFonts w:eastAsia="Times New Roman" w:cs="Arial"/>
          <w:b/>
          <w:bCs/>
          <w:szCs w:val="24"/>
        </w:rPr>
      </w:pPr>
      <w:r w:rsidRPr="00D67C20">
        <w:rPr>
          <w:rFonts w:eastAsia="Times New Roman" w:cs="Arial"/>
          <w:b/>
          <w:bCs/>
          <w:szCs w:val="24"/>
        </w:rPr>
        <w:t>Promotion and Communication about the updated Big Plan</w:t>
      </w:r>
    </w:p>
    <w:p w14:paraId="2FD80CA2" w14:textId="77777777" w:rsidR="00D67C20" w:rsidRPr="00D67C20" w:rsidRDefault="00D67C20" w:rsidP="00D67C20">
      <w:pPr>
        <w:rPr>
          <w:rFonts w:eastAsia="Times New Roman" w:cs="Arial"/>
          <w:szCs w:val="24"/>
        </w:rPr>
      </w:pPr>
      <w:r w:rsidRPr="00D67C20">
        <w:rPr>
          <w:rFonts w:eastAsia="Times New Roman" w:cs="Arial"/>
          <w:szCs w:val="24"/>
        </w:rPr>
        <w:t xml:space="preserve">The original Big Plan (2017-2032) and its addendum Our Big Priorities would be archived and replaced with an updated </w:t>
      </w:r>
      <w:r w:rsidRPr="00D67C20">
        <w:rPr>
          <w:rFonts w:eastAsia="Times New Roman" w:cs="Arial"/>
          <w:b/>
          <w:bCs/>
          <w:i/>
          <w:iCs/>
          <w:szCs w:val="24"/>
        </w:rPr>
        <w:t>The Big Plan | Outcomes, Priorities and Workstreams</w:t>
      </w:r>
      <w:r w:rsidRPr="00D67C20">
        <w:rPr>
          <w:rFonts w:eastAsia="Times New Roman" w:cs="Arial"/>
          <w:szCs w:val="24"/>
        </w:rPr>
        <w:t>. The new version would be officially published in April/May 2025 and would be communicated to stakeholders. A summary version would also be produced.</w:t>
      </w:r>
    </w:p>
    <w:p w14:paraId="0E697C65" w14:textId="77777777" w:rsidR="00D67C20" w:rsidRPr="00D67C20" w:rsidRDefault="00D67C20" w:rsidP="00D67C20">
      <w:pPr>
        <w:rPr>
          <w:rFonts w:eastAsia="Times New Roman" w:cs="Arial"/>
          <w:szCs w:val="24"/>
        </w:rPr>
      </w:pPr>
    </w:p>
    <w:p w14:paraId="7FD5E47D" w14:textId="49205D00" w:rsidR="00D67C20" w:rsidRPr="00D67C20" w:rsidRDefault="00D67C20" w:rsidP="00D67C20">
      <w:pPr>
        <w:rPr>
          <w:rFonts w:eastAsia="Times New Roman" w:cs="Arial"/>
          <w:szCs w:val="24"/>
        </w:rPr>
      </w:pPr>
      <w:r w:rsidRPr="00D67C20">
        <w:rPr>
          <w:rFonts w:eastAsia="Times New Roman" w:cs="Arial"/>
          <w:szCs w:val="24"/>
        </w:rPr>
        <w:t xml:space="preserve">To coincide with the publication and promotion of the new version of the Big Plan, a morning event was being planned for 7 May 2025.  </w:t>
      </w:r>
      <w:r w:rsidRPr="00D67C20">
        <w:rPr>
          <w:rFonts w:eastAsia="Times New Roman" w:cs="Arial"/>
          <w:b/>
          <w:bCs/>
          <w:i/>
          <w:iCs/>
          <w:szCs w:val="24"/>
        </w:rPr>
        <w:t>The</w:t>
      </w:r>
      <w:r w:rsidRPr="00D67C20">
        <w:rPr>
          <w:rFonts w:eastAsia="Times New Roman" w:cs="Arial"/>
          <w:szCs w:val="24"/>
        </w:rPr>
        <w:t xml:space="preserve"> </w:t>
      </w:r>
      <w:r w:rsidRPr="00D67C20">
        <w:rPr>
          <w:rFonts w:eastAsia="Times New Roman" w:cs="Arial"/>
          <w:b/>
          <w:bCs/>
          <w:i/>
          <w:iCs/>
          <w:szCs w:val="24"/>
        </w:rPr>
        <w:t xml:space="preserve">Big Community Planning </w:t>
      </w:r>
      <w:r w:rsidR="000818DB" w:rsidRPr="00D67C20">
        <w:rPr>
          <w:rFonts w:eastAsia="Times New Roman" w:cs="Arial"/>
          <w:b/>
          <w:bCs/>
          <w:i/>
          <w:iCs/>
          <w:szCs w:val="24"/>
        </w:rPr>
        <w:t>10-year</w:t>
      </w:r>
      <w:r w:rsidRPr="00D67C20">
        <w:rPr>
          <w:rFonts w:eastAsia="Times New Roman" w:cs="Arial"/>
          <w:b/>
          <w:bCs/>
          <w:i/>
          <w:iCs/>
          <w:szCs w:val="24"/>
        </w:rPr>
        <w:t xml:space="preserve"> summit</w:t>
      </w:r>
      <w:r w:rsidRPr="00D67C20">
        <w:rPr>
          <w:rFonts w:eastAsia="Times New Roman" w:cs="Arial"/>
          <w:szCs w:val="24"/>
        </w:rPr>
        <w:t xml:space="preserve"> would reflect on 10 years of community planning in Northern Ireland. </w:t>
      </w:r>
    </w:p>
    <w:p w14:paraId="4BAB7949" w14:textId="77777777" w:rsidR="00D67C20" w:rsidRPr="00D67C20" w:rsidRDefault="00D67C20" w:rsidP="00D67C20">
      <w:pPr>
        <w:rPr>
          <w:rFonts w:eastAsia="Times New Roman" w:cs="Arial"/>
          <w:szCs w:val="24"/>
        </w:rPr>
      </w:pPr>
    </w:p>
    <w:p w14:paraId="0C58B253" w14:textId="77777777" w:rsidR="00D67C20" w:rsidRPr="00D67C20" w:rsidRDefault="00D67C20" w:rsidP="00D67C20">
      <w:pPr>
        <w:rPr>
          <w:rFonts w:eastAsia="Times New Roman"/>
          <w:szCs w:val="20"/>
        </w:rPr>
      </w:pPr>
      <w:r w:rsidRPr="00D67C20">
        <w:rPr>
          <w:rFonts w:eastAsia="Times New Roman"/>
          <w:szCs w:val="20"/>
        </w:rPr>
        <w:t xml:space="preserve">The purpose of this event was to communicate about initiatives that had taken place to help deliver the Big Plan outcomes. It would also look forward and start a conversation with stakeholders about the next 10 years. </w:t>
      </w:r>
    </w:p>
    <w:p w14:paraId="41BDD499" w14:textId="77777777" w:rsidR="00D67C20" w:rsidRPr="00D67C20" w:rsidRDefault="00D67C20" w:rsidP="00D67C20">
      <w:pPr>
        <w:rPr>
          <w:rFonts w:eastAsia="Times New Roman"/>
          <w:szCs w:val="20"/>
        </w:rPr>
      </w:pPr>
    </w:p>
    <w:p w14:paraId="2A91BF22" w14:textId="77777777" w:rsidR="00D67C20" w:rsidRPr="00D67C20" w:rsidRDefault="00D67C20" w:rsidP="00D67C20">
      <w:pPr>
        <w:rPr>
          <w:rFonts w:eastAsia="Times New Roman"/>
          <w:noProof/>
          <w:szCs w:val="20"/>
        </w:rPr>
      </w:pPr>
      <w:r w:rsidRPr="00D67C20">
        <w:rPr>
          <w:rFonts w:eastAsia="Times New Roman"/>
          <w:noProof/>
          <w:szCs w:val="20"/>
        </w:rPr>
        <w:t xml:space="preserve">Six new community planning animations have been commissioned. These would highlight some of the initiatives that had been undertaken under the umbrella of community planning. Alongside the new Big Plan publication, the animations would be used throughout 2025 to help communicate the positive impact community planning was having on communities (people, businesses, visitors, partnerships etc.) across Ards and North Down. </w:t>
      </w:r>
    </w:p>
    <w:p w14:paraId="345E551E" w14:textId="77777777" w:rsidR="00D67C20" w:rsidRPr="00D67C20" w:rsidRDefault="00D67C20" w:rsidP="00D67C20">
      <w:pPr>
        <w:rPr>
          <w:rFonts w:eastAsia="Times New Roman"/>
          <w:szCs w:val="20"/>
        </w:rPr>
      </w:pPr>
    </w:p>
    <w:p w14:paraId="00A5C74C" w14:textId="7A9F252C" w:rsidR="00D67C20" w:rsidRDefault="00D67C20" w:rsidP="0056063D">
      <w:pPr>
        <w:rPr>
          <w:rFonts w:eastAsia="Times New Roman"/>
          <w:szCs w:val="20"/>
        </w:rPr>
      </w:pPr>
      <w:r w:rsidRPr="00D67C20">
        <w:rPr>
          <w:rFonts w:eastAsia="Times New Roman"/>
          <w:szCs w:val="20"/>
        </w:rPr>
        <w:t>RECOMMENDED that Council notes this report.</w:t>
      </w:r>
    </w:p>
    <w:p w14:paraId="3923815C" w14:textId="77777777" w:rsidR="00EF49A5" w:rsidRDefault="00EF49A5" w:rsidP="0056063D">
      <w:pPr>
        <w:rPr>
          <w:rFonts w:eastAsia="Times New Roman"/>
          <w:szCs w:val="20"/>
        </w:rPr>
      </w:pPr>
    </w:p>
    <w:p w14:paraId="39D6FEBA" w14:textId="22EB7947" w:rsidR="00EF49A5" w:rsidRDefault="00EF49A5" w:rsidP="0056063D">
      <w:pPr>
        <w:rPr>
          <w:rFonts w:eastAsia="Times New Roman"/>
          <w:szCs w:val="20"/>
        </w:rPr>
      </w:pPr>
      <w:r>
        <w:rPr>
          <w:rFonts w:eastAsia="Times New Roman"/>
          <w:szCs w:val="20"/>
        </w:rPr>
        <w:t>Proposed by Councillor W Irvine, seconded by Alderman Graham, that the recommendation be adopted.</w:t>
      </w:r>
    </w:p>
    <w:p w14:paraId="7858CF32" w14:textId="77777777" w:rsidR="00EF49A5" w:rsidRDefault="00EF49A5" w:rsidP="0056063D">
      <w:pPr>
        <w:rPr>
          <w:rFonts w:eastAsia="Times New Roman"/>
          <w:szCs w:val="20"/>
        </w:rPr>
      </w:pPr>
    </w:p>
    <w:p w14:paraId="04BB1D87" w14:textId="05ADDC95" w:rsidR="00EF49A5" w:rsidRDefault="00EF49A5" w:rsidP="00EF49A5">
      <w:r>
        <w:rPr>
          <w:rFonts w:eastAsia="Times New Roman"/>
          <w:szCs w:val="20"/>
        </w:rPr>
        <w:t xml:space="preserve">Councillor W Irvine </w:t>
      </w:r>
      <w:r>
        <w:t>queried the successes and challenges of the plan to date. He noted that the Labour Market Partnership had been successful and asked the Community Planning Manager for her thoughts.</w:t>
      </w:r>
    </w:p>
    <w:p w14:paraId="12C19DE2" w14:textId="77777777" w:rsidR="00EF49A5" w:rsidRDefault="00EF49A5" w:rsidP="00EF49A5"/>
    <w:p w14:paraId="1B6FE64C" w14:textId="77777777" w:rsidR="006E4041" w:rsidRDefault="00EF49A5" w:rsidP="00EF49A5">
      <w:r>
        <w:t xml:space="preserve">In terms of successes, the officer referred to the outworkings of the Rapid Covid Response work which had resulted in strong partnerships. There had been success around the health and wellbeing initiatives and the officer pointed to the </w:t>
      </w:r>
      <w:r w:rsidR="006E4041">
        <w:t>Here to Help app which had</w:t>
      </w:r>
      <w:r>
        <w:t xml:space="preserve"> worked well. </w:t>
      </w:r>
    </w:p>
    <w:p w14:paraId="48E6C306" w14:textId="77777777" w:rsidR="006E4041" w:rsidRDefault="006E4041" w:rsidP="00EF49A5"/>
    <w:p w14:paraId="076AA54E" w14:textId="059AA09E" w:rsidR="006E4041" w:rsidRDefault="006E4041" w:rsidP="00EF49A5">
      <w:r>
        <w:t xml:space="preserve">The officer explained the process of the </w:t>
      </w:r>
      <w:r w:rsidR="00EF49A5">
        <w:t xml:space="preserve">Big </w:t>
      </w:r>
      <w:r>
        <w:t>Conversation initiative which had enable</w:t>
      </w:r>
      <w:r w:rsidR="0078754C">
        <w:t>d</w:t>
      </w:r>
      <w:r>
        <w:t xml:space="preserve"> Community Planning</w:t>
      </w:r>
      <w:r w:rsidR="00EF49A5">
        <w:t xml:space="preserve"> to gather evidence from residents and help improve some of the mental health service provision in </w:t>
      </w:r>
      <w:r>
        <w:t>Ards and North Down</w:t>
      </w:r>
      <w:r w:rsidR="00EF49A5">
        <w:t xml:space="preserve">. </w:t>
      </w:r>
      <w:r>
        <w:t>It had been an opportunity to gain an understanding of the data in relation to people who lived and worked in Ards and North Down and delve much deeper into the findings</w:t>
      </w:r>
      <w:r w:rsidR="00EF49A5">
        <w:t xml:space="preserve"> rather than accept headline figures</w:t>
      </w:r>
      <w:r>
        <w:t xml:space="preserve">. That approach had provided insight </w:t>
      </w:r>
      <w:r w:rsidR="000818DB">
        <w:t>into</w:t>
      </w:r>
      <w:r>
        <w:t xml:space="preserve"> poverty and hardship within the Borough for example</w:t>
      </w:r>
      <w:r w:rsidR="0078754C">
        <w:t>,</w:t>
      </w:r>
      <w:r>
        <w:t xml:space="preserve"> which was</w:t>
      </w:r>
      <w:r w:rsidR="00A30315">
        <w:t xml:space="preserve"> </w:t>
      </w:r>
      <w:r>
        <w:t>n</w:t>
      </w:r>
      <w:r w:rsidR="00A30315">
        <w:t>o</w:t>
      </w:r>
      <w:r>
        <w:t>t often reported.</w:t>
      </w:r>
    </w:p>
    <w:p w14:paraId="3D85675F" w14:textId="77777777" w:rsidR="006E4041" w:rsidRDefault="006E4041" w:rsidP="00EF49A5"/>
    <w:p w14:paraId="68200A0C" w14:textId="78C24B8E" w:rsidR="006E4041" w:rsidRDefault="006E4041" w:rsidP="00EF49A5">
      <w:r>
        <w:lastRenderedPageBreak/>
        <w:t>In terms of the challenges, the officer</w:t>
      </w:r>
      <w:r w:rsidR="00DA7D50">
        <w:t xml:space="preserve"> felt that much more could be done to improve the coordination of public sector organisations and she</w:t>
      </w:r>
      <w:r>
        <w:t xml:space="preserve"> advised that some of the established working relationships ended when an individual from another organisation moved on, so that could cause a setback.</w:t>
      </w:r>
    </w:p>
    <w:p w14:paraId="4082AE41" w14:textId="77777777" w:rsidR="00DA7D50" w:rsidRDefault="00DA7D50" w:rsidP="00EF49A5"/>
    <w:p w14:paraId="41B376F5" w14:textId="7E48E0EA" w:rsidR="00DA7D50" w:rsidRDefault="00DA7D50" w:rsidP="00EF49A5">
      <w:r>
        <w:t>Alderman McRandal referred to a climate resilient communities workstream covered on page 4 of the report. He asked who would be involved and how community groups would feed into that workstream.</w:t>
      </w:r>
    </w:p>
    <w:p w14:paraId="302DB305" w14:textId="77777777" w:rsidR="00DA7D50" w:rsidRDefault="00DA7D50" w:rsidP="00EF49A5"/>
    <w:p w14:paraId="586D579E" w14:textId="65809B22" w:rsidR="00B0118B" w:rsidRDefault="00DA7D50" w:rsidP="00EF49A5">
      <w:r>
        <w:t xml:space="preserve">The officer explained that the approach towards climate change had evolved since the Big Plan was first completed in 2017 so </w:t>
      </w:r>
      <w:r w:rsidR="00B0118B">
        <w:t>officers had reviewed that particular workstream and</w:t>
      </w:r>
      <w:r>
        <w:t xml:space="preserve"> the initiative looked at how communities could prepare for the effects of climate change such as adverse weather conditions</w:t>
      </w:r>
      <w:r w:rsidR="00B0118B">
        <w:t xml:space="preserve">. The thinking was that if you could make a community resilient against climate change you were also making it resilient against many other factors too. Community </w:t>
      </w:r>
      <w:r w:rsidR="00F26CA9">
        <w:t>Planning</w:t>
      </w:r>
      <w:r w:rsidR="00B0118B">
        <w:t xml:space="preserve"> would seek to work alongside the Council’s Climate Change and Sustainability Manager and Emergency Planning and engage with members of the community’s third sector hub to develop this. She expected it to come forward within the next couple of months once the resources were confirmed to progress it.</w:t>
      </w:r>
    </w:p>
    <w:p w14:paraId="739BCE47" w14:textId="77777777" w:rsidR="00B0118B" w:rsidRDefault="00B0118B" w:rsidP="00EF49A5"/>
    <w:p w14:paraId="769431D3" w14:textId="4F375428" w:rsidR="00B0118B" w:rsidRDefault="00B0118B" w:rsidP="00EF49A5">
      <w:r>
        <w:t xml:space="preserve">Alderman McAlpine </w:t>
      </w:r>
      <w:r w:rsidR="00F26CA9">
        <w:t>referred to</w:t>
      </w:r>
      <w:r>
        <w:t xml:space="preserve"> the level of economic inactivity which she noted was on the high side in Northern Ireland. She raised concern around the barriers</w:t>
      </w:r>
      <w:r w:rsidR="00F26CA9">
        <w:t xml:space="preserve"> </w:t>
      </w:r>
      <w:r>
        <w:t xml:space="preserve">faced by people who did not have a Level 2 </w:t>
      </w:r>
      <w:r w:rsidR="00F26CA9">
        <w:t>qualification</w:t>
      </w:r>
      <w:r>
        <w:t xml:space="preserve"> in English and Maths</w:t>
      </w:r>
      <w:r w:rsidR="00F26CA9">
        <w:t xml:space="preserve"> which prevented them undertaking a Level 4 course. She wondered if there could be a more targeted approach in terms of who Council tried to help in getting basic qualifications in order to increase the level of employability and prosperity for those families concerned.</w:t>
      </w:r>
    </w:p>
    <w:p w14:paraId="75728EEE" w14:textId="77777777" w:rsidR="00F26CA9" w:rsidRDefault="00F26CA9" w:rsidP="00EF49A5"/>
    <w:p w14:paraId="567B58C7" w14:textId="0E531A4E" w:rsidR="00F26CA9" w:rsidRDefault="00F26CA9" w:rsidP="00EF49A5">
      <w:r>
        <w:t>The officer</w:t>
      </w:r>
      <w:r w:rsidRPr="00F26CA9">
        <w:t xml:space="preserve"> </w:t>
      </w:r>
      <w:r>
        <w:t xml:space="preserve">felt </w:t>
      </w:r>
      <w:r w:rsidRPr="00F26CA9">
        <w:t xml:space="preserve">that </w:t>
      </w:r>
      <w:r>
        <w:t xml:space="preserve">the </w:t>
      </w:r>
      <w:r w:rsidRPr="00F26CA9">
        <w:t xml:space="preserve">LMP was </w:t>
      </w:r>
      <w:r>
        <w:t xml:space="preserve">a </w:t>
      </w:r>
      <w:r w:rsidRPr="00F26CA9">
        <w:t>good example of</w:t>
      </w:r>
      <w:r>
        <w:t xml:space="preserve"> a</w:t>
      </w:r>
      <w:r w:rsidRPr="00F26CA9">
        <w:t xml:space="preserve"> targeted approach to get </w:t>
      </w:r>
      <w:r>
        <w:t xml:space="preserve">people </w:t>
      </w:r>
      <w:r w:rsidR="00AD3931">
        <w:t>furthest</w:t>
      </w:r>
      <w:r>
        <w:t xml:space="preserve"> away from the labour market</w:t>
      </w:r>
      <w:r w:rsidRPr="00F26CA9">
        <w:t xml:space="preserve"> in to training. </w:t>
      </w:r>
      <w:r>
        <w:t>She felt that there was no quick and easy solution and she recalled a recent meeting</w:t>
      </w:r>
      <w:r w:rsidR="00AD3931">
        <w:t xml:space="preserve"> of the Strategic Partnership</w:t>
      </w:r>
      <w:r>
        <w:t xml:space="preserve"> to </w:t>
      </w:r>
      <w:r w:rsidR="00AD3931">
        <w:t xml:space="preserve">look at education, skills and employability in terms of identifying gaps and barriers. She felt that it was possibly a case of pushing higher up due to the limitations of the Strategic Partnership in that area, particularly around policies. Colleagues from SERC had felt it important to ensure that people were encouraged to undertake qualifications that were needed for employment and that people were not just recycled around </w:t>
      </w:r>
      <w:r w:rsidR="000818DB">
        <w:t>lower-level</w:t>
      </w:r>
      <w:r w:rsidR="00AD3931">
        <w:t xml:space="preserve"> qualifications. This was being looked at </w:t>
      </w:r>
      <w:r w:rsidR="00B04EA1">
        <w:t>by</w:t>
      </w:r>
      <w:r w:rsidR="00AD3931">
        <w:t xml:space="preserve"> the Strategic Partnership and it was aware of different </w:t>
      </w:r>
      <w:r w:rsidR="000818DB">
        <w:t>programmes</w:t>
      </w:r>
      <w:r w:rsidR="00AD3931">
        <w:t xml:space="preserve"> such as </w:t>
      </w:r>
      <w:r w:rsidR="00B04EA1">
        <w:t>Raise</w:t>
      </w:r>
      <w:r w:rsidR="00AD3931">
        <w:t xml:space="preserve"> and Multiply.</w:t>
      </w:r>
    </w:p>
    <w:p w14:paraId="670CB097" w14:textId="77777777" w:rsidR="00AD3931" w:rsidRDefault="00AD3931" w:rsidP="00EF49A5"/>
    <w:p w14:paraId="5451A636" w14:textId="2907AF16" w:rsidR="00AD3931" w:rsidRDefault="00AD3931" w:rsidP="00EF49A5">
      <w:r>
        <w:t>Alderman McAlpine asked about start-ups and support that could be offered for those but the officer did not have that information to hand and would ask her colleague in Economic Development to provide that information. She agreed that it was important to increase the number of start</w:t>
      </w:r>
      <w:r w:rsidR="00D05A24">
        <w:t>-</w:t>
      </w:r>
      <w:r>
        <w:t>ups in this Borough for many reasons.</w:t>
      </w:r>
    </w:p>
    <w:p w14:paraId="6777E460" w14:textId="77777777" w:rsidR="00AD3931" w:rsidRDefault="00AD3931" w:rsidP="00EF49A5"/>
    <w:p w14:paraId="5DD7F237" w14:textId="5512B174" w:rsidR="00AD3931" w:rsidRDefault="00AD3931" w:rsidP="00EF49A5">
      <w:r>
        <w:t xml:space="preserve">Alderman McAlpine felt that </w:t>
      </w:r>
      <w:r w:rsidR="00D05A24">
        <w:t xml:space="preserve">support for start-ups would be </w:t>
      </w:r>
      <w:r>
        <w:t xml:space="preserve">a good way to bring prosperity to families </w:t>
      </w:r>
      <w:r w:rsidR="00D05A24">
        <w:t>and</w:t>
      </w:r>
      <w:r>
        <w:t xml:space="preserve"> the Borough.</w:t>
      </w:r>
    </w:p>
    <w:p w14:paraId="653DE42A" w14:textId="77777777" w:rsidR="00D05A24" w:rsidRDefault="00D05A24" w:rsidP="00EF49A5"/>
    <w:p w14:paraId="6A38E869" w14:textId="5E944A3D" w:rsidR="0056063D" w:rsidRDefault="0056063D" w:rsidP="0056063D">
      <w:pPr>
        <w:rPr>
          <w:b/>
          <w:bCs/>
        </w:rPr>
      </w:pPr>
      <w:r w:rsidRPr="0041231C">
        <w:rPr>
          <w:b/>
          <w:bCs/>
        </w:rPr>
        <w:t>AGREED TO RECOMMEND, on the proposal of</w:t>
      </w:r>
      <w:r w:rsidR="00D05A24">
        <w:rPr>
          <w:b/>
          <w:bCs/>
        </w:rPr>
        <w:t xml:space="preserve"> Councillor W Irvine</w:t>
      </w:r>
      <w:r w:rsidRPr="0041231C">
        <w:rPr>
          <w:b/>
          <w:bCs/>
        </w:rPr>
        <w:t>, seconded by</w:t>
      </w:r>
      <w:r>
        <w:rPr>
          <w:b/>
          <w:bCs/>
        </w:rPr>
        <w:t xml:space="preserve"> </w:t>
      </w:r>
      <w:r w:rsidR="00D05A24">
        <w:rPr>
          <w:b/>
          <w:bCs/>
        </w:rPr>
        <w:t>Alderman Graham</w:t>
      </w:r>
      <w:r w:rsidRPr="0041231C">
        <w:rPr>
          <w:b/>
          <w:bCs/>
        </w:rPr>
        <w:t xml:space="preserve">, that </w:t>
      </w:r>
      <w:r>
        <w:rPr>
          <w:b/>
          <w:bCs/>
        </w:rPr>
        <w:t>the recommendation be adopted.</w:t>
      </w:r>
    </w:p>
    <w:bookmarkEnd w:id="7"/>
    <w:p w14:paraId="0BA64D52" w14:textId="46620CB5" w:rsidR="0022081F" w:rsidRDefault="0056063D" w:rsidP="0022081F">
      <w:pPr>
        <w:pStyle w:val="Heading1"/>
        <w:rPr>
          <w:rFonts w:ascii="Arial Bold" w:eastAsia="Calibri" w:hAnsi="Arial Bold" w:cs="Arial"/>
          <w:caps/>
          <w:color w:val="auto"/>
          <w:szCs w:val="28"/>
        </w:rPr>
      </w:pPr>
      <w:r>
        <w:rPr>
          <w:rFonts w:cs="Arial"/>
          <w:color w:val="auto"/>
          <w:sz w:val="24"/>
          <w:szCs w:val="24"/>
          <w:u w:val="none"/>
        </w:rPr>
        <w:lastRenderedPageBreak/>
        <w:t>6</w:t>
      </w:r>
      <w:r w:rsidRPr="0056063D">
        <w:rPr>
          <w:rFonts w:cs="Arial"/>
          <w:color w:val="auto"/>
          <w:sz w:val="24"/>
          <w:szCs w:val="24"/>
          <w:u w:val="none"/>
        </w:rPr>
        <w:t>.</w:t>
      </w:r>
      <w:r w:rsidRPr="0056063D">
        <w:rPr>
          <w:u w:val="none"/>
        </w:rPr>
        <w:tab/>
      </w:r>
      <w:r w:rsidR="0022081F" w:rsidRPr="0022081F">
        <w:rPr>
          <w:rFonts w:ascii="Arial Bold" w:eastAsia="Calibri" w:hAnsi="Arial Bold" w:cs="Arial"/>
          <w:caps/>
          <w:color w:val="auto"/>
          <w:szCs w:val="28"/>
        </w:rPr>
        <w:t>Budget Reports:</w:t>
      </w:r>
    </w:p>
    <w:p w14:paraId="5CF46908" w14:textId="77777777" w:rsidR="0054056C" w:rsidRPr="0054056C" w:rsidRDefault="0054056C" w:rsidP="0054056C"/>
    <w:p w14:paraId="31059619" w14:textId="0C0C248D" w:rsidR="0056063D" w:rsidRPr="0022081F" w:rsidRDefault="0022081F" w:rsidP="0022081F">
      <w:pPr>
        <w:pStyle w:val="Heading1"/>
        <w:rPr>
          <w:color w:val="auto"/>
          <w:szCs w:val="24"/>
        </w:rPr>
      </w:pPr>
      <w:r w:rsidRPr="0022081F">
        <w:rPr>
          <w:u w:val="none"/>
        </w:rPr>
        <w:t>A)</w:t>
      </w:r>
      <w:r w:rsidRPr="0022081F">
        <w:rPr>
          <w:u w:val="none"/>
        </w:rPr>
        <w:tab/>
      </w:r>
      <w:r w:rsidRPr="0022081F">
        <w:t>STRATEGIC BUDGET REPORT Q3</w:t>
      </w:r>
    </w:p>
    <w:p w14:paraId="3E5C0F47" w14:textId="585F4D48" w:rsidR="0056063D" w:rsidRDefault="0056063D" w:rsidP="0056063D">
      <w:pPr>
        <w:contextualSpacing/>
        <w:rPr>
          <w:rFonts w:cs="Arial"/>
          <w:szCs w:val="24"/>
        </w:rPr>
      </w:pPr>
      <w:r>
        <w:rPr>
          <w:rFonts w:cs="Arial"/>
          <w:szCs w:val="24"/>
        </w:rPr>
        <w:tab/>
      </w:r>
      <w:r w:rsidR="001A6F94">
        <w:rPr>
          <w:rFonts w:cs="Arial"/>
          <w:szCs w:val="24"/>
        </w:rPr>
        <w:t>(Appendix IV)</w:t>
      </w:r>
    </w:p>
    <w:p w14:paraId="27D2A6DC" w14:textId="77777777" w:rsidR="001A6F94" w:rsidRDefault="001A6F94" w:rsidP="0056063D">
      <w:pPr>
        <w:contextualSpacing/>
        <w:rPr>
          <w:rFonts w:cs="Arial"/>
          <w:szCs w:val="24"/>
        </w:rPr>
      </w:pPr>
    </w:p>
    <w:p w14:paraId="6CC2FA98" w14:textId="3A933FBA" w:rsidR="0056063D" w:rsidRDefault="0056063D" w:rsidP="0056063D">
      <w:r w:rsidRPr="004A64D9">
        <w:t xml:space="preserve">PREVIOUSLY CIRCULATED:- </w:t>
      </w:r>
      <w:r w:rsidR="00D67C20">
        <w:t>The Strategic Budget Report Quarter 3</w:t>
      </w:r>
    </w:p>
    <w:p w14:paraId="0F149754" w14:textId="77777777" w:rsidR="0056063D" w:rsidRPr="004A64D9" w:rsidRDefault="0056063D" w:rsidP="0056063D"/>
    <w:p w14:paraId="4723E207" w14:textId="3A9172CF" w:rsidR="0022081F" w:rsidRDefault="0056063D" w:rsidP="0056063D">
      <w:pPr>
        <w:rPr>
          <w:b/>
          <w:bCs/>
        </w:rPr>
      </w:pPr>
      <w:r w:rsidRPr="0041231C">
        <w:rPr>
          <w:b/>
          <w:bCs/>
        </w:rPr>
        <w:t xml:space="preserve">AGREED TO RECOMMEND, on the proposal of </w:t>
      </w:r>
      <w:r w:rsidR="00D05A24">
        <w:rPr>
          <w:b/>
          <w:bCs/>
        </w:rPr>
        <w:t>Alderman McRandal</w:t>
      </w:r>
      <w:r w:rsidRPr="0041231C">
        <w:rPr>
          <w:b/>
          <w:bCs/>
        </w:rPr>
        <w:t>, seconded by</w:t>
      </w:r>
      <w:r>
        <w:rPr>
          <w:b/>
          <w:bCs/>
        </w:rPr>
        <w:t xml:space="preserve"> </w:t>
      </w:r>
      <w:r w:rsidR="00D05A24">
        <w:rPr>
          <w:b/>
          <w:bCs/>
        </w:rPr>
        <w:t>Alderman Graham</w:t>
      </w:r>
      <w:r w:rsidRPr="0041231C">
        <w:rPr>
          <w:b/>
          <w:bCs/>
        </w:rPr>
        <w:t xml:space="preserve">, that </w:t>
      </w:r>
      <w:r>
        <w:rPr>
          <w:b/>
          <w:bCs/>
        </w:rPr>
        <w:t>the recommendation be adopted</w:t>
      </w:r>
      <w:r w:rsidR="0054056C">
        <w:rPr>
          <w:b/>
          <w:bCs/>
        </w:rPr>
        <w:t xml:space="preserve">. </w:t>
      </w:r>
    </w:p>
    <w:p w14:paraId="67F09C40" w14:textId="77777777" w:rsidR="0054056C" w:rsidRDefault="0054056C" w:rsidP="0056063D">
      <w:pPr>
        <w:rPr>
          <w:b/>
          <w:bCs/>
        </w:rPr>
      </w:pPr>
    </w:p>
    <w:p w14:paraId="2CB4E1C9" w14:textId="0E6363BF" w:rsidR="0056063D" w:rsidRPr="0056063D" w:rsidRDefault="0022081F" w:rsidP="0056063D">
      <w:pPr>
        <w:pStyle w:val="Heading1"/>
        <w:ind w:left="720" w:hanging="720"/>
        <w:rPr>
          <w:rFonts w:ascii="Arial Bold" w:hAnsi="Arial Bold" w:cs="Arial" w:hint="eastAsia"/>
          <w:caps/>
          <w:color w:val="auto"/>
          <w:szCs w:val="28"/>
        </w:rPr>
      </w:pPr>
      <w:r>
        <w:rPr>
          <w:rFonts w:cs="Arial"/>
          <w:color w:val="auto"/>
          <w:sz w:val="24"/>
          <w:szCs w:val="24"/>
          <w:u w:val="none"/>
        </w:rPr>
        <w:t>B)</w:t>
      </w:r>
      <w:r>
        <w:rPr>
          <w:rFonts w:cs="Arial"/>
          <w:color w:val="auto"/>
          <w:sz w:val="24"/>
          <w:szCs w:val="24"/>
          <w:u w:val="none"/>
        </w:rPr>
        <w:tab/>
      </w:r>
      <w:r w:rsidRPr="0022081F">
        <w:rPr>
          <w:rFonts w:ascii="Arial Bold" w:eastAsia="Calibri" w:hAnsi="Arial Bold" w:cs="Arial"/>
          <w:caps/>
          <w:color w:val="auto"/>
          <w:szCs w:val="28"/>
        </w:rPr>
        <w:t>Prudential Indicators &amp; Treasury Management 2024/25 Q3</w:t>
      </w:r>
      <w:r w:rsidR="001A6F94">
        <w:rPr>
          <w:rFonts w:ascii="Arial Bold" w:eastAsia="Calibri" w:hAnsi="Arial Bold" w:cs="Arial"/>
          <w:caps/>
          <w:color w:val="auto"/>
          <w:szCs w:val="28"/>
        </w:rPr>
        <w:t xml:space="preserve"> (FILE FIN165)</w:t>
      </w:r>
    </w:p>
    <w:p w14:paraId="3246B15D" w14:textId="77777777" w:rsidR="0056063D" w:rsidRDefault="0056063D" w:rsidP="0056063D">
      <w:pPr>
        <w:contextualSpacing/>
        <w:rPr>
          <w:rFonts w:cs="Arial"/>
          <w:szCs w:val="24"/>
        </w:rPr>
      </w:pPr>
      <w:r>
        <w:rPr>
          <w:rFonts w:cs="Arial"/>
          <w:szCs w:val="24"/>
        </w:rPr>
        <w:tab/>
      </w:r>
    </w:p>
    <w:p w14:paraId="267B1D31" w14:textId="0F37F98F" w:rsidR="001A6F94" w:rsidRPr="001A6F94" w:rsidRDefault="0056063D" w:rsidP="001A6F94">
      <w:pPr>
        <w:rPr>
          <w:rFonts w:eastAsia="Times New Roman" w:cs="Arial"/>
          <w:color w:val="000000"/>
          <w:sz w:val="12"/>
          <w:szCs w:val="12"/>
        </w:rPr>
      </w:pPr>
      <w:r w:rsidRPr="004A64D9">
        <w:t xml:space="preserve">PREVIOUSLY CIRCULATED:- </w:t>
      </w:r>
      <w:r w:rsidR="00EC5488" w:rsidRPr="00EC5488">
        <w:t>Report from the Director of Corporate Services detailing that</w:t>
      </w:r>
      <w:r w:rsidR="001A6F94">
        <w:t xml:space="preserve"> i</w:t>
      </w:r>
      <w:r w:rsidR="001A6F94" w:rsidRPr="001A6F94">
        <w:rPr>
          <w:rFonts w:eastAsia="Times New Roman" w:cs="Arial"/>
          <w:szCs w:val="20"/>
        </w:rPr>
        <w:t xml:space="preserve">n February 2024, Council approved its annual Capital and Treasury Management Strategies, including the setting of Prudential Indicators (PIs) for the current financial year ending 31 March 2025.  These are statutory requirements in accordance with the Local Government Finance Act (NI) 2011, the CIPFA Prudential Code and the CIPFA Treasury Management Code.  </w:t>
      </w:r>
    </w:p>
    <w:p w14:paraId="5C1BA655" w14:textId="77777777" w:rsidR="001A6F94" w:rsidRPr="001A6F94" w:rsidRDefault="001A6F94" w:rsidP="001A6F94">
      <w:pPr>
        <w:jc w:val="both"/>
        <w:rPr>
          <w:rFonts w:eastAsia="Times New Roman" w:cs="Arial"/>
          <w:color w:val="000000"/>
          <w:sz w:val="12"/>
          <w:szCs w:val="12"/>
        </w:rPr>
      </w:pPr>
    </w:p>
    <w:p w14:paraId="2BC8FA4D"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 xml:space="preserve">The purpose of this report was to provide Members with an update on the PIs and treasury management activity as required by the CIPFA Codes, at the end of December 2024. </w:t>
      </w:r>
    </w:p>
    <w:p w14:paraId="58371345" w14:textId="77777777" w:rsidR="001A6F94" w:rsidRPr="001A6F94" w:rsidRDefault="001A6F94" w:rsidP="001A6F94">
      <w:pPr>
        <w:tabs>
          <w:tab w:val="center" w:pos="4513"/>
          <w:tab w:val="right" w:pos="9026"/>
        </w:tabs>
        <w:jc w:val="both"/>
        <w:rPr>
          <w:rFonts w:eastAsia="Times New Roman" w:cs="Arial"/>
          <w:b/>
          <w:bCs/>
          <w:szCs w:val="20"/>
          <w:u w:val="single"/>
        </w:rPr>
      </w:pPr>
    </w:p>
    <w:p w14:paraId="53EB19DA" w14:textId="77777777" w:rsidR="001A6F94" w:rsidRPr="001A6F94" w:rsidRDefault="001A6F94" w:rsidP="001A6F94">
      <w:pPr>
        <w:tabs>
          <w:tab w:val="center" w:pos="4513"/>
          <w:tab w:val="right" w:pos="9026"/>
        </w:tabs>
        <w:jc w:val="both"/>
        <w:rPr>
          <w:rFonts w:eastAsia="Times New Roman" w:cs="Arial"/>
          <w:b/>
          <w:bCs/>
          <w:szCs w:val="20"/>
        </w:rPr>
      </w:pPr>
      <w:r w:rsidRPr="001A6F94">
        <w:rPr>
          <w:rFonts w:eastAsia="Times New Roman" w:cs="Arial"/>
          <w:b/>
          <w:bCs/>
          <w:szCs w:val="20"/>
        </w:rPr>
        <w:t>1.1 Capital - Expenditure &amp; Financing</w:t>
      </w:r>
    </w:p>
    <w:p w14:paraId="7D4BAD96" w14:textId="77777777" w:rsidR="001A6F94" w:rsidRPr="001A6F94" w:rsidRDefault="001A6F94" w:rsidP="001A6F94">
      <w:pPr>
        <w:tabs>
          <w:tab w:val="center" w:pos="4513"/>
          <w:tab w:val="right" w:pos="9026"/>
        </w:tabs>
        <w:jc w:val="both"/>
        <w:rPr>
          <w:rFonts w:eastAsia="Times New Roman" w:cs="Arial"/>
          <w:bCs/>
          <w:sz w:val="12"/>
          <w:szCs w:val="12"/>
        </w:rPr>
      </w:pPr>
    </w:p>
    <w:p w14:paraId="5B4F5B30"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The PIs for capital expenditure and financing should ensure that, within a clear framework, the capital investment plans of the Council were affordable, prudent and sustainable.  Updates to these PIs were set out below.</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1A6F94" w:rsidRPr="001A6F94" w14:paraId="3024B21F" w14:textId="77777777" w:rsidTr="00C355D1">
        <w:trPr>
          <w:trHeight w:val="567"/>
        </w:trPr>
        <w:tc>
          <w:tcPr>
            <w:tcW w:w="5670" w:type="dxa"/>
            <w:tcBorders>
              <w:top w:val="nil"/>
              <w:left w:val="nil"/>
              <w:bottom w:val="single" w:sz="4" w:space="0" w:color="auto"/>
              <w:right w:val="nil"/>
            </w:tcBorders>
            <w:vAlign w:val="center"/>
          </w:tcPr>
          <w:p w14:paraId="0E6A187B" w14:textId="77777777" w:rsidR="001A6F94" w:rsidRPr="001A6F94" w:rsidRDefault="001A6F94" w:rsidP="001A6F94">
            <w:pPr>
              <w:contextualSpacing/>
              <w:rPr>
                <w:rFonts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tcPr>
          <w:p w14:paraId="1739EA92" w14:textId="77777777" w:rsidR="001A6F94" w:rsidRPr="001A6F94" w:rsidRDefault="001A6F94" w:rsidP="001A6F94">
            <w:pPr>
              <w:contextualSpacing/>
              <w:jc w:val="center"/>
              <w:rPr>
                <w:rFonts w:cs="Arial"/>
                <w:b/>
                <w:color w:val="FFFFFF"/>
                <w:sz w:val="22"/>
              </w:rPr>
            </w:pPr>
            <w:r w:rsidRPr="001A6F94">
              <w:rPr>
                <w:rFonts w:cs="Arial"/>
                <w:b/>
                <w:color w:val="FFFFFF"/>
                <w:sz w:val="22"/>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23E8AC3F" w14:textId="77777777" w:rsidR="001A6F94" w:rsidRPr="001A6F94" w:rsidRDefault="001A6F94" w:rsidP="001A6F94">
            <w:pPr>
              <w:contextualSpacing/>
              <w:jc w:val="center"/>
              <w:rPr>
                <w:rFonts w:cs="Arial"/>
                <w:b/>
                <w:color w:val="FFFFFF"/>
                <w:sz w:val="22"/>
              </w:rPr>
            </w:pPr>
            <w:r w:rsidRPr="001A6F94">
              <w:rPr>
                <w:rFonts w:cs="Arial"/>
                <w:b/>
                <w:color w:val="FFFFFF"/>
                <w:sz w:val="22"/>
              </w:rPr>
              <w:t>Revised Forecast</w:t>
            </w:r>
          </w:p>
        </w:tc>
      </w:tr>
      <w:tr w:rsidR="001A6F94" w:rsidRPr="001A6F94" w14:paraId="3FC80813" w14:textId="77777777" w:rsidTr="00C355D1">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tcPr>
          <w:p w14:paraId="0AD222CF" w14:textId="77777777" w:rsidR="001A6F94" w:rsidRPr="001A6F94" w:rsidRDefault="001A6F94" w:rsidP="001A6F94">
            <w:pPr>
              <w:contextualSpacing/>
              <w:rPr>
                <w:rFonts w:cs="Arial"/>
                <w:b/>
                <w:color w:val="FFFFFF"/>
                <w:szCs w:val="24"/>
              </w:rPr>
            </w:pPr>
            <w:r w:rsidRPr="001A6F94">
              <w:rPr>
                <w:rFonts w:cs="Arial"/>
                <w:b/>
                <w:color w:val="FFFFFF"/>
                <w:sz w:val="22"/>
              </w:rPr>
              <w:t>Table 1.11</w:t>
            </w:r>
          </w:p>
        </w:tc>
        <w:tc>
          <w:tcPr>
            <w:tcW w:w="1418" w:type="dxa"/>
            <w:tcBorders>
              <w:top w:val="single" w:sz="4" w:space="0" w:color="auto"/>
              <w:left w:val="single" w:sz="4" w:space="0" w:color="auto"/>
              <w:right w:val="single" w:sz="4" w:space="0" w:color="auto"/>
            </w:tcBorders>
            <w:shd w:val="clear" w:color="auto" w:fill="0070C0"/>
            <w:vAlign w:val="center"/>
          </w:tcPr>
          <w:p w14:paraId="3A8E26FB"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417" w:type="dxa"/>
            <w:tcBorders>
              <w:top w:val="single" w:sz="4" w:space="0" w:color="auto"/>
              <w:left w:val="single" w:sz="4" w:space="0" w:color="auto"/>
            </w:tcBorders>
            <w:shd w:val="clear" w:color="auto" w:fill="0070C0"/>
            <w:vAlign w:val="center"/>
          </w:tcPr>
          <w:p w14:paraId="7A7A4578"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r>
      <w:tr w:rsidR="001A6F94" w:rsidRPr="001A6F94" w14:paraId="2DBD94BE" w14:textId="77777777" w:rsidTr="001A6F94">
        <w:trPr>
          <w:trHeight w:val="454"/>
        </w:trPr>
        <w:tc>
          <w:tcPr>
            <w:tcW w:w="5670" w:type="dxa"/>
            <w:tcBorders>
              <w:top w:val="single" w:sz="4" w:space="0" w:color="auto"/>
              <w:bottom w:val="single" w:sz="4" w:space="0" w:color="auto"/>
            </w:tcBorders>
            <w:vAlign w:val="center"/>
          </w:tcPr>
          <w:p w14:paraId="77EAA7ED" w14:textId="77777777" w:rsidR="001A6F94" w:rsidRPr="001A6F94" w:rsidRDefault="001A6F94" w:rsidP="001A6F94">
            <w:pPr>
              <w:contextualSpacing/>
              <w:rPr>
                <w:rFonts w:cs="Arial"/>
                <w:szCs w:val="24"/>
              </w:rPr>
            </w:pPr>
            <w:r w:rsidRPr="001A6F94">
              <w:rPr>
                <w:rFonts w:cs="Arial"/>
                <w:szCs w:val="24"/>
              </w:rPr>
              <w:t>Capital Expenditure 2024/25 (Current Year)</w:t>
            </w:r>
          </w:p>
        </w:tc>
        <w:tc>
          <w:tcPr>
            <w:tcW w:w="1418" w:type="dxa"/>
            <w:vAlign w:val="center"/>
          </w:tcPr>
          <w:p w14:paraId="003925F0" w14:textId="77777777" w:rsidR="001A6F94" w:rsidRPr="001A6F94" w:rsidRDefault="001A6F94" w:rsidP="001A6F94">
            <w:pPr>
              <w:contextualSpacing/>
              <w:jc w:val="right"/>
              <w:rPr>
                <w:rFonts w:cs="Arial"/>
                <w:szCs w:val="24"/>
              </w:rPr>
            </w:pPr>
            <w:r w:rsidRPr="001A6F94">
              <w:rPr>
                <w:rFonts w:cs="Arial"/>
                <w:szCs w:val="24"/>
              </w:rPr>
              <w:t>19.41</w:t>
            </w:r>
          </w:p>
        </w:tc>
        <w:tc>
          <w:tcPr>
            <w:tcW w:w="1417" w:type="dxa"/>
            <w:shd w:val="clear" w:color="auto" w:fill="D9E2F3"/>
            <w:vAlign w:val="center"/>
          </w:tcPr>
          <w:p w14:paraId="2B711EF6" w14:textId="77777777" w:rsidR="001A6F94" w:rsidRPr="001A6F94" w:rsidRDefault="001A6F94" w:rsidP="001A6F94">
            <w:pPr>
              <w:contextualSpacing/>
              <w:jc w:val="right"/>
              <w:rPr>
                <w:rFonts w:cs="Arial"/>
                <w:szCs w:val="24"/>
              </w:rPr>
            </w:pPr>
            <w:r w:rsidRPr="001A6F94">
              <w:rPr>
                <w:rFonts w:cs="Arial"/>
                <w:szCs w:val="24"/>
              </w:rPr>
              <w:t>10.41</w:t>
            </w:r>
          </w:p>
        </w:tc>
      </w:tr>
    </w:tbl>
    <w:p w14:paraId="49BA3F3D" w14:textId="77777777" w:rsidR="00A30315" w:rsidRDefault="00A30315" w:rsidP="001A6F94">
      <w:pPr>
        <w:tabs>
          <w:tab w:val="center" w:pos="4513"/>
          <w:tab w:val="right" w:pos="9026"/>
        </w:tabs>
        <w:jc w:val="both"/>
        <w:rPr>
          <w:rFonts w:eastAsia="Times New Roman" w:cs="Arial"/>
          <w:bCs/>
          <w:szCs w:val="20"/>
        </w:rPr>
      </w:pPr>
    </w:p>
    <w:p w14:paraId="5D0008ED" w14:textId="1810708B" w:rsidR="001A6F94" w:rsidRPr="001A6F94" w:rsidRDefault="001A6F94" w:rsidP="00A30315">
      <w:pPr>
        <w:tabs>
          <w:tab w:val="center" w:pos="4513"/>
          <w:tab w:val="right" w:pos="9026"/>
        </w:tabs>
        <w:rPr>
          <w:rFonts w:eastAsia="Times New Roman" w:cs="Arial"/>
          <w:bCs/>
          <w:color w:val="FF0000"/>
          <w:szCs w:val="20"/>
        </w:rPr>
      </w:pPr>
      <w:r w:rsidRPr="001A6F94">
        <w:rPr>
          <w:rFonts w:eastAsia="Times New Roman" w:cs="Arial"/>
          <w:bCs/>
          <w:szCs w:val="20"/>
        </w:rPr>
        <w:t xml:space="preserve">The original estimate of £19.41M had been revised to </w:t>
      </w:r>
      <w:r w:rsidRPr="001A6F94">
        <w:rPr>
          <w:rFonts w:eastAsia="Times New Roman" w:cs="Arial"/>
          <w:bCs/>
          <w:color w:val="000000"/>
          <w:szCs w:val="20"/>
        </w:rPr>
        <w:t>£10.41M</w:t>
      </w:r>
      <w:r w:rsidRPr="001A6F94">
        <w:rPr>
          <w:rFonts w:eastAsia="Times New Roman" w:cs="Arial"/>
          <w:bCs/>
          <w:szCs w:val="20"/>
        </w:rPr>
        <w:t>, reflecting the capital expenditure that was now expected to be incurred by 31 March 2025. This was consistent with the deliverability risks outlined in the 2024/25 budget strategy, where it was reported that capital ambition was not being matched by delivery due to reasons including Officer resource, business readiness and planning and funding delays. The main schemes impacted by such risks for this reporting period were Bangor Waterfront, Greenways, Ward Park Redevelopment, 3G Pitches and the Digital Innovation Hub.</w:t>
      </w:r>
    </w:p>
    <w:p w14:paraId="65634602" w14:textId="77777777" w:rsidR="001A6F94" w:rsidRPr="001A6F94" w:rsidRDefault="001A6F94" w:rsidP="00A30315">
      <w:pPr>
        <w:tabs>
          <w:tab w:val="center" w:pos="4513"/>
          <w:tab w:val="right" w:pos="9026"/>
        </w:tabs>
        <w:rPr>
          <w:rFonts w:eastAsia="Times New Roman" w:cs="Arial"/>
          <w:bCs/>
          <w:szCs w:val="20"/>
        </w:rPr>
      </w:pPr>
    </w:p>
    <w:p w14:paraId="2C81B9BB"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The revised capital expenditure forecasts for the three-year plan, together with the capital financing implications and previous year activity are summarised below.</w:t>
      </w:r>
    </w:p>
    <w:p w14:paraId="07BF1035" w14:textId="77777777" w:rsidR="001A6F94" w:rsidRPr="001A6F94" w:rsidRDefault="001A6F94" w:rsidP="001A6F94">
      <w:pPr>
        <w:tabs>
          <w:tab w:val="center" w:pos="4513"/>
          <w:tab w:val="right" w:pos="9026"/>
        </w:tabs>
        <w:jc w:val="both"/>
        <w:rPr>
          <w:rFonts w:eastAsia="Times New Roman" w:cs="Arial"/>
          <w:bCs/>
          <w:sz w:val="20"/>
          <w:szCs w:val="20"/>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1A6F94" w:rsidRPr="001A6F94" w14:paraId="4C1C9CD6" w14:textId="77777777" w:rsidTr="00C355D1">
        <w:trPr>
          <w:trHeight w:val="340"/>
        </w:trPr>
        <w:tc>
          <w:tcPr>
            <w:tcW w:w="3082" w:type="dxa"/>
            <w:tcBorders>
              <w:top w:val="nil"/>
              <w:left w:val="nil"/>
              <w:bottom w:val="nil"/>
              <w:right w:val="nil"/>
            </w:tcBorders>
            <w:vAlign w:val="center"/>
          </w:tcPr>
          <w:p w14:paraId="47DD697E" w14:textId="77777777" w:rsidR="001A6F94" w:rsidRPr="001A6F94" w:rsidRDefault="001A6F94" w:rsidP="001A6F94">
            <w:pPr>
              <w:contextualSpacing/>
              <w:rPr>
                <w:rFonts w:cs="Arial"/>
                <w:szCs w:val="24"/>
              </w:rPr>
            </w:pPr>
          </w:p>
        </w:tc>
        <w:tc>
          <w:tcPr>
            <w:tcW w:w="1562" w:type="dxa"/>
            <w:tcBorders>
              <w:top w:val="single" w:sz="4" w:space="0" w:color="auto"/>
              <w:left w:val="single" w:sz="4" w:space="0" w:color="auto"/>
              <w:bottom w:val="single" w:sz="4" w:space="0" w:color="auto"/>
            </w:tcBorders>
            <w:shd w:val="clear" w:color="auto" w:fill="0070C0"/>
            <w:vAlign w:val="center"/>
          </w:tcPr>
          <w:p w14:paraId="1424CF02" w14:textId="77777777" w:rsidR="001A6F94" w:rsidRPr="001A6F94" w:rsidRDefault="001A6F94" w:rsidP="001A6F94">
            <w:pPr>
              <w:contextualSpacing/>
              <w:jc w:val="center"/>
              <w:rPr>
                <w:rFonts w:cs="Arial"/>
                <w:b/>
                <w:color w:val="FFFFFF"/>
                <w:sz w:val="22"/>
              </w:rPr>
            </w:pPr>
            <w:r w:rsidRPr="001A6F94">
              <w:rPr>
                <w:rFonts w:cs="Arial"/>
                <w:b/>
                <w:color w:val="FFFFFF"/>
                <w:sz w:val="22"/>
              </w:rPr>
              <w:t>Actual</w:t>
            </w:r>
          </w:p>
        </w:tc>
        <w:tc>
          <w:tcPr>
            <w:tcW w:w="3969" w:type="dxa"/>
            <w:gridSpan w:val="3"/>
            <w:tcBorders>
              <w:top w:val="single" w:sz="4" w:space="0" w:color="auto"/>
              <w:left w:val="single" w:sz="4" w:space="0" w:color="auto"/>
              <w:bottom w:val="single" w:sz="4" w:space="0" w:color="auto"/>
            </w:tcBorders>
            <w:shd w:val="clear" w:color="auto" w:fill="0070C0"/>
            <w:vAlign w:val="center"/>
          </w:tcPr>
          <w:p w14:paraId="63263719" w14:textId="77777777" w:rsidR="001A6F94" w:rsidRPr="001A6F94" w:rsidRDefault="001A6F94" w:rsidP="001A6F94">
            <w:pPr>
              <w:contextualSpacing/>
              <w:jc w:val="center"/>
              <w:rPr>
                <w:rFonts w:cs="Arial"/>
                <w:b/>
                <w:color w:val="FFFFFF"/>
                <w:sz w:val="22"/>
              </w:rPr>
            </w:pPr>
            <w:r w:rsidRPr="001A6F94">
              <w:rPr>
                <w:rFonts w:cs="Arial"/>
                <w:b/>
                <w:color w:val="FFFFFF"/>
                <w:sz w:val="22"/>
              </w:rPr>
              <w:t>Revised Forecast</w:t>
            </w:r>
          </w:p>
        </w:tc>
      </w:tr>
      <w:tr w:rsidR="001A6F94" w:rsidRPr="001A6F94" w14:paraId="37B0A9BA" w14:textId="77777777" w:rsidTr="00C355D1">
        <w:trPr>
          <w:trHeight w:val="340"/>
        </w:trPr>
        <w:tc>
          <w:tcPr>
            <w:tcW w:w="3082" w:type="dxa"/>
            <w:tcBorders>
              <w:top w:val="nil"/>
              <w:left w:val="nil"/>
              <w:bottom w:val="nil"/>
              <w:right w:val="single" w:sz="4" w:space="0" w:color="auto"/>
            </w:tcBorders>
            <w:vAlign w:val="center"/>
          </w:tcPr>
          <w:p w14:paraId="00B9A705" w14:textId="77777777" w:rsidR="001A6F94" w:rsidRPr="001A6F94" w:rsidRDefault="001A6F94" w:rsidP="001A6F94">
            <w:pPr>
              <w:contextualSpacing/>
              <w:rPr>
                <w:rFonts w:cs="Arial"/>
                <w:b/>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tcPr>
          <w:p w14:paraId="6D492628" w14:textId="77777777" w:rsidR="001A6F94" w:rsidRPr="001A6F94" w:rsidRDefault="001A6F94" w:rsidP="001A6F94">
            <w:pPr>
              <w:contextualSpacing/>
              <w:jc w:val="center"/>
              <w:rPr>
                <w:rFonts w:cs="Arial"/>
                <w:b/>
                <w:color w:val="FFFFFF"/>
                <w:sz w:val="22"/>
              </w:rPr>
            </w:pPr>
            <w:r w:rsidRPr="001A6F94">
              <w:rPr>
                <w:rFonts w:cs="Arial"/>
                <w:b/>
                <w:color w:val="FFFFFF"/>
                <w:sz w:val="22"/>
              </w:rPr>
              <w:t>2023/24</w:t>
            </w:r>
          </w:p>
        </w:tc>
        <w:tc>
          <w:tcPr>
            <w:tcW w:w="1276" w:type="dxa"/>
            <w:tcBorders>
              <w:top w:val="single" w:sz="4" w:space="0" w:color="auto"/>
              <w:left w:val="single" w:sz="4" w:space="0" w:color="auto"/>
            </w:tcBorders>
            <w:shd w:val="clear" w:color="auto" w:fill="0070C0"/>
            <w:vAlign w:val="center"/>
          </w:tcPr>
          <w:p w14:paraId="2A49C757" w14:textId="77777777" w:rsidR="001A6F94" w:rsidRPr="001A6F94" w:rsidRDefault="001A6F94" w:rsidP="001A6F94">
            <w:pPr>
              <w:contextualSpacing/>
              <w:jc w:val="center"/>
              <w:rPr>
                <w:rFonts w:cs="Arial"/>
                <w:b/>
                <w:color w:val="FFFFFF"/>
                <w:sz w:val="22"/>
              </w:rPr>
            </w:pPr>
            <w:r w:rsidRPr="001A6F94">
              <w:rPr>
                <w:rFonts w:cs="Arial"/>
                <w:b/>
                <w:color w:val="FFFFFF"/>
                <w:sz w:val="22"/>
              </w:rPr>
              <w:t>2024/25</w:t>
            </w:r>
          </w:p>
        </w:tc>
        <w:tc>
          <w:tcPr>
            <w:tcW w:w="1417" w:type="dxa"/>
            <w:shd w:val="clear" w:color="auto" w:fill="0070C0"/>
            <w:vAlign w:val="center"/>
          </w:tcPr>
          <w:p w14:paraId="6B712EE4" w14:textId="77777777" w:rsidR="001A6F94" w:rsidRPr="001A6F94" w:rsidRDefault="001A6F94" w:rsidP="001A6F94">
            <w:pPr>
              <w:contextualSpacing/>
              <w:jc w:val="center"/>
              <w:rPr>
                <w:rFonts w:cs="Arial"/>
                <w:b/>
                <w:color w:val="FFFFFF"/>
                <w:sz w:val="22"/>
              </w:rPr>
            </w:pPr>
            <w:r w:rsidRPr="001A6F94">
              <w:rPr>
                <w:rFonts w:cs="Arial"/>
                <w:b/>
                <w:color w:val="FFFFFF"/>
                <w:sz w:val="22"/>
              </w:rPr>
              <w:t>2025/26</w:t>
            </w:r>
          </w:p>
        </w:tc>
        <w:tc>
          <w:tcPr>
            <w:tcW w:w="1276" w:type="dxa"/>
            <w:shd w:val="clear" w:color="auto" w:fill="0070C0"/>
            <w:vAlign w:val="center"/>
          </w:tcPr>
          <w:p w14:paraId="7020DC4F" w14:textId="77777777" w:rsidR="001A6F94" w:rsidRPr="001A6F94" w:rsidRDefault="001A6F94" w:rsidP="001A6F94">
            <w:pPr>
              <w:contextualSpacing/>
              <w:jc w:val="center"/>
              <w:rPr>
                <w:rFonts w:cs="Arial"/>
                <w:b/>
                <w:color w:val="FFFFFF"/>
                <w:sz w:val="22"/>
              </w:rPr>
            </w:pPr>
            <w:r w:rsidRPr="001A6F94">
              <w:rPr>
                <w:rFonts w:cs="Arial"/>
                <w:b/>
                <w:color w:val="FFFFFF"/>
                <w:sz w:val="22"/>
              </w:rPr>
              <w:t>2026/27</w:t>
            </w:r>
          </w:p>
        </w:tc>
      </w:tr>
      <w:tr w:rsidR="001A6F94" w:rsidRPr="001A6F94" w14:paraId="4D9ECFE3" w14:textId="77777777" w:rsidTr="00C355D1">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tcPr>
          <w:p w14:paraId="0F6C151F" w14:textId="77777777" w:rsidR="001A6F94" w:rsidRPr="001A6F94" w:rsidRDefault="001A6F94" w:rsidP="001A6F94">
            <w:pPr>
              <w:contextualSpacing/>
              <w:rPr>
                <w:rFonts w:cs="Arial"/>
                <w:b/>
                <w:szCs w:val="24"/>
              </w:rPr>
            </w:pPr>
            <w:r w:rsidRPr="001A6F94">
              <w:rPr>
                <w:rFonts w:cs="Arial"/>
                <w:b/>
                <w:color w:val="FFFFFF"/>
                <w:sz w:val="22"/>
              </w:rPr>
              <w:t>Table 1.12</w:t>
            </w:r>
          </w:p>
        </w:tc>
        <w:tc>
          <w:tcPr>
            <w:tcW w:w="1562" w:type="dxa"/>
            <w:tcBorders>
              <w:top w:val="single" w:sz="4" w:space="0" w:color="auto"/>
              <w:left w:val="single" w:sz="4" w:space="0" w:color="auto"/>
              <w:right w:val="single" w:sz="4" w:space="0" w:color="auto"/>
            </w:tcBorders>
            <w:shd w:val="clear" w:color="auto" w:fill="0070C0"/>
            <w:vAlign w:val="center"/>
          </w:tcPr>
          <w:p w14:paraId="407303DA"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276" w:type="dxa"/>
            <w:tcBorders>
              <w:top w:val="single" w:sz="4" w:space="0" w:color="auto"/>
              <w:left w:val="single" w:sz="4" w:space="0" w:color="auto"/>
            </w:tcBorders>
            <w:shd w:val="clear" w:color="auto" w:fill="0070C0"/>
            <w:vAlign w:val="center"/>
          </w:tcPr>
          <w:p w14:paraId="1767A7E0"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417" w:type="dxa"/>
            <w:shd w:val="clear" w:color="auto" w:fill="0070C0"/>
            <w:vAlign w:val="center"/>
          </w:tcPr>
          <w:p w14:paraId="7EA00281"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276" w:type="dxa"/>
            <w:shd w:val="clear" w:color="auto" w:fill="0070C0"/>
            <w:vAlign w:val="center"/>
          </w:tcPr>
          <w:p w14:paraId="5B8D0FAA"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r>
      <w:tr w:rsidR="001A6F94" w:rsidRPr="001A6F94" w14:paraId="793AD056" w14:textId="77777777" w:rsidTr="001A6F94">
        <w:trPr>
          <w:trHeight w:val="397"/>
        </w:trPr>
        <w:tc>
          <w:tcPr>
            <w:tcW w:w="3082" w:type="dxa"/>
            <w:tcBorders>
              <w:top w:val="single" w:sz="4" w:space="0" w:color="auto"/>
              <w:bottom w:val="single" w:sz="4" w:space="0" w:color="auto"/>
            </w:tcBorders>
            <w:vAlign w:val="center"/>
          </w:tcPr>
          <w:p w14:paraId="609A1D37" w14:textId="77777777" w:rsidR="001A6F94" w:rsidRPr="001A6F94" w:rsidRDefault="001A6F94" w:rsidP="001A6F94">
            <w:pPr>
              <w:contextualSpacing/>
              <w:rPr>
                <w:rFonts w:cs="Arial"/>
                <w:szCs w:val="24"/>
              </w:rPr>
            </w:pPr>
            <w:r w:rsidRPr="001A6F94">
              <w:rPr>
                <w:rFonts w:cs="Arial"/>
                <w:szCs w:val="24"/>
              </w:rPr>
              <w:lastRenderedPageBreak/>
              <w:t>Capital Expenditure</w:t>
            </w:r>
          </w:p>
        </w:tc>
        <w:tc>
          <w:tcPr>
            <w:tcW w:w="1562" w:type="dxa"/>
            <w:vAlign w:val="center"/>
          </w:tcPr>
          <w:p w14:paraId="135FBA73" w14:textId="77777777" w:rsidR="001A6F94" w:rsidRPr="001A6F94" w:rsidRDefault="001A6F94" w:rsidP="001A6F94">
            <w:pPr>
              <w:contextualSpacing/>
              <w:jc w:val="right"/>
              <w:rPr>
                <w:rFonts w:cs="Arial"/>
                <w:szCs w:val="24"/>
              </w:rPr>
            </w:pPr>
            <w:r w:rsidRPr="001A6F94">
              <w:rPr>
                <w:rFonts w:cs="Arial"/>
                <w:szCs w:val="24"/>
              </w:rPr>
              <w:t>6.51</w:t>
            </w:r>
          </w:p>
        </w:tc>
        <w:tc>
          <w:tcPr>
            <w:tcW w:w="1276" w:type="dxa"/>
            <w:shd w:val="clear" w:color="auto" w:fill="D9E2F3"/>
            <w:vAlign w:val="center"/>
          </w:tcPr>
          <w:p w14:paraId="5A807DBB" w14:textId="77777777" w:rsidR="001A6F94" w:rsidRPr="001A6F94" w:rsidRDefault="001A6F94" w:rsidP="001A6F94">
            <w:pPr>
              <w:contextualSpacing/>
              <w:jc w:val="right"/>
              <w:rPr>
                <w:rFonts w:cs="Arial"/>
                <w:szCs w:val="24"/>
              </w:rPr>
            </w:pPr>
            <w:r w:rsidRPr="001A6F94">
              <w:rPr>
                <w:rFonts w:cs="Arial"/>
                <w:szCs w:val="24"/>
              </w:rPr>
              <w:t>10.41</w:t>
            </w:r>
          </w:p>
        </w:tc>
        <w:tc>
          <w:tcPr>
            <w:tcW w:w="1417" w:type="dxa"/>
            <w:vAlign w:val="center"/>
          </w:tcPr>
          <w:p w14:paraId="0E64525E" w14:textId="77777777" w:rsidR="001A6F94" w:rsidRPr="001A6F94" w:rsidRDefault="001A6F94" w:rsidP="001A6F94">
            <w:pPr>
              <w:contextualSpacing/>
              <w:jc w:val="right"/>
              <w:rPr>
                <w:rFonts w:cs="Arial"/>
                <w:szCs w:val="24"/>
              </w:rPr>
            </w:pPr>
            <w:r w:rsidRPr="001A6F94">
              <w:rPr>
                <w:rFonts w:cs="Arial"/>
                <w:szCs w:val="24"/>
              </w:rPr>
              <w:t>26.26</w:t>
            </w:r>
          </w:p>
        </w:tc>
        <w:tc>
          <w:tcPr>
            <w:tcW w:w="1276" w:type="dxa"/>
            <w:vAlign w:val="center"/>
          </w:tcPr>
          <w:p w14:paraId="39B8950C" w14:textId="77777777" w:rsidR="001A6F94" w:rsidRPr="001A6F94" w:rsidRDefault="001A6F94" w:rsidP="001A6F94">
            <w:pPr>
              <w:contextualSpacing/>
              <w:jc w:val="right"/>
              <w:rPr>
                <w:rFonts w:cs="Arial"/>
                <w:bCs/>
                <w:szCs w:val="24"/>
              </w:rPr>
            </w:pPr>
            <w:r w:rsidRPr="001A6F94">
              <w:rPr>
                <w:rFonts w:cs="Arial"/>
                <w:bCs/>
                <w:szCs w:val="24"/>
              </w:rPr>
              <w:t>36.27</w:t>
            </w:r>
          </w:p>
        </w:tc>
      </w:tr>
      <w:tr w:rsidR="001A6F94" w:rsidRPr="001A6F94" w14:paraId="0DCC7F13" w14:textId="77777777" w:rsidTr="001A6F94">
        <w:trPr>
          <w:trHeight w:val="340"/>
        </w:trPr>
        <w:tc>
          <w:tcPr>
            <w:tcW w:w="3082" w:type="dxa"/>
            <w:tcBorders>
              <w:top w:val="single" w:sz="4" w:space="0" w:color="auto"/>
              <w:bottom w:val="single" w:sz="4" w:space="0" w:color="auto"/>
            </w:tcBorders>
            <w:shd w:val="clear" w:color="auto" w:fill="D9D9D9"/>
            <w:vAlign w:val="center"/>
          </w:tcPr>
          <w:p w14:paraId="6057716B" w14:textId="77777777" w:rsidR="001A6F94" w:rsidRPr="001A6F94" w:rsidRDefault="001A6F94" w:rsidP="001A6F94">
            <w:pPr>
              <w:contextualSpacing/>
              <w:rPr>
                <w:rFonts w:cs="Arial"/>
                <w:b/>
                <w:szCs w:val="24"/>
              </w:rPr>
            </w:pPr>
            <w:r w:rsidRPr="001A6F94">
              <w:rPr>
                <w:rFonts w:cs="Arial"/>
                <w:b/>
                <w:szCs w:val="24"/>
              </w:rPr>
              <w:t>Financed by:</w:t>
            </w:r>
          </w:p>
        </w:tc>
        <w:tc>
          <w:tcPr>
            <w:tcW w:w="1562" w:type="dxa"/>
            <w:shd w:val="clear" w:color="auto" w:fill="D9D9D9"/>
            <w:vAlign w:val="center"/>
          </w:tcPr>
          <w:p w14:paraId="15A71195" w14:textId="77777777" w:rsidR="001A6F94" w:rsidRPr="001A6F94" w:rsidRDefault="001A6F94" w:rsidP="001A6F94">
            <w:pPr>
              <w:contextualSpacing/>
              <w:jc w:val="right"/>
              <w:rPr>
                <w:rFonts w:cs="Arial"/>
                <w:szCs w:val="24"/>
              </w:rPr>
            </w:pPr>
          </w:p>
        </w:tc>
        <w:tc>
          <w:tcPr>
            <w:tcW w:w="1276" w:type="dxa"/>
            <w:shd w:val="clear" w:color="auto" w:fill="D9D9D9"/>
            <w:vAlign w:val="center"/>
          </w:tcPr>
          <w:p w14:paraId="455A3055" w14:textId="77777777" w:rsidR="001A6F94" w:rsidRPr="001A6F94" w:rsidRDefault="001A6F94" w:rsidP="001A6F94">
            <w:pPr>
              <w:contextualSpacing/>
              <w:jc w:val="right"/>
              <w:rPr>
                <w:rFonts w:cs="Arial"/>
                <w:szCs w:val="24"/>
              </w:rPr>
            </w:pPr>
          </w:p>
        </w:tc>
        <w:tc>
          <w:tcPr>
            <w:tcW w:w="1417" w:type="dxa"/>
            <w:shd w:val="clear" w:color="auto" w:fill="D9D9D9"/>
            <w:vAlign w:val="center"/>
          </w:tcPr>
          <w:p w14:paraId="2FFD175A" w14:textId="77777777" w:rsidR="001A6F94" w:rsidRPr="001A6F94" w:rsidRDefault="001A6F94" w:rsidP="001A6F94">
            <w:pPr>
              <w:contextualSpacing/>
              <w:jc w:val="right"/>
              <w:rPr>
                <w:rFonts w:cs="Arial"/>
                <w:szCs w:val="24"/>
              </w:rPr>
            </w:pPr>
          </w:p>
        </w:tc>
        <w:tc>
          <w:tcPr>
            <w:tcW w:w="1276" w:type="dxa"/>
            <w:shd w:val="clear" w:color="auto" w:fill="D9D9D9"/>
            <w:vAlign w:val="center"/>
          </w:tcPr>
          <w:p w14:paraId="1B75B5CF" w14:textId="77777777" w:rsidR="001A6F94" w:rsidRPr="001A6F94" w:rsidRDefault="001A6F94" w:rsidP="001A6F94">
            <w:pPr>
              <w:contextualSpacing/>
              <w:jc w:val="right"/>
              <w:rPr>
                <w:rFonts w:cs="Arial"/>
                <w:bCs/>
                <w:szCs w:val="24"/>
              </w:rPr>
            </w:pPr>
          </w:p>
        </w:tc>
      </w:tr>
      <w:tr w:rsidR="001A6F94" w:rsidRPr="001A6F94" w14:paraId="5BAAD576" w14:textId="77777777" w:rsidTr="001A6F94">
        <w:trPr>
          <w:trHeight w:val="397"/>
        </w:trPr>
        <w:tc>
          <w:tcPr>
            <w:tcW w:w="3082" w:type="dxa"/>
            <w:tcBorders>
              <w:top w:val="single" w:sz="4" w:space="0" w:color="auto"/>
              <w:bottom w:val="single" w:sz="4" w:space="0" w:color="auto"/>
            </w:tcBorders>
            <w:vAlign w:val="center"/>
          </w:tcPr>
          <w:p w14:paraId="7933AA34" w14:textId="77777777" w:rsidR="001A6F94" w:rsidRPr="001A6F94" w:rsidRDefault="001A6F94" w:rsidP="001A6F94">
            <w:pPr>
              <w:contextualSpacing/>
              <w:rPr>
                <w:rFonts w:cs="Arial"/>
                <w:szCs w:val="24"/>
              </w:rPr>
            </w:pPr>
            <w:r w:rsidRPr="001A6F94">
              <w:rPr>
                <w:rFonts w:cs="Arial"/>
                <w:szCs w:val="24"/>
              </w:rPr>
              <w:t>Loans</w:t>
            </w:r>
          </w:p>
        </w:tc>
        <w:tc>
          <w:tcPr>
            <w:tcW w:w="1562" w:type="dxa"/>
            <w:vAlign w:val="center"/>
          </w:tcPr>
          <w:p w14:paraId="4E1596D5" w14:textId="77777777" w:rsidR="001A6F94" w:rsidRPr="001A6F94" w:rsidRDefault="001A6F94" w:rsidP="001A6F94">
            <w:pPr>
              <w:contextualSpacing/>
              <w:jc w:val="right"/>
              <w:rPr>
                <w:rFonts w:cs="Arial"/>
                <w:szCs w:val="24"/>
              </w:rPr>
            </w:pPr>
            <w:r w:rsidRPr="001A6F94">
              <w:rPr>
                <w:rFonts w:cs="Arial"/>
                <w:szCs w:val="24"/>
              </w:rPr>
              <w:t xml:space="preserve"> 4.20</w:t>
            </w:r>
          </w:p>
        </w:tc>
        <w:tc>
          <w:tcPr>
            <w:tcW w:w="1276" w:type="dxa"/>
            <w:shd w:val="clear" w:color="auto" w:fill="D9E2F3"/>
            <w:vAlign w:val="center"/>
          </w:tcPr>
          <w:p w14:paraId="2D4852A8" w14:textId="77777777" w:rsidR="001A6F94" w:rsidRPr="001A6F94" w:rsidRDefault="001A6F94" w:rsidP="001A6F94">
            <w:pPr>
              <w:contextualSpacing/>
              <w:jc w:val="right"/>
              <w:rPr>
                <w:rFonts w:cs="Arial"/>
                <w:szCs w:val="24"/>
              </w:rPr>
            </w:pPr>
            <w:r w:rsidRPr="001A6F94">
              <w:rPr>
                <w:rFonts w:cs="Arial"/>
                <w:szCs w:val="24"/>
              </w:rPr>
              <w:t>3.99</w:t>
            </w:r>
          </w:p>
        </w:tc>
        <w:tc>
          <w:tcPr>
            <w:tcW w:w="1417" w:type="dxa"/>
            <w:vAlign w:val="center"/>
          </w:tcPr>
          <w:p w14:paraId="4A97B260" w14:textId="77777777" w:rsidR="001A6F94" w:rsidRPr="001A6F94" w:rsidRDefault="001A6F94" w:rsidP="001A6F94">
            <w:pPr>
              <w:contextualSpacing/>
              <w:jc w:val="right"/>
              <w:rPr>
                <w:rFonts w:cs="Arial"/>
                <w:szCs w:val="24"/>
              </w:rPr>
            </w:pPr>
            <w:r w:rsidRPr="001A6F94">
              <w:rPr>
                <w:rFonts w:cs="Arial"/>
                <w:szCs w:val="24"/>
              </w:rPr>
              <w:t>14.91</w:t>
            </w:r>
          </w:p>
        </w:tc>
        <w:tc>
          <w:tcPr>
            <w:tcW w:w="1276" w:type="dxa"/>
            <w:vAlign w:val="center"/>
          </w:tcPr>
          <w:p w14:paraId="38A2E152" w14:textId="77777777" w:rsidR="001A6F94" w:rsidRPr="001A6F94" w:rsidRDefault="001A6F94" w:rsidP="001A6F94">
            <w:pPr>
              <w:contextualSpacing/>
              <w:jc w:val="right"/>
              <w:rPr>
                <w:rFonts w:cs="Arial"/>
                <w:bCs/>
                <w:szCs w:val="24"/>
              </w:rPr>
            </w:pPr>
            <w:r w:rsidRPr="001A6F94">
              <w:rPr>
                <w:rFonts w:cs="Arial"/>
                <w:bCs/>
                <w:szCs w:val="24"/>
              </w:rPr>
              <w:t>21.16</w:t>
            </w:r>
          </w:p>
        </w:tc>
      </w:tr>
      <w:tr w:rsidR="001A6F94" w:rsidRPr="001A6F94" w14:paraId="5296F0F4" w14:textId="77777777" w:rsidTr="001A6F94">
        <w:trPr>
          <w:trHeight w:val="397"/>
        </w:trPr>
        <w:tc>
          <w:tcPr>
            <w:tcW w:w="3082" w:type="dxa"/>
            <w:tcBorders>
              <w:top w:val="single" w:sz="4" w:space="0" w:color="auto"/>
              <w:bottom w:val="single" w:sz="4" w:space="0" w:color="auto"/>
            </w:tcBorders>
            <w:vAlign w:val="center"/>
          </w:tcPr>
          <w:p w14:paraId="43CC056E" w14:textId="77777777" w:rsidR="001A6F94" w:rsidRPr="001A6F94" w:rsidRDefault="001A6F94" w:rsidP="001A6F94">
            <w:pPr>
              <w:contextualSpacing/>
              <w:rPr>
                <w:rFonts w:cs="Arial"/>
                <w:szCs w:val="24"/>
              </w:rPr>
            </w:pPr>
            <w:r w:rsidRPr="001A6F94">
              <w:rPr>
                <w:rFonts w:cs="Arial"/>
                <w:szCs w:val="24"/>
              </w:rPr>
              <w:t>Grants</w:t>
            </w:r>
          </w:p>
        </w:tc>
        <w:tc>
          <w:tcPr>
            <w:tcW w:w="1562" w:type="dxa"/>
            <w:vAlign w:val="center"/>
          </w:tcPr>
          <w:p w14:paraId="04F92694" w14:textId="77777777" w:rsidR="001A6F94" w:rsidRPr="001A6F94" w:rsidRDefault="001A6F94" w:rsidP="001A6F94">
            <w:pPr>
              <w:contextualSpacing/>
              <w:jc w:val="center"/>
              <w:rPr>
                <w:rFonts w:cs="Arial"/>
                <w:szCs w:val="24"/>
              </w:rPr>
            </w:pPr>
            <w:r w:rsidRPr="001A6F94">
              <w:rPr>
                <w:rFonts w:cs="Arial"/>
                <w:szCs w:val="24"/>
              </w:rPr>
              <w:t xml:space="preserve">             1.36</w:t>
            </w:r>
          </w:p>
        </w:tc>
        <w:tc>
          <w:tcPr>
            <w:tcW w:w="1276" w:type="dxa"/>
            <w:shd w:val="clear" w:color="auto" w:fill="D9E2F3"/>
            <w:vAlign w:val="center"/>
          </w:tcPr>
          <w:p w14:paraId="6549B888" w14:textId="77777777" w:rsidR="001A6F94" w:rsidRPr="001A6F94" w:rsidRDefault="001A6F94" w:rsidP="001A6F94">
            <w:pPr>
              <w:contextualSpacing/>
              <w:jc w:val="right"/>
              <w:rPr>
                <w:rFonts w:cs="Arial"/>
                <w:szCs w:val="24"/>
              </w:rPr>
            </w:pPr>
            <w:r w:rsidRPr="001A6F94">
              <w:rPr>
                <w:rFonts w:cs="Arial"/>
                <w:szCs w:val="24"/>
              </w:rPr>
              <w:t>5.33</w:t>
            </w:r>
          </w:p>
        </w:tc>
        <w:tc>
          <w:tcPr>
            <w:tcW w:w="1417" w:type="dxa"/>
            <w:vAlign w:val="center"/>
          </w:tcPr>
          <w:p w14:paraId="58391F28" w14:textId="77777777" w:rsidR="001A6F94" w:rsidRPr="001A6F94" w:rsidRDefault="001A6F94" w:rsidP="001A6F94">
            <w:pPr>
              <w:contextualSpacing/>
              <w:jc w:val="right"/>
              <w:rPr>
                <w:rFonts w:cs="Arial"/>
                <w:szCs w:val="24"/>
              </w:rPr>
            </w:pPr>
            <w:r w:rsidRPr="001A6F94">
              <w:rPr>
                <w:rFonts w:cs="Arial"/>
                <w:szCs w:val="24"/>
              </w:rPr>
              <w:t>8.75</w:t>
            </w:r>
          </w:p>
        </w:tc>
        <w:tc>
          <w:tcPr>
            <w:tcW w:w="1276" w:type="dxa"/>
            <w:vAlign w:val="center"/>
          </w:tcPr>
          <w:p w14:paraId="226D34FF" w14:textId="77777777" w:rsidR="001A6F94" w:rsidRPr="001A6F94" w:rsidRDefault="001A6F94" w:rsidP="001A6F94">
            <w:pPr>
              <w:contextualSpacing/>
              <w:jc w:val="right"/>
              <w:rPr>
                <w:rFonts w:cs="Arial"/>
                <w:bCs/>
                <w:szCs w:val="24"/>
              </w:rPr>
            </w:pPr>
            <w:r w:rsidRPr="001A6F94">
              <w:rPr>
                <w:rFonts w:cs="Arial"/>
                <w:bCs/>
                <w:szCs w:val="24"/>
              </w:rPr>
              <w:t>14.55</w:t>
            </w:r>
          </w:p>
        </w:tc>
      </w:tr>
      <w:tr w:rsidR="001A6F94" w:rsidRPr="001A6F94" w14:paraId="05C6C0E7" w14:textId="77777777" w:rsidTr="001A6F94">
        <w:trPr>
          <w:trHeight w:val="397"/>
        </w:trPr>
        <w:tc>
          <w:tcPr>
            <w:tcW w:w="3082" w:type="dxa"/>
            <w:tcBorders>
              <w:top w:val="single" w:sz="4" w:space="0" w:color="auto"/>
              <w:bottom w:val="single" w:sz="4" w:space="0" w:color="auto"/>
            </w:tcBorders>
            <w:vAlign w:val="center"/>
          </w:tcPr>
          <w:p w14:paraId="03A6A413" w14:textId="77777777" w:rsidR="001A6F94" w:rsidRPr="001A6F94" w:rsidRDefault="001A6F94" w:rsidP="001A6F94">
            <w:pPr>
              <w:contextualSpacing/>
              <w:rPr>
                <w:rFonts w:cs="Arial"/>
                <w:szCs w:val="24"/>
              </w:rPr>
            </w:pPr>
            <w:r w:rsidRPr="001A6F94">
              <w:rPr>
                <w:rFonts w:cs="Arial"/>
                <w:szCs w:val="24"/>
              </w:rPr>
              <w:t>Capital Receipts</w:t>
            </w:r>
          </w:p>
        </w:tc>
        <w:tc>
          <w:tcPr>
            <w:tcW w:w="1562" w:type="dxa"/>
            <w:vAlign w:val="center"/>
          </w:tcPr>
          <w:p w14:paraId="2AF121CE" w14:textId="77777777" w:rsidR="001A6F94" w:rsidRPr="001A6F94" w:rsidRDefault="001A6F94" w:rsidP="001A6F94">
            <w:pPr>
              <w:contextualSpacing/>
              <w:jc w:val="right"/>
              <w:rPr>
                <w:rFonts w:cs="Arial"/>
                <w:szCs w:val="24"/>
              </w:rPr>
            </w:pPr>
            <w:r w:rsidRPr="001A6F94">
              <w:rPr>
                <w:rFonts w:cs="Arial"/>
                <w:szCs w:val="24"/>
              </w:rPr>
              <w:t xml:space="preserve"> 0.62</w:t>
            </w:r>
          </w:p>
        </w:tc>
        <w:tc>
          <w:tcPr>
            <w:tcW w:w="1276" w:type="dxa"/>
            <w:shd w:val="clear" w:color="auto" w:fill="D9E2F3"/>
            <w:vAlign w:val="center"/>
          </w:tcPr>
          <w:p w14:paraId="7FAA9873" w14:textId="77777777" w:rsidR="001A6F94" w:rsidRPr="001A6F94" w:rsidRDefault="001A6F94" w:rsidP="001A6F94">
            <w:pPr>
              <w:contextualSpacing/>
              <w:jc w:val="right"/>
              <w:rPr>
                <w:rFonts w:cs="Arial"/>
                <w:szCs w:val="24"/>
              </w:rPr>
            </w:pPr>
            <w:r w:rsidRPr="001A6F94">
              <w:rPr>
                <w:rFonts w:cs="Arial"/>
                <w:szCs w:val="24"/>
              </w:rPr>
              <w:t>1.07</w:t>
            </w:r>
          </w:p>
        </w:tc>
        <w:tc>
          <w:tcPr>
            <w:tcW w:w="1417" w:type="dxa"/>
            <w:vAlign w:val="center"/>
          </w:tcPr>
          <w:p w14:paraId="4EA771F5" w14:textId="77777777" w:rsidR="001A6F94" w:rsidRPr="001A6F94" w:rsidRDefault="001A6F94" w:rsidP="001A6F94">
            <w:pPr>
              <w:jc w:val="right"/>
              <w:rPr>
                <w:rFonts w:eastAsia="Times New Roman" w:cs="Arial"/>
                <w:szCs w:val="24"/>
              </w:rPr>
            </w:pPr>
            <w:r w:rsidRPr="001A6F94">
              <w:rPr>
                <w:rFonts w:eastAsia="Times New Roman" w:cs="Arial"/>
                <w:szCs w:val="24"/>
              </w:rPr>
              <w:t>1.95</w:t>
            </w:r>
          </w:p>
        </w:tc>
        <w:tc>
          <w:tcPr>
            <w:tcW w:w="1276" w:type="dxa"/>
            <w:vAlign w:val="center"/>
          </w:tcPr>
          <w:p w14:paraId="08CB995A" w14:textId="77777777" w:rsidR="001A6F94" w:rsidRPr="001A6F94" w:rsidRDefault="001A6F94" w:rsidP="001A6F94">
            <w:pPr>
              <w:contextualSpacing/>
              <w:jc w:val="right"/>
              <w:rPr>
                <w:rFonts w:cs="Arial"/>
                <w:bCs/>
                <w:szCs w:val="24"/>
              </w:rPr>
            </w:pPr>
            <w:r w:rsidRPr="001A6F94">
              <w:rPr>
                <w:rFonts w:cs="Arial"/>
                <w:bCs/>
                <w:szCs w:val="24"/>
              </w:rPr>
              <w:t>0.46</w:t>
            </w:r>
          </w:p>
        </w:tc>
      </w:tr>
      <w:tr w:rsidR="001A6F94" w:rsidRPr="001A6F94" w14:paraId="54AD40BD" w14:textId="77777777" w:rsidTr="001A6F94">
        <w:trPr>
          <w:trHeight w:val="397"/>
        </w:trPr>
        <w:tc>
          <w:tcPr>
            <w:tcW w:w="3082" w:type="dxa"/>
            <w:tcBorders>
              <w:top w:val="single" w:sz="4" w:space="0" w:color="auto"/>
              <w:bottom w:val="single" w:sz="4" w:space="0" w:color="auto"/>
            </w:tcBorders>
            <w:vAlign w:val="center"/>
          </w:tcPr>
          <w:p w14:paraId="34E32207" w14:textId="77777777" w:rsidR="001A6F94" w:rsidRPr="001A6F94" w:rsidRDefault="001A6F94" w:rsidP="001A6F94">
            <w:pPr>
              <w:contextualSpacing/>
              <w:rPr>
                <w:rFonts w:cs="Arial"/>
                <w:szCs w:val="24"/>
              </w:rPr>
            </w:pPr>
            <w:r w:rsidRPr="001A6F94">
              <w:rPr>
                <w:rFonts w:cs="Arial"/>
                <w:szCs w:val="24"/>
              </w:rPr>
              <w:t>Revenue/Reserves</w:t>
            </w:r>
          </w:p>
        </w:tc>
        <w:tc>
          <w:tcPr>
            <w:tcW w:w="1562" w:type="dxa"/>
            <w:vAlign w:val="center"/>
          </w:tcPr>
          <w:p w14:paraId="089D44A8" w14:textId="77777777" w:rsidR="001A6F94" w:rsidRPr="001A6F94" w:rsidRDefault="001A6F94" w:rsidP="001A6F94">
            <w:pPr>
              <w:contextualSpacing/>
              <w:jc w:val="right"/>
              <w:rPr>
                <w:rFonts w:cs="Arial"/>
                <w:szCs w:val="24"/>
              </w:rPr>
            </w:pPr>
            <w:r w:rsidRPr="001A6F94">
              <w:rPr>
                <w:rFonts w:cs="Arial"/>
                <w:szCs w:val="24"/>
              </w:rPr>
              <w:t xml:space="preserve"> 0.33</w:t>
            </w:r>
          </w:p>
        </w:tc>
        <w:tc>
          <w:tcPr>
            <w:tcW w:w="1276" w:type="dxa"/>
            <w:shd w:val="clear" w:color="auto" w:fill="D9E2F3"/>
            <w:vAlign w:val="center"/>
          </w:tcPr>
          <w:p w14:paraId="145F99E8" w14:textId="77777777" w:rsidR="001A6F94" w:rsidRPr="001A6F94" w:rsidRDefault="001A6F94" w:rsidP="001A6F94">
            <w:pPr>
              <w:contextualSpacing/>
              <w:jc w:val="right"/>
              <w:rPr>
                <w:rFonts w:cs="Arial"/>
                <w:szCs w:val="24"/>
              </w:rPr>
            </w:pPr>
            <w:r w:rsidRPr="001A6F94">
              <w:rPr>
                <w:rFonts w:cs="Arial"/>
                <w:szCs w:val="24"/>
              </w:rPr>
              <w:t>0.02</w:t>
            </w:r>
          </w:p>
        </w:tc>
        <w:tc>
          <w:tcPr>
            <w:tcW w:w="1417" w:type="dxa"/>
            <w:vAlign w:val="center"/>
          </w:tcPr>
          <w:p w14:paraId="32A00797" w14:textId="77777777" w:rsidR="001A6F94" w:rsidRPr="001A6F94" w:rsidRDefault="001A6F94" w:rsidP="001A6F94">
            <w:pPr>
              <w:jc w:val="right"/>
              <w:rPr>
                <w:rFonts w:eastAsia="Times New Roman" w:cs="Arial"/>
                <w:szCs w:val="24"/>
              </w:rPr>
            </w:pPr>
            <w:r w:rsidRPr="001A6F94">
              <w:rPr>
                <w:rFonts w:eastAsia="Times New Roman" w:cs="Arial"/>
                <w:szCs w:val="24"/>
              </w:rPr>
              <w:t>0.65</w:t>
            </w:r>
          </w:p>
        </w:tc>
        <w:tc>
          <w:tcPr>
            <w:tcW w:w="1276" w:type="dxa"/>
            <w:vAlign w:val="center"/>
          </w:tcPr>
          <w:p w14:paraId="404FE912" w14:textId="77777777" w:rsidR="001A6F94" w:rsidRPr="001A6F94" w:rsidRDefault="001A6F94" w:rsidP="001A6F94">
            <w:pPr>
              <w:contextualSpacing/>
              <w:jc w:val="right"/>
              <w:rPr>
                <w:rFonts w:cs="Arial"/>
                <w:bCs/>
                <w:szCs w:val="24"/>
              </w:rPr>
            </w:pPr>
            <w:r w:rsidRPr="001A6F94">
              <w:rPr>
                <w:rFonts w:cs="Arial"/>
                <w:bCs/>
                <w:szCs w:val="24"/>
              </w:rPr>
              <w:t>0.10</w:t>
            </w:r>
          </w:p>
        </w:tc>
      </w:tr>
    </w:tbl>
    <w:p w14:paraId="15996D67" w14:textId="77777777" w:rsidR="001A6F94" w:rsidRPr="001A6F94" w:rsidRDefault="001A6F94" w:rsidP="001A6F94">
      <w:pPr>
        <w:tabs>
          <w:tab w:val="center" w:pos="4513"/>
          <w:tab w:val="right" w:pos="9026"/>
        </w:tabs>
        <w:rPr>
          <w:rFonts w:eastAsia="Times New Roman" w:cs="Arial"/>
          <w:bCs/>
          <w:szCs w:val="20"/>
        </w:rPr>
      </w:pPr>
    </w:p>
    <w:p w14:paraId="3A06BA9F" w14:textId="77777777" w:rsidR="001A6F94" w:rsidRPr="001A6F94" w:rsidRDefault="001A6F94" w:rsidP="001A6F94">
      <w:pPr>
        <w:tabs>
          <w:tab w:val="center" w:pos="4513"/>
          <w:tab w:val="right" w:pos="9026"/>
        </w:tabs>
        <w:rPr>
          <w:rFonts w:eastAsia="Times New Roman" w:cs="Arial"/>
          <w:b/>
          <w:bCs/>
          <w:szCs w:val="20"/>
        </w:rPr>
      </w:pPr>
      <w:r w:rsidRPr="001A6F94">
        <w:rPr>
          <w:rFonts w:eastAsia="Times New Roman" w:cs="Arial"/>
          <w:b/>
          <w:bCs/>
          <w:szCs w:val="20"/>
        </w:rPr>
        <w:t>1.2 Capital – Capital Financing Requirement and External Borrowings</w:t>
      </w:r>
    </w:p>
    <w:p w14:paraId="2F323410" w14:textId="77777777" w:rsidR="001A6F94" w:rsidRPr="001A6F94" w:rsidRDefault="001A6F94" w:rsidP="001A6F94">
      <w:pPr>
        <w:jc w:val="both"/>
        <w:rPr>
          <w:rFonts w:eastAsia="Times New Roman" w:cs="Arial"/>
          <w:szCs w:val="24"/>
        </w:rPr>
      </w:pPr>
      <w:r w:rsidRPr="001A6F94">
        <w:rPr>
          <w:rFonts w:eastAsia="Times New Roman" w:cs="Arial"/>
          <w:szCs w:val="24"/>
        </w:rPr>
        <w:t xml:space="preserve">The Council’s cumulative outstanding amount of debt finance was measured by the Capital Financing Requirement (CFR).  This increased with new debt-financed capital expenditure and reduces with MRP (minimum revenue provision).  See section 1.4 for further information on MRP. </w:t>
      </w:r>
    </w:p>
    <w:p w14:paraId="34041C89" w14:textId="77777777" w:rsidR="001A6F94" w:rsidRPr="001A6F94" w:rsidRDefault="001A6F94" w:rsidP="001A6F94">
      <w:pPr>
        <w:jc w:val="both"/>
        <w:rPr>
          <w:rFonts w:eastAsia="Times New Roman" w:cs="Arial"/>
          <w:szCs w:val="24"/>
        </w:rPr>
      </w:pPr>
    </w:p>
    <w:p w14:paraId="1CC77BA1" w14:textId="77777777" w:rsidR="001A6F94" w:rsidRPr="001A6F94" w:rsidRDefault="001A6F94" w:rsidP="00A30315">
      <w:pPr>
        <w:rPr>
          <w:rFonts w:eastAsia="Times New Roman" w:cs="Arial"/>
          <w:szCs w:val="24"/>
        </w:rPr>
      </w:pPr>
      <w:r w:rsidRPr="001A6F94">
        <w:rPr>
          <w:rFonts w:eastAsia="Times New Roman" w:cs="Arial"/>
          <w:szCs w:val="24"/>
        </w:rPr>
        <w:t>Statutory guidance was that debt should remain below the capital financing requirement, except in the short term.  The Council had complied and expected to continue to comply with this requirement in the medium term as shown below.</w:t>
      </w:r>
    </w:p>
    <w:p w14:paraId="2BDE8A62" w14:textId="77777777" w:rsidR="001A6F94" w:rsidRPr="001A6F94" w:rsidRDefault="001A6F94" w:rsidP="001A6F94">
      <w:pPr>
        <w:jc w:val="both"/>
        <w:rPr>
          <w:rFonts w:eastAsia="Times New Roman" w:cs="Arial"/>
          <w:szCs w:val="24"/>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0"/>
        <w:gridCol w:w="1134"/>
        <w:gridCol w:w="1134"/>
        <w:gridCol w:w="1134"/>
        <w:gridCol w:w="1134"/>
      </w:tblGrid>
      <w:tr w:rsidR="001A6F94" w:rsidRPr="001A6F94" w14:paraId="0A41E4E2" w14:textId="77777777" w:rsidTr="00C355D1">
        <w:trPr>
          <w:trHeight w:val="340"/>
        </w:trPr>
        <w:tc>
          <w:tcPr>
            <w:tcW w:w="4570" w:type="dxa"/>
            <w:tcBorders>
              <w:top w:val="nil"/>
              <w:left w:val="nil"/>
              <w:bottom w:val="nil"/>
              <w:right w:val="nil"/>
            </w:tcBorders>
            <w:vAlign w:val="center"/>
          </w:tcPr>
          <w:p w14:paraId="136FA29A" w14:textId="77777777" w:rsidR="001A6F94" w:rsidRPr="001A6F94" w:rsidRDefault="001A6F94" w:rsidP="001A6F94">
            <w:pPr>
              <w:contextualSpacing/>
              <w:rPr>
                <w:rFonts w:cs="Arial"/>
                <w:szCs w:val="24"/>
              </w:rPr>
            </w:pPr>
          </w:p>
        </w:tc>
        <w:tc>
          <w:tcPr>
            <w:tcW w:w="1134" w:type="dxa"/>
            <w:tcBorders>
              <w:top w:val="single" w:sz="4" w:space="0" w:color="auto"/>
              <w:left w:val="single" w:sz="4" w:space="0" w:color="auto"/>
              <w:bottom w:val="single" w:sz="4" w:space="0" w:color="auto"/>
            </w:tcBorders>
            <w:shd w:val="clear" w:color="auto" w:fill="0070C0"/>
            <w:vAlign w:val="center"/>
          </w:tcPr>
          <w:p w14:paraId="3CBDAEFC" w14:textId="77777777" w:rsidR="001A6F94" w:rsidRPr="001A6F94" w:rsidRDefault="001A6F94" w:rsidP="001A6F94">
            <w:pPr>
              <w:contextualSpacing/>
              <w:jc w:val="center"/>
              <w:rPr>
                <w:rFonts w:cs="Arial"/>
                <w:b/>
                <w:color w:val="FFFFFF"/>
                <w:sz w:val="22"/>
              </w:rPr>
            </w:pPr>
            <w:r w:rsidRPr="001A6F94">
              <w:rPr>
                <w:rFonts w:cs="Arial"/>
                <w:b/>
                <w:color w:val="FFFFFF"/>
                <w:sz w:val="22"/>
              </w:rPr>
              <w:t>Actual</w:t>
            </w:r>
          </w:p>
        </w:tc>
        <w:tc>
          <w:tcPr>
            <w:tcW w:w="3402" w:type="dxa"/>
            <w:gridSpan w:val="3"/>
            <w:tcBorders>
              <w:top w:val="single" w:sz="4" w:space="0" w:color="auto"/>
              <w:left w:val="single" w:sz="4" w:space="0" w:color="auto"/>
              <w:bottom w:val="single" w:sz="4" w:space="0" w:color="auto"/>
            </w:tcBorders>
            <w:shd w:val="clear" w:color="auto" w:fill="0070C0"/>
            <w:vAlign w:val="center"/>
          </w:tcPr>
          <w:p w14:paraId="53EEC67F" w14:textId="77777777" w:rsidR="001A6F94" w:rsidRPr="001A6F94" w:rsidRDefault="001A6F94" w:rsidP="001A6F94">
            <w:pPr>
              <w:contextualSpacing/>
              <w:jc w:val="center"/>
              <w:rPr>
                <w:rFonts w:cs="Arial"/>
                <w:b/>
                <w:color w:val="FFFFFF"/>
                <w:sz w:val="22"/>
              </w:rPr>
            </w:pPr>
            <w:r w:rsidRPr="001A6F94">
              <w:rPr>
                <w:rFonts w:cs="Arial"/>
                <w:b/>
                <w:color w:val="FFFFFF"/>
                <w:sz w:val="22"/>
              </w:rPr>
              <w:t>Revised Forecast</w:t>
            </w:r>
          </w:p>
        </w:tc>
      </w:tr>
      <w:tr w:rsidR="001A6F94" w:rsidRPr="001A6F94" w14:paraId="0DBAE2C2" w14:textId="77777777" w:rsidTr="00C355D1">
        <w:trPr>
          <w:trHeight w:val="340"/>
        </w:trPr>
        <w:tc>
          <w:tcPr>
            <w:tcW w:w="4570" w:type="dxa"/>
            <w:tcBorders>
              <w:top w:val="nil"/>
              <w:left w:val="nil"/>
              <w:bottom w:val="nil"/>
              <w:right w:val="single" w:sz="4" w:space="0" w:color="auto"/>
            </w:tcBorders>
            <w:vAlign w:val="center"/>
          </w:tcPr>
          <w:p w14:paraId="1CF6776A" w14:textId="77777777" w:rsidR="001A6F94" w:rsidRPr="001A6F94" w:rsidRDefault="001A6F94" w:rsidP="001A6F94">
            <w:pPr>
              <w:contextualSpacing/>
              <w:rPr>
                <w:rFonts w:cs="Arial"/>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364FD1A9" w14:textId="77777777" w:rsidR="001A6F94" w:rsidRPr="001A6F94" w:rsidRDefault="001A6F94" w:rsidP="001A6F94">
            <w:pPr>
              <w:contextualSpacing/>
              <w:jc w:val="center"/>
              <w:rPr>
                <w:rFonts w:cs="Arial"/>
                <w:b/>
                <w:color w:val="FFFFFF"/>
                <w:sz w:val="22"/>
              </w:rPr>
            </w:pPr>
            <w:r w:rsidRPr="001A6F94">
              <w:rPr>
                <w:rFonts w:cs="Arial"/>
                <w:b/>
                <w:color w:val="FFFFFF"/>
                <w:sz w:val="22"/>
              </w:rPr>
              <w:t>31/03/24</w:t>
            </w:r>
          </w:p>
        </w:tc>
        <w:tc>
          <w:tcPr>
            <w:tcW w:w="1134" w:type="dxa"/>
            <w:tcBorders>
              <w:top w:val="single" w:sz="4" w:space="0" w:color="auto"/>
              <w:left w:val="single" w:sz="4" w:space="0" w:color="auto"/>
            </w:tcBorders>
            <w:shd w:val="clear" w:color="auto" w:fill="0070C0"/>
            <w:vAlign w:val="center"/>
          </w:tcPr>
          <w:p w14:paraId="2F2B040E" w14:textId="77777777" w:rsidR="001A6F94" w:rsidRPr="001A6F94" w:rsidRDefault="001A6F94" w:rsidP="001A6F94">
            <w:pPr>
              <w:contextualSpacing/>
              <w:jc w:val="center"/>
              <w:rPr>
                <w:rFonts w:cs="Arial"/>
                <w:b/>
                <w:color w:val="FFFFFF"/>
                <w:sz w:val="22"/>
              </w:rPr>
            </w:pPr>
            <w:r w:rsidRPr="001A6F94">
              <w:rPr>
                <w:rFonts w:cs="Arial"/>
                <w:b/>
                <w:color w:val="FFFFFF"/>
                <w:sz w:val="22"/>
              </w:rPr>
              <w:t>31/03/25</w:t>
            </w:r>
          </w:p>
        </w:tc>
        <w:tc>
          <w:tcPr>
            <w:tcW w:w="1134" w:type="dxa"/>
            <w:shd w:val="clear" w:color="auto" w:fill="0070C0"/>
            <w:vAlign w:val="center"/>
          </w:tcPr>
          <w:p w14:paraId="204767C0" w14:textId="77777777" w:rsidR="001A6F94" w:rsidRPr="001A6F94" w:rsidRDefault="001A6F94" w:rsidP="001A6F94">
            <w:pPr>
              <w:contextualSpacing/>
              <w:jc w:val="center"/>
              <w:rPr>
                <w:rFonts w:cs="Arial"/>
                <w:b/>
                <w:color w:val="FFFFFF"/>
                <w:sz w:val="22"/>
              </w:rPr>
            </w:pPr>
            <w:r w:rsidRPr="001A6F94">
              <w:rPr>
                <w:rFonts w:cs="Arial"/>
                <w:b/>
                <w:color w:val="FFFFFF"/>
                <w:sz w:val="22"/>
              </w:rPr>
              <w:t>31/03/26</w:t>
            </w:r>
          </w:p>
        </w:tc>
        <w:tc>
          <w:tcPr>
            <w:tcW w:w="1134" w:type="dxa"/>
            <w:shd w:val="clear" w:color="auto" w:fill="0070C0"/>
            <w:vAlign w:val="center"/>
          </w:tcPr>
          <w:p w14:paraId="6E640258" w14:textId="77777777" w:rsidR="001A6F94" w:rsidRPr="001A6F94" w:rsidRDefault="001A6F94" w:rsidP="001A6F94">
            <w:pPr>
              <w:contextualSpacing/>
              <w:jc w:val="center"/>
              <w:rPr>
                <w:rFonts w:cs="Arial"/>
                <w:b/>
                <w:color w:val="FFFFFF"/>
                <w:sz w:val="22"/>
              </w:rPr>
            </w:pPr>
            <w:r w:rsidRPr="001A6F94">
              <w:rPr>
                <w:rFonts w:cs="Arial"/>
                <w:b/>
                <w:color w:val="FFFFFF"/>
                <w:sz w:val="22"/>
              </w:rPr>
              <w:t>31/03/27</w:t>
            </w:r>
          </w:p>
        </w:tc>
      </w:tr>
      <w:tr w:rsidR="001A6F94" w:rsidRPr="001A6F94" w14:paraId="012D5755" w14:textId="77777777" w:rsidTr="00C355D1">
        <w:trPr>
          <w:trHeight w:val="340"/>
        </w:trPr>
        <w:tc>
          <w:tcPr>
            <w:tcW w:w="4570" w:type="dxa"/>
            <w:tcBorders>
              <w:top w:val="nil"/>
              <w:left w:val="single" w:sz="4" w:space="0" w:color="auto"/>
              <w:bottom w:val="single" w:sz="4" w:space="0" w:color="auto"/>
              <w:right w:val="single" w:sz="4" w:space="0" w:color="auto"/>
            </w:tcBorders>
            <w:shd w:val="clear" w:color="auto" w:fill="0070C0"/>
            <w:vAlign w:val="center"/>
          </w:tcPr>
          <w:p w14:paraId="5599D875" w14:textId="77777777" w:rsidR="001A6F94" w:rsidRPr="001A6F94" w:rsidRDefault="001A6F94" w:rsidP="001A6F94">
            <w:pPr>
              <w:contextualSpacing/>
              <w:rPr>
                <w:rFonts w:cs="Arial"/>
                <w:b/>
                <w:color w:val="FFFFFF"/>
                <w:sz w:val="22"/>
              </w:rPr>
            </w:pPr>
            <w:r w:rsidRPr="001A6F94">
              <w:rPr>
                <w:rFonts w:cs="Arial"/>
                <w:b/>
                <w:color w:val="FFFFFF"/>
                <w:sz w:val="22"/>
              </w:rPr>
              <w:t>Table 1.2</w:t>
            </w:r>
          </w:p>
        </w:tc>
        <w:tc>
          <w:tcPr>
            <w:tcW w:w="1134" w:type="dxa"/>
            <w:tcBorders>
              <w:top w:val="single" w:sz="4" w:space="0" w:color="auto"/>
              <w:left w:val="single" w:sz="4" w:space="0" w:color="auto"/>
              <w:right w:val="single" w:sz="4" w:space="0" w:color="auto"/>
            </w:tcBorders>
            <w:shd w:val="clear" w:color="auto" w:fill="0070C0"/>
            <w:vAlign w:val="center"/>
          </w:tcPr>
          <w:p w14:paraId="0A11F240"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134" w:type="dxa"/>
            <w:tcBorders>
              <w:top w:val="single" w:sz="4" w:space="0" w:color="auto"/>
              <w:left w:val="single" w:sz="4" w:space="0" w:color="auto"/>
            </w:tcBorders>
            <w:shd w:val="clear" w:color="auto" w:fill="0070C0"/>
            <w:vAlign w:val="center"/>
          </w:tcPr>
          <w:p w14:paraId="6D872A62"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134" w:type="dxa"/>
            <w:shd w:val="clear" w:color="auto" w:fill="0070C0"/>
            <w:vAlign w:val="center"/>
          </w:tcPr>
          <w:p w14:paraId="7571E716"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c>
          <w:tcPr>
            <w:tcW w:w="1134" w:type="dxa"/>
            <w:shd w:val="clear" w:color="auto" w:fill="0070C0"/>
            <w:vAlign w:val="center"/>
          </w:tcPr>
          <w:p w14:paraId="2DBB3001" w14:textId="77777777" w:rsidR="001A6F94" w:rsidRPr="001A6F94" w:rsidRDefault="001A6F94" w:rsidP="001A6F94">
            <w:pPr>
              <w:contextualSpacing/>
              <w:jc w:val="center"/>
              <w:rPr>
                <w:rFonts w:cs="Arial"/>
                <w:b/>
                <w:color w:val="FFFFFF"/>
                <w:sz w:val="22"/>
              </w:rPr>
            </w:pPr>
            <w:r w:rsidRPr="001A6F94">
              <w:rPr>
                <w:rFonts w:cs="Arial"/>
                <w:b/>
                <w:color w:val="FFFFFF"/>
                <w:sz w:val="22"/>
              </w:rPr>
              <w:t>£M</w:t>
            </w:r>
          </w:p>
        </w:tc>
      </w:tr>
      <w:tr w:rsidR="001A6F94" w:rsidRPr="001A6F94" w14:paraId="4923F911" w14:textId="77777777" w:rsidTr="001A6F94">
        <w:trPr>
          <w:trHeight w:val="397"/>
        </w:trPr>
        <w:tc>
          <w:tcPr>
            <w:tcW w:w="4570" w:type="dxa"/>
            <w:tcBorders>
              <w:top w:val="single" w:sz="4" w:space="0" w:color="auto"/>
              <w:bottom w:val="single" w:sz="4" w:space="0" w:color="auto"/>
            </w:tcBorders>
            <w:vAlign w:val="center"/>
          </w:tcPr>
          <w:p w14:paraId="437BF780" w14:textId="77777777" w:rsidR="001A6F94" w:rsidRPr="001A6F94" w:rsidRDefault="001A6F94" w:rsidP="001A6F94">
            <w:pPr>
              <w:contextualSpacing/>
              <w:rPr>
                <w:rFonts w:cs="Arial"/>
                <w:szCs w:val="24"/>
              </w:rPr>
            </w:pPr>
            <w:r w:rsidRPr="001A6F94">
              <w:rPr>
                <w:rFonts w:cs="Arial"/>
                <w:szCs w:val="24"/>
              </w:rPr>
              <w:t>Capital Financing Requirement (CFR)</w:t>
            </w:r>
          </w:p>
        </w:tc>
        <w:tc>
          <w:tcPr>
            <w:tcW w:w="1134" w:type="dxa"/>
            <w:vAlign w:val="center"/>
          </w:tcPr>
          <w:p w14:paraId="05D2B602" w14:textId="77777777" w:rsidR="001A6F94" w:rsidRPr="001A6F94" w:rsidRDefault="001A6F94" w:rsidP="001A6F94">
            <w:pPr>
              <w:contextualSpacing/>
              <w:jc w:val="right"/>
              <w:rPr>
                <w:rFonts w:cs="Arial"/>
                <w:szCs w:val="24"/>
              </w:rPr>
            </w:pPr>
            <w:r w:rsidRPr="001A6F94">
              <w:rPr>
                <w:rFonts w:cs="Arial"/>
                <w:szCs w:val="24"/>
              </w:rPr>
              <w:t>75.07</w:t>
            </w:r>
          </w:p>
        </w:tc>
        <w:tc>
          <w:tcPr>
            <w:tcW w:w="1134" w:type="dxa"/>
            <w:shd w:val="clear" w:color="auto" w:fill="D9E2F3"/>
            <w:vAlign w:val="center"/>
          </w:tcPr>
          <w:p w14:paraId="7F9D14C2" w14:textId="77777777" w:rsidR="001A6F94" w:rsidRPr="001A6F94" w:rsidRDefault="001A6F94" w:rsidP="001A6F94">
            <w:pPr>
              <w:contextualSpacing/>
              <w:jc w:val="right"/>
              <w:rPr>
                <w:rFonts w:cs="Arial"/>
                <w:color w:val="000000"/>
                <w:szCs w:val="24"/>
              </w:rPr>
            </w:pPr>
            <w:r w:rsidRPr="001A6F94">
              <w:rPr>
                <w:rFonts w:cs="Arial"/>
                <w:color w:val="000000"/>
                <w:szCs w:val="24"/>
              </w:rPr>
              <w:t>76.78</w:t>
            </w:r>
          </w:p>
        </w:tc>
        <w:tc>
          <w:tcPr>
            <w:tcW w:w="1134" w:type="dxa"/>
            <w:vAlign w:val="center"/>
          </w:tcPr>
          <w:p w14:paraId="483252DB" w14:textId="77777777" w:rsidR="001A6F94" w:rsidRPr="001A6F94" w:rsidRDefault="001A6F94" w:rsidP="001A6F94">
            <w:pPr>
              <w:contextualSpacing/>
              <w:jc w:val="right"/>
              <w:rPr>
                <w:rFonts w:cs="Arial"/>
                <w:color w:val="000000"/>
                <w:szCs w:val="24"/>
              </w:rPr>
            </w:pPr>
            <w:r w:rsidRPr="001A6F94">
              <w:rPr>
                <w:rFonts w:cs="Arial"/>
                <w:color w:val="000000"/>
                <w:szCs w:val="24"/>
              </w:rPr>
              <w:t>83.90</w:t>
            </w:r>
          </w:p>
        </w:tc>
        <w:tc>
          <w:tcPr>
            <w:tcW w:w="1134" w:type="dxa"/>
            <w:vAlign w:val="center"/>
          </w:tcPr>
          <w:p w14:paraId="4DA1897A" w14:textId="77777777" w:rsidR="001A6F94" w:rsidRPr="001A6F94" w:rsidRDefault="001A6F94" w:rsidP="001A6F94">
            <w:pPr>
              <w:contextualSpacing/>
              <w:jc w:val="right"/>
              <w:rPr>
                <w:rFonts w:cs="Arial"/>
                <w:bCs/>
                <w:color w:val="000000"/>
                <w:szCs w:val="24"/>
              </w:rPr>
            </w:pPr>
            <w:r w:rsidRPr="001A6F94">
              <w:rPr>
                <w:rFonts w:cs="Arial"/>
                <w:bCs/>
                <w:color w:val="000000"/>
                <w:szCs w:val="24"/>
              </w:rPr>
              <w:t>96.96</w:t>
            </w:r>
          </w:p>
        </w:tc>
      </w:tr>
      <w:tr w:rsidR="001A6F94" w:rsidRPr="001A6F94" w14:paraId="1718BA0F" w14:textId="77777777" w:rsidTr="001A6F94">
        <w:trPr>
          <w:trHeight w:val="397"/>
        </w:trPr>
        <w:tc>
          <w:tcPr>
            <w:tcW w:w="4570" w:type="dxa"/>
            <w:tcBorders>
              <w:top w:val="single" w:sz="4" w:space="0" w:color="auto"/>
              <w:bottom w:val="single" w:sz="4" w:space="0" w:color="auto"/>
            </w:tcBorders>
            <w:vAlign w:val="center"/>
          </w:tcPr>
          <w:p w14:paraId="0416E2A9" w14:textId="77777777" w:rsidR="001A6F94" w:rsidRPr="001A6F94" w:rsidRDefault="001A6F94" w:rsidP="001A6F94">
            <w:pPr>
              <w:contextualSpacing/>
              <w:rPr>
                <w:rFonts w:cs="Arial"/>
                <w:szCs w:val="24"/>
              </w:rPr>
            </w:pPr>
            <w:r w:rsidRPr="001A6F94">
              <w:rPr>
                <w:rFonts w:cs="Arial"/>
                <w:szCs w:val="24"/>
              </w:rPr>
              <w:t>External Gross Borrowing</w:t>
            </w:r>
          </w:p>
        </w:tc>
        <w:tc>
          <w:tcPr>
            <w:tcW w:w="1134" w:type="dxa"/>
            <w:vAlign w:val="center"/>
          </w:tcPr>
          <w:p w14:paraId="7D022CEE" w14:textId="77777777" w:rsidR="001A6F94" w:rsidRPr="001A6F94" w:rsidRDefault="001A6F94" w:rsidP="001A6F94">
            <w:pPr>
              <w:contextualSpacing/>
              <w:jc w:val="right"/>
              <w:rPr>
                <w:rFonts w:cs="Arial"/>
                <w:szCs w:val="24"/>
              </w:rPr>
            </w:pPr>
            <w:r w:rsidRPr="001A6F94">
              <w:rPr>
                <w:rFonts w:cs="Arial"/>
                <w:szCs w:val="24"/>
              </w:rPr>
              <w:t>(59.65)</w:t>
            </w:r>
          </w:p>
        </w:tc>
        <w:tc>
          <w:tcPr>
            <w:tcW w:w="1134" w:type="dxa"/>
            <w:shd w:val="clear" w:color="auto" w:fill="D9E2F3"/>
            <w:vAlign w:val="center"/>
          </w:tcPr>
          <w:p w14:paraId="5782A7DC" w14:textId="77777777" w:rsidR="001A6F94" w:rsidRPr="001A6F94" w:rsidRDefault="001A6F94" w:rsidP="001A6F94">
            <w:pPr>
              <w:contextualSpacing/>
              <w:jc w:val="right"/>
              <w:rPr>
                <w:rFonts w:cs="Arial"/>
                <w:color w:val="000000"/>
                <w:szCs w:val="24"/>
              </w:rPr>
            </w:pPr>
            <w:r w:rsidRPr="001A6F94">
              <w:rPr>
                <w:rFonts w:cs="Arial"/>
                <w:color w:val="000000"/>
                <w:szCs w:val="24"/>
              </w:rPr>
              <w:t>(56.88)</w:t>
            </w:r>
          </w:p>
        </w:tc>
        <w:tc>
          <w:tcPr>
            <w:tcW w:w="1134" w:type="dxa"/>
            <w:vAlign w:val="center"/>
          </w:tcPr>
          <w:p w14:paraId="4A6E976F" w14:textId="77777777" w:rsidR="001A6F94" w:rsidRPr="001A6F94" w:rsidRDefault="001A6F94" w:rsidP="001A6F94">
            <w:pPr>
              <w:contextualSpacing/>
              <w:jc w:val="right"/>
              <w:rPr>
                <w:rFonts w:cs="Arial"/>
                <w:color w:val="000000"/>
                <w:szCs w:val="24"/>
              </w:rPr>
            </w:pPr>
            <w:r w:rsidRPr="001A6F94">
              <w:rPr>
                <w:rFonts w:cs="Arial"/>
                <w:color w:val="000000"/>
                <w:szCs w:val="24"/>
              </w:rPr>
              <w:t xml:space="preserve">  (60.92)</w:t>
            </w:r>
          </w:p>
        </w:tc>
        <w:tc>
          <w:tcPr>
            <w:tcW w:w="1134" w:type="dxa"/>
            <w:vAlign w:val="center"/>
          </w:tcPr>
          <w:p w14:paraId="0FB4687A" w14:textId="77777777" w:rsidR="001A6F94" w:rsidRPr="001A6F94" w:rsidRDefault="001A6F94" w:rsidP="001A6F94">
            <w:pPr>
              <w:contextualSpacing/>
              <w:jc w:val="right"/>
              <w:rPr>
                <w:rFonts w:cs="Arial"/>
                <w:bCs/>
                <w:color w:val="000000"/>
                <w:szCs w:val="24"/>
              </w:rPr>
            </w:pPr>
            <w:r w:rsidRPr="001A6F94">
              <w:rPr>
                <w:rFonts w:cs="Arial"/>
                <w:bCs/>
                <w:color w:val="000000"/>
                <w:szCs w:val="24"/>
              </w:rPr>
              <w:t>(75.43)</w:t>
            </w:r>
          </w:p>
        </w:tc>
      </w:tr>
      <w:tr w:rsidR="001A6F94" w:rsidRPr="001A6F94" w14:paraId="54C65316" w14:textId="77777777" w:rsidTr="001A6F94">
        <w:trPr>
          <w:trHeight w:val="397"/>
        </w:trPr>
        <w:tc>
          <w:tcPr>
            <w:tcW w:w="4570" w:type="dxa"/>
            <w:tcBorders>
              <w:top w:val="single" w:sz="4" w:space="0" w:color="auto"/>
              <w:bottom w:val="single" w:sz="4" w:space="0" w:color="auto"/>
            </w:tcBorders>
            <w:vAlign w:val="center"/>
          </w:tcPr>
          <w:p w14:paraId="2AA68B98" w14:textId="77777777" w:rsidR="001A6F94" w:rsidRPr="001A6F94" w:rsidRDefault="001A6F94" w:rsidP="001A6F94">
            <w:pPr>
              <w:contextualSpacing/>
              <w:rPr>
                <w:rFonts w:cs="Arial"/>
                <w:szCs w:val="24"/>
              </w:rPr>
            </w:pPr>
            <w:r w:rsidRPr="001A6F94">
              <w:rPr>
                <w:rFonts w:cs="Arial"/>
                <w:szCs w:val="24"/>
              </w:rPr>
              <w:t>External Gross Debt (Leases)</w:t>
            </w:r>
          </w:p>
        </w:tc>
        <w:tc>
          <w:tcPr>
            <w:tcW w:w="1134" w:type="dxa"/>
            <w:vAlign w:val="center"/>
          </w:tcPr>
          <w:p w14:paraId="52461E42" w14:textId="77777777" w:rsidR="001A6F94" w:rsidRPr="001A6F94" w:rsidRDefault="001A6F94" w:rsidP="001A6F94">
            <w:pPr>
              <w:contextualSpacing/>
              <w:jc w:val="center"/>
              <w:rPr>
                <w:rFonts w:cs="Arial"/>
                <w:szCs w:val="24"/>
              </w:rPr>
            </w:pPr>
            <w:r w:rsidRPr="001A6F94">
              <w:rPr>
                <w:rFonts w:cs="Arial"/>
                <w:szCs w:val="24"/>
              </w:rPr>
              <w:t>-</w:t>
            </w:r>
          </w:p>
        </w:tc>
        <w:tc>
          <w:tcPr>
            <w:tcW w:w="1134" w:type="dxa"/>
            <w:shd w:val="clear" w:color="auto" w:fill="D9E2F3"/>
            <w:vAlign w:val="center"/>
          </w:tcPr>
          <w:p w14:paraId="6703B439" w14:textId="77777777" w:rsidR="001A6F94" w:rsidRPr="001A6F94" w:rsidRDefault="001A6F94" w:rsidP="001A6F94">
            <w:pPr>
              <w:contextualSpacing/>
              <w:jc w:val="center"/>
              <w:rPr>
                <w:rFonts w:cs="Arial"/>
                <w:color w:val="000000"/>
                <w:szCs w:val="24"/>
              </w:rPr>
            </w:pPr>
            <w:r w:rsidRPr="001A6F94">
              <w:rPr>
                <w:rFonts w:cs="Arial"/>
                <w:color w:val="000000"/>
                <w:szCs w:val="24"/>
              </w:rPr>
              <w:t xml:space="preserve">  (4.14)</w:t>
            </w:r>
          </w:p>
        </w:tc>
        <w:tc>
          <w:tcPr>
            <w:tcW w:w="1134" w:type="dxa"/>
            <w:vAlign w:val="center"/>
          </w:tcPr>
          <w:p w14:paraId="1425DE47" w14:textId="77777777" w:rsidR="001A6F94" w:rsidRPr="001A6F94" w:rsidRDefault="001A6F94" w:rsidP="001A6F94">
            <w:pPr>
              <w:contextualSpacing/>
              <w:jc w:val="center"/>
              <w:rPr>
                <w:rFonts w:cs="Arial"/>
                <w:color w:val="000000"/>
                <w:szCs w:val="24"/>
              </w:rPr>
            </w:pPr>
            <w:r w:rsidRPr="001A6F94">
              <w:rPr>
                <w:rFonts w:cs="Arial"/>
                <w:color w:val="000000"/>
                <w:szCs w:val="24"/>
              </w:rPr>
              <w:t xml:space="preserve">    (3.79) </w:t>
            </w:r>
          </w:p>
        </w:tc>
        <w:tc>
          <w:tcPr>
            <w:tcW w:w="1134" w:type="dxa"/>
            <w:vAlign w:val="center"/>
          </w:tcPr>
          <w:p w14:paraId="0BCD0F08" w14:textId="77777777" w:rsidR="001A6F94" w:rsidRPr="001A6F94" w:rsidRDefault="001A6F94" w:rsidP="001A6F94">
            <w:pPr>
              <w:contextualSpacing/>
              <w:jc w:val="center"/>
              <w:rPr>
                <w:rFonts w:cs="Arial"/>
                <w:color w:val="000000"/>
                <w:szCs w:val="24"/>
              </w:rPr>
            </w:pPr>
            <w:r w:rsidRPr="001A6F94">
              <w:rPr>
                <w:rFonts w:cs="Arial"/>
                <w:color w:val="000000"/>
                <w:szCs w:val="24"/>
              </w:rPr>
              <w:t xml:space="preserve">    (3.46)</w:t>
            </w:r>
          </w:p>
        </w:tc>
      </w:tr>
      <w:tr w:rsidR="001A6F94" w:rsidRPr="001A6F94" w14:paraId="40EC55D7" w14:textId="77777777" w:rsidTr="001A6F94">
        <w:trPr>
          <w:trHeight w:val="397"/>
        </w:trPr>
        <w:tc>
          <w:tcPr>
            <w:tcW w:w="4570" w:type="dxa"/>
            <w:tcBorders>
              <w:top w:val="single" w:sz="4" w:space="0" w:color="auto"/>
              <w:bottom w:val="single" w:sz="4" w:space="0" w:color="auto"/>
            </w:tcBorders>
            <w:shd w:val="clear" w:color="auto" w:fill="D9D9D9"/>
            <w:vAlign w:val="center"/>
          </w:tcPr>
          <w:p w14:paraId="576E6123" w14:textId="77777777" w:rsidR="001A6F94" w:rsidRPr="001A6F94" w:rsidRDefault="001A6F94" w:rsidP="001A6F94">
            <w:pPr>
              <w:contextualSpacing/>
              <w:rPr>
                <w:rFonts w:cs="Arial"/>
                <w:b/>
                <w:bCs/>
                <w:szCs w:val="24"/>
              </w:rPr>
            </w:pPr>
            <w:r w:rsidRPr="001A6F94">
              <w:rPr>
                <w:rFonts w:cs="Arial"/>
                <w:b/>
                <w:bCs/>
                <w:szCs w:val="24"/>
              </w:rPr>
              <w:t>Under/(Over) Borrowing Requirement</w:t>
            </w:r>
          </w:p>
        </w:tc>
        <w:tc>
          <w:tcPr>
            <w:tcW w:w="1134" w:type="dxa"/>
            <w:shd w:val="clear" w:color="auto" w:fill="D9D9D9"/>
            <w:vAlign w:val="center"/>
          </w:tcPr>
          <w:p w14:paraId="40915601" w14:textId="77777777" w:rsidR="001A6F94" w:rsidRPr="001A6F94" w:rsidRDefault="001A6F94" w:rsidP="001A6F94">
            <w:pPr>
              <w:contextualSpacing/>
              <w:jc w:val="right"/>
              <w:rPr>
                <w:rFonts w:cs="Arial"/>
                <w:b/>
                <w:bCs/>
                <w:szCs w:val="24"/>
              </w:rPr>
            </w:pPr>
            <w:r w:rsidRPr="001A6F94">
              <w:rPr>
                <w:rFonts w:cs="Arial"/>
                <w:b/>
                <w:bCs/>
                <w:szCs w:val="24"/>
              </w:rPr>
              <w:t>15.42</w:t>
            </w:r>
          </w:p>
        </w:tc>
        <w:tc>
          <w:tcPr>
            <w:tcW w:w="1134" w:type="dxa"/>
            <w:shd w:val="clear" w:color="auto" w:fill="D9D9D9"/>
            <w:vAlign w:val="center"/>
          </w:tcPr>
          <w:p w14:paraId="229D397C" w14:textId="77777777" w:rsidR="001A6F94" w:rsidRPr="001A6F94" w:rsidRDefault="001A6F94" w:rsidP="001A6F94">
            <w:pPr>
              <w:contextualSpacing/>
              <w:jc w:val="right"/>
              <w:rPr>
                <w:rFonts w:cs="Arial"/>
                <w:b/>
                <w:bCs/>
                <w:color w:val="000000"/>
                <w:szCs w:val="24"/>
              </w:rPr>
            </w:pPr>
            <w:r w:rsidRPr="001A6F94">
              <w:rPr>
                <w:rFonts w:cs="Arial"/>
                <w:b/>
                <w:bCs/>
                <w:color w:val="000000"/>
                <w:szCs w:val="24"/>
              </w:rPr>
              <w:t>15.76</w:t>
            </w:r>
          </w:p>
        </w:tc>
        <w:tc>
          <w:tcPr>
            <w:tcW w:w="1134" w:type="dxa"/>
            <w:shd w:val="clear" w:color="auto" w:fill="D9D9D9"/>
            <w:vAlign w:val="center"/>
          </w:tcPr>
          <w:p w14:paraId="04B30AB7" w14:textId="77777777" w:rsidR="001A6F94" w:rsidRPr="001A6F94" w:rsidRDefault="001A6F94" w:rsidP="001A6F94">
            <w:pPr>
              <w:contextualSpacing/>
              <w:jc w:val="right"/>
              <w:rPr>
                <w:rFonts w:cs="Arial"/>
                <w:b/>
                <w:bCs/>
                <w:color w:val="000000"/>
                <w:szCs w:val="24"/>
              </w:rPr>
            </w:pPr>
            <w:r w:rsidRPr="001A6F94">
              <w:rPr>
                <w:rFonts w:cs="Arial"/>
                <w:b/>
                <w:bCs/>
                <w:color w:val="000000"/>
                <w:szCs w:val="24"/>
              </w:rPr>
              <w:t>19.19</w:t>
            </w:r>
          </w:p>
        </w:tc>
        <w:tc>
          <w:tcPr>
            <w:tcW w:w="1134" w:type="dxa"/>
            <w:shd w:val="clear" w:color="auto" w:fill="D9D9D9"/>
            <w:vAlign w:val="center"/>
          </w:tcPr>
          <w:p w14:paraId="63AEB897" w14:textId="77777777" w:rsidR="001A6F94" w:rsidRPr="001A6F94" w:rsidRDefault="001A6F94" w:rsidP="001A6F94">
            <w:pPr>
              <w:contextualSpacing/>
              <w:jc w:val="right"/>
              <w:rPr>
                <w:rFonts w:cs="Arial"/>
                <w:b/>
                <w:bCs/>
                <w:color w:val="000000"/>
                <w:szCs w:val="24"/>
              </w:rPr>
            </w:pPr>
            <w:r w:rsidRPr="001A6F94">
              <w:rPr>
                <w:rFonts w:cs="Arial"/>
                <w:b/>
                <w:bCs/>
                <w:color w:val="000000"/>
                <w:szCs w:val="24"/>
              </w:rPr>
              <w:t>18.07</w:t>
            </w:r>
          </w:p>
        </w:tc>
      </w:tr>
      <w:tr w:rsidR="001A6F94" w:rsidRPr="001A6F94" w14:paraId="05F9421F" w14:textId="77777777" w:rsidTr="001A6F94">
        <w:trPr>
          <w:trHeight w:val="397"/>
        </w:trPr>
        <w:tc>
          <w:tcPr>
            <w:tcW w:w="4570" w:type="dxa"/>
            <w:tcBorders>
              <w:top w:val="single" w:sz="4" w:space="0" w:color="auto"/>
              <w:bottom w:val="single" w:sz="4" w:space="0" w:color="auto"/>
            </w:tcBorders>
            <w:vAlign w:val="center"/>
          </w:tcPr>
          <w:p w14:paraId="45A602E7" w14:textId="77777777" w:rsidR="001A6F94" w:rsidRPr="001A6F94" w:rsidRDefault="001A6F94" w:rsidP="001A6F94">
            <w:pPr>
              <w:contextualSpacing/>
              <w:rPr>
                <w:rFonts w:cs="Arial"/>
                <w:szCs w:val="24"/>
              </w:rPr>
            </w:pPr>
            <w:r w:rsidRPr="001A6F94">
              <w:rPr>
                <w:rFonts w:cs="Arial"/>
                <w:szCs w:val="24"/>
              </w:rPr>
              <w:t>Gross Borrowing within CFR</w:t>
            </w:r>
          </w:p>
        </w:tc>
        <w:tc>
          <w:tcPr>
            <w:tcW w:w="1134" w:type="dxa"/>
            <w:vAlign w:val="center"/>
          </w:tcPr>
          <w:p w14:paraId="0CCA440B" w14:textId="77777777" w:rsidR="001A6F94" w:rsidRPr="001A6F94" w:rsidRDefault="001A6F94" w:rsidP="001A6F94">
            <w:pPr>
              <w:contextualSpacing/>
              <w:jc w:val="center"/>
              <w:rPr>
                <w:rFonts w:cs="Arial"/>
                <w:szCs w:val="24"/>
              </w:rPr>
            </w:pPr>
            <w:r w:rsidRPr="001A6F94">
              <w:rPr>
                <w:rFonts w:cs="Arial"/>
                <w:szCs w:val="24"/>
              </w:rPr>
              <w:t>Yes</w:t>
            </w:r>
          </w:p>
        </w:tc>
        <w:tc>
          <w:tcPr>
            <w:tcW w:w="1134" w:type="dxa"/>
            <w:shd w:val="clear" w:color="auto" w:fill="D9E2F3"/>
            <w:vAlign w:val="center"/>
          </w:tcPr>
          <w:p w14:paraId="46A11198" w14:textId="77777777" w:rsidR="001A6F94" w:rsidRPr="001A6F94" w:rsidRDefault="001A6F94" w:rsidP="001A6F94">
            <w:pPr>
              <w:contextualSpacing/>
              <w:jc w:val="center"/>
              <w:rPr>
                <w:rFonts w:cs="Arial"/>
                <w:color w:val="000000"/>
                <w:szCs w:val="24"/>
              </w:rPr>
            </w:pPr>
            <w:r w:rsidRPr="001A6F94">
              <w:rPr>
                <w:rFonts w:cs="Arial"/>
                <w:color w:val="000000"/>
                <w:szCs w:val="24"/>
              </w:rPr>
              <w:t>Yes</w:t>
            </w:r>
          </w:p>
        </w:tc>
        <w:tc>
          <w:tcPr>
            <w:tcW w:w="1134" w:type="dxa"/>
            <w:vAlign w:val="center"/>
          </w:tcPr>
          <w:p w14:paraId="2C2CC584" w14:textId="77777777" w:rsidR="001A6F94" w:rsidRPr="001A6F94" w:rsidRDefault="001A6F94" w:rsidP="001A6F94">
            <w:pPr>
              <w:contextualSpacing/>
              <w:jc w:val="center"/>
              <w:rPr>
                <w:rFonts w:cs="Arial"/>
                <w:color w:val="000000"/>
                <w:szCs w:val="24"/>
              </w:rPr>
            </w:pPr>
            <w:r w:rsidRPr="001A6F94">
              <w:rPr>
                <w:rFonts w:cs="Arial"/>
                <w:color w:val="000000"/>
                <w:szCs w:val="24"/>
              </w:rPr>
              <w:t>Yes</w:t>
            </w:r>
          </w:p>
        </w:tc>
        <w:tc>
          <w:tcPr>
            <w:tcW w:w="1134" w:type="dxa"/>
            <w:vAlign w:val="center"/>
          </w:tcPr>
          <w:p w14:paraId="4CA235DD" w14:textId="77777777" w:rsidR="001A6F94" w:rsidRPr="001A6F94" w:rsidRDefault="001A6F94" w:rsidP="001A6F94">
            <w:pPr>
              <w:contextualSpacing/>
              <w:jc w:val="center"/>
              <w:rPr>
                <w:rFonts w:cs="Arial"/>
                <w:bCs/>
                <w:color w:val="000000"/>
                <w:szCs w:val="24"/>
              </w:rPr>
            </w:pPr>
            <w:r w:rsidRPr="001A6F94">
              <w:rPr>
                <w:rFonts w:cs="Arial"/>
                <w:color w:val="000000"/>
                <w:szCs w:val="24"/>
              </w:rPr>
              <w:t>Yes</w:t>
            </w:r>
          </w:p>
        </w:tc>
      </w:tr>
    </w:tbl>
    <w:p w14:paraId="466A42C7" w14:textId="77777777" w:rsidR="001A6F94" w:rsidRPr="001A6F94" w:rsidRDefault="001A6F94" w:rsidP="001A6F94">
      <w:pPr>
        <w:jc w:val="both"/>
        <w:rPr>
          <w:rFonts w:eastAsia="Times New Roman" w:cs="Arial"/>
          <w:szCs w:val="24"/>
        </w:rPr>
      </w:pPr>
    </w:p>
    <w:p w14:paraId="7590A9E0" w14:textId="77777777" w:rsidR="001A6F94" w:rsidRPr="001A6F94" w:rsidRDefault="001A6F94" w:rsidP="00A30315">
      <w:pPr>
        <w:rPr>
          <w:rFonts w:eastAsia="Times New Roman" w:cs="Arial"/>
          <w:szCs w:val="24"/>
        </w:rPr>
      </w:pPr>
      <w:r w:rsidRPr="001A6F94">
        <w:rPr>
          <w:rFonts w:eastAsia="Times New Roman" w:cs="Arial"/>
          <w:bCs/>
          <w:szCs w:val="24"/>
        </w:rPr>
        <w:t xml:space="preserve">The difference between the CFR and the Gross Borrowing figures represented the Council’s underlying need to </w:t>
      </w:r>
      <w:r w:rsidRPr="001A6F94">
        <w:rPr>
          <w:rFonts w:eastAsia="Times New Roman" w:cs="Arial"/>
          <w:bCs/>
          <w:color w:val="000000"/>
          <w:szCs w:val="24"/>
        </w:rPr>
        <w:t xml:space="preserve">borrow (£15.76M 31/03/25 forecast) </w:t>
      </w:r>
      <w:r w:rsidRPr="001A6F94">
        <w:rPr>
          <w:rFonts w:eastAsia="Times New Roman" w:cs="Arial"/>
          <w:bCs/>
          <w:szCs w:val="24"/>
        </w:rPr>
        <w:t>and indicated that historic capital expenditure has been temporarily financed from internal revenue resources.  This had been made possible due to an increase in the Council’s cash reserves in the current and previous years.  The position has been similar for several years now with the Council last taking out long-term borrowings in November 2018.</w:t>
      </w:r>
    </w:p>
    <w:p w14:paraId="49D1F18F" w14:textId="77777777" w:rsidR="001A6F94" w:rsidRPr="001A6F94" w:rsidRDefault="001A6F94" w:rsidP="00A30315">
      <w:pPr>
        <w:rPr>
          <w:rFonts w:ascii="Times New Roman" w:eastAsia="Times New Roman" w:hAnsi="Times New Roman" w:cs="Arial"/>
          <w:bCs/>
          <w:sz w:val="16"/>
          <w:szCs w:val="16"/>
        </w:rPr>
      </w:pPr>
    </w:p>
    <w:p w14:paraId="162CC61B" w14:textId="77777777" w:rsidR="001A6F94" w:rsidRPr="001A6F94" w:rsidRDefault="001A6F94" w:rsidP="00A30315">
      <w:pPr>
        <w:tabs>
          <w:tab w:val="center" w:pos="4513"/>
          <w:tab w:val="right" w:pos="9026"/>
        </w:tabs>
        <w:rPr>
          <w:rFonts w:eastAsia="Times New Roman" w:cs="Arial"/>
          <w:b/>
          <w:bCs/>
          <w:szCs w:val="20"/>
        </w:rPr>
      </w:pPr>
      <w:r w:rsidRPr="001A6F94">
        <w:rPr>
          <w:rFonts w:eastAsia="Times New Roman" w:cs="Arial"/>
          <w:b/>
          <w:bCs/>
          <w:szCs w:val="20"/>
        </w:rPr>
        <w:t>1.3 Capital - Debt and the Authorised Limit and Operational Boundary</w:t>
      </w:r>
    </w:p>
    <w:p w14:paraId="4EB8B467"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The Council is legally obliged to set an affordable borrowing limit each year, known as the ‘Authorised Limit’.  In line with statutory guidance, a lower ‘operational boundary’ was also set as a warning level should debt approach the limit.</w:t>
      </w:r>
    </w:p>
    <w:p w14:paraId="1EEDAEE8" w14:textId="77777777" w:rsidR="001A6F94" w:rsidRPr="001A6F94" w:rsidRDefault="001A6F94" w:rsidP="00A30315">
      <w:pPr>
        <w:tabs>
          <w:tab w:val="center" w:pos="4513"/>
          <w:tab w:val="right" w:pos="9026"/>
        </w:tabs>
        <w:rPr>
          <w:rFonts w:eastAsia="Times New Roman" w:cs="Arial"/>
          <w:bCs/>
          <w:color w:val="000000"/>
          <w:szCs w:val="20"/>
        </w:rPr>
      </w:pPr>
    </w:p>
    <w:p w14:paraId="1F5BCBCE"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color w:val="000000"/>
          <w:szCs w:val="20"/>
        </w:rPr>
        <w:t xml:space="preserve">The revised forecast for external gross borrowing (including leases) at 31 March 2025 was £61M </w:t>
      </w:r>
      <w:r w:rsidRPr="001A6F94">
        <w:rPr>
          <w:rFonts w:eastAsia="Times New Roman" w:cs="Arial"/>
          <w:bCs/>
          <w:szCs w:val="20"/>
        </w:rPr>
        <w:t>(table 1.2).  The Council is therefore forecast to remain well within both the Authorised Limit and the Operational Boundary set for the year as follows:</w:t>
      </w:r>
    </w:p>
    <w:p w14:paraId="1FA6694B" w14:textId="77777777" w:rsidR="001A6F94" w:rsidRPr="001A6F94" w:rsidRDefault="001A6F94" w:rsidP="001A6F94">
      <w:pPr>
        <w:tabs>
          <w:tab w:val="center" w:pos="4513"/>
          <w:tab w:val="right" w:pos="9026"/>
        </w:tabs>
        <w:jc w:val="both"/>
        <w:rPr>
          <w:rFonts w:eastAsia="Times New Roman" w:cs="Arial"/>
          <w:bCs/>
          <w:sz w:val="12"/>
          <w:szCs w:val="8"/>
        </w:rPr>
      </w:pPr>
    </w:p>
    <w:tbl>
      <w:tblPr>
        <w:tblStyle w:val="TableGrid9"/>
        <w:tblpPr w:leftFromText="180" w:rightFromText="180" w:vertAnchor="text" w:horzAnchor="margin" w:tblpX="103" w:tblpY="171"/>
        <w:tblW w:w="6776" w:type="dxa"/>
        <w:tblLook w:val="04A0" w:firstRow="1" w:lastRow="0" w:firstColumn="1" w:lastColumn="0" w:noHBand="0" w:noVBand="1"/>
      </w:tblPr>
      <w:tblGrid>
        <w:gridCol w:w="5217"/>
        <w:gridCol w:w="1559"/>
      </w:tblGrid>
      <w:tr w:rsidR="001A6F94" w:rsidRPr="001A6F94" w14:paraId="4847930C" w14:textId="77777777" w:rsidTr="00C355D1">
        <w:trPr>
          <w:trHeight w:val="416"/>
        </w:trPr>
        <w:tc>
          <w:tcPr>
            <w:tcW w:w="5217" w:type="dxa"/>
            <w:tcBorders>
              <w:bottom w:val="single" w:sz="4" w:space="0" w:color="auto"/>
            </w:tcBorders>
            <w:shd w:val="clear" w:color="auto" w:fill="0070C0"/>
          </w:tcPr>
          <w:p w14:paraId="4E221259" w14:textId="77777777" w:rsidR="001A6F94" w:rsidRPr="001A6F94" w:rsidRDefault="001A6F94" w:rsidP="001A6F94">
            <w:pPr>
              <w:spacing w:before="60" w:after="60"/>
              <w:rPr>
                <w:rFonts w:eastAsia="Times New Roman" w:cs="Arial"/>
                <w:b/>
                <w:bCs/>
                <w:color w:val="FFFFFF"/>
                <w:szCs w:val="24"/>
              </w:rPr>
            </w:pPr>
            <w:r w:rsidRPr="001A6F94">
              <w:rPr>
                <w:rFonts w:eastAsia="Times New Roman" w:cs="Arial"/>
                <w:b/>
                <w:bCs/>
                <w:color w:val="FFFFFF"/>
              </w:rPr>
              <w:t>Table 1.3</w:t>
            </w:r>
          </w:p>
        </w:tc>
        <w:tc>
          <w:tcPr>
            <w:tcW w:w="1559" w:type="dxa"/>
            <w:tcBorders>
              <w:bottom w:val="single" w:sz="4" w:space="0" w:color="auto"/>
            </w:tcBorders>
            <w:shd w:val="clear" w:color="auto" w:fill="0070C0"/>
          </w:tcPr>
          <w:p w14:paraId="0C26D1B4" w14:textId="77777777" w:rsidR="001A6F94" w:rsidRPr="001A6F94" w:rsidRDefault="001A6F94" w:rsidP="001A6F94">
            <w:pPr>
              <w:spacing w:before="60" w:after="60"/>
              <w:jc w:val="center"/>
              <w:rPr>
                <w:rFonts w:eastAsia="Times New Roman" w:cs="Arial"/>
                <w:b/>
                <w:color w:val="FFFFFF"/>
                <w:szCs w:val="24"/>
              </w:rPr>
            </w:pPr>
            <w:r w:rsidRPr="001A6F94">
              <w:rPr>
                <w:rFonts w:eastAsia="Times New Roman" w:cs="Arial"/>
                <w:b/>
                <w:color w:val="FFFFFF"/>
              </w:rPr>
              <w:t>2024/25</w:t>
            </w:r>
            <w:r w:rsidRPr="001A6F94">
              <w:rPr>
                <w:rFonts w:eastAsia="Times New Roman" w:cs="Arial"/>
                <w:b/>
                <w:color w:val="FFFFFF"/>
                <w:szCs w:val="24"/>
              </w:rPr>
              <w:t xml:space="preserve"> </w:t>
            </w:r>
          </w:p>
        </w:tc>
      </w:tr>
      <w:tr w:rsidR="001A6F94" w:rsidRPr="001A6F94" w14:paraId="3DA22AA2" w14:textId="77777777" w:rsidTr="001A6F94">
        <w:tc>
          <w:tcPr>
            <w:tcW w:w="5217" w:type="dxa"/>
            <w:tcBorders>
              <w:top w:val="single" w:sz="4" w:space="0" w:color="auto"/>
              <w:left w:val="single" w:sz="4" w:space="0" w:color="auto"/>
              <w:bottom w:val="single" w:sz="4" w:space="0" w:color="auto"/>
              <w:right w:val="single" w:sz="4" w:space="0" w:color="auto"/>
            </w:tcBorders>
            <w:vAlign w:val="center"/>
          </w:tcPr>
          <w:p w14:paraId="7CE11716" w14:textId="77777777" w:rsidR="001A6F94" w:rsidRPr="001A6F94" w:rsidRDefault="001A6F94" w:rsidP="001A6F94">
            <w:pPr>
              <w:spacing w:before="60" w:after="60"/>
              <w:rPr>
                <w:rFonts w:eastAsia="Times New Roman" w:cs="Arial"/>
                <w:szCs w:val="24"/>
              </w:rPr>
            </w:pPr>
            <w:r w:rsidRPr="001A6F94">
              <w:rPr>
                <w:rFonts w:eastAsia="Times New Roman" w:cs="Arial"/>
                <w:szCs w:val="24"/>
              </w:rPr>
              <w:lastRenderedPageBreak/>
              <w:t>Authorised limit – borrowing</w:t>
            </w:r>
          </w:p>
        </w:tc>
        <w:tc>
          <w:tcPr>
            <w:tcW w:w="1559" w:type="dxa"/>
            <w:tcBorders>
              <w:bottom w:val="single" w:sz="4" w:space="0" w:color="auto"/>
            </w:tcBorders>
            <w:shd w:val="clear" w:color="auto" w:fill="D9E2F3"/>
            <w:vAlign w:val="center"/>
          </w:tcPr>
          <w:p w14:paraId="623F9E20" w14:textId="77777777" w:rsidR="001A6F94" w:rsidRPr="001A6F94" w:rsidRDefault="001A6F94" w:rsidP="001A6F94">
            <w:pPr>
              <w:spacing w:before="60" w:after="60"/>
              <w:jc w:val="right"/>
              <w:rPr>
                <w:rFonts w:eastAsia="Times New Roman" w:cs="Arial"/>
                <w:szCs w:val="24"/>
              </w:rPr>
            </w:pPr>
            <w:r w:rsidRPr="001A6F94">
              <w:rPr>
                <w:rFonts w:eastAsia="Times New Roman" w:cs="Arial"/>
                <w:szCs w:val="24"/>
              </w:rPr>
              <w:t>£ 88.93M</w:t>
            </w:r>
          </w:p>
        </w:tc>
      </w:tr>
      <w:tr w:rsidR="001A6F94" w:rsidRPr="001A6F94" w14:paraId="0663C147" w14:textId="77777777" w:rsidTr="001A6F94">
        <w:tc>
          <w:tcPr>
            <w:tcW w:w="5217" w:type="dxa"/>
            <w:tcBorders>
              <w:top w:val="single" w:sz="4" w:space="0" w:color="auto"/>
              <w:bottom w:val="single" w:sz="4" w:space="0" w:color="auto"/>
            </w:tcBorders>
          </w:tcPr>
          <w:p w14:paraId="114A701B" w14:textId="77777777" w:rsidR="001A6F94" w:rsidRPr="001A6F94" w:rsidRDefault="001A6F94" w:rsidP="001A6F94">
            <w:pPr>
              <w:spacing w:before="60" w:after="60"/>
              <w:rPr>
                <w:rFonts w:eastAsia="Times New Roman" w:cs="Arial"/>
                <w:szCs w:val="24"/>
              </w:rPr>
            </w:pPr>
            <w:r w:rsidRPr="001A6F94">
              <w:rPr>
                <w:rFonts w:eastAsia="Times New Roman" w:cs="Arial"/>
                <w:szCs w:val="24"/>
              </w:rPr>
              <w:t>Operational boundary – borrowing</w:t>
            </w:r>
          </w:p>
        </w:tc>
        <w:tc>
          <w:tcPr>
            <w:tcW w:w="1559" w:type="dxa"/>
            <w:tcBorders>
              <w:bottom w:val="single" w:sz="4" w:space="0" w:color="auto"/>
            </w:tcBorders>
            <w:shd w:val="clear" w:color="auto" w:fill="D9E2F3"/>
            <w:vAlign w:val="center"/>
          </w:tcPr>
          <w:p w14:paraId="6FBB7AD2" w14:textId="77777777" w:rsidR="001A6F94" w:rsidRPr="001A6F94" w:rsidRDefault="001A6F94" w:rsidP="001A6F94">
            <w:pPr>
              <w:spacing w:before="60" w:after="60"/>
              <w:jc w:val="right"/>
              <w:rPr>
                <w:rFonts w:eastAsia="Times New Roman" w:cs="Arial"/>
                <w:szCs w:val="24"/>
              </w:rPr>
            </w:pPr>
            <w:r w:rsidRPr="001A6F94">
              <w:rPr>
                <w:rFonts w:eastAsia="Times New Roman" w:cs="Arial"/>
                <w:szCs w:val="24"/>
              </w:rPr>
              <w:t>£ 83.93M</w:t>
            </w:r>
          </w:p>
        </w:tc>
      </w:tr>
    </w:tbl>
    <w:p w14:paraId="3BFA855A" w14:textId="77777777" w:rsidR="001A6F94" w:rsidRPr="001A6F94" w:rsidRDefault="001A6F94" w:rsidP="001A6F94">
      <w:pPr>
        <w:tabs>
          <w:tab w:val="center" w:pos="4513"/>
          <w:tab w:val="right" w:pos="9026"/>
        </w:tabs>
        <w:jc w:val="both"/>
        <w:rPr>
          <w:rFonts w:eastAsia="Times New Roman" w:cs="Arial"/>
          <w:bCs/>
          <w:szCs w:val="20"/>
        </w:rPr>
      </w:pPr>
    </w:p>
    <w:p w14:paraId="14DAAF41" w14:textId="77777777" w:rsidR="001A6F94" w:rsidRPr="001A6F94" w:rsidRDefault="001A6F94" w:rsidP="001A6F94">
      <w:pPr>
        <w:tabs>
          <w:tab w:val="center" w:pos="4513"/>
          <w:tab w:val="right" w:pos="9026"/>
        </w:tabs>
        <w:jc w:val="both"/>
        <w:rPr>
          <w:rFonts w:eastAsia="Times New Roman" w:cs="Arial"/>
          <w:bCs/>
          <w:szCs w:val="20"/>
        </w:rPr>
      </w:pPr>
    </w:p>
    <w:p w14:paraId="2482171F" w14:textId="77777777" w:rsidR="001A6F94" w:rsidRPr="001A6F94" w:rsidRDefault="001A6F94" w:rsidP="001A6F94">
      <w:pPr>
        <w:tabs>
          <w:tab w:val="center" w:pos="4513"/>
          <w:tab w:val="right" w:pos="9026"/>
        </w:tabs>
        <w:jc w:val="both"/>
        <w:rPr>
          <w:rFonts w:eastAsia="Times New Roman" w:cs="Arial"/>
          <w:bCs/>
          <w:szCs w:val="20"/>
        </w:rPr>
      </w:pPr>
    </w:p>
    <w:p w14:paraId="2DBDD72E" w14:textId="77777777" w:rsidR="001A6F94" w:rsidRPr="001A6F94" w:rsidRDefault="001A6F94" w:rsidP="001A6F94">
      <w:pPr>
        <w:rPr>
          <w:rFonts w:eastAsia="Times New Roman"/>
          <w:szCs w:val="20"/>
        </w:rPr>
      </w:pPr>
    </w:p>
    <w:p w14:paraId="66F4CE29" w14:textId="77777777" w:rsidR="001A6F94" w:rsidRPr="001A6F94" w:rsidRDefault="001A6F94" w:rsidP="001A6F94">
      <w:pPr>
        <w:tabs>
          <w:tab w:val="center" w:pos="4513"/>
          <w:tab w:val="right" w:pos="9026"/>
        </w:tabs>
        <w:rPr>
          <w:rFonts w:eastAsia="Times New Roman" w:cs="Arial"/>
          <w:b/>
          <w:bCs/>
          <w:szCs w:val="20"/>
        </w:rPr>
      </w:pPr>
    </w:p>
    <w:p w14:paraId="5895DB8D" w14:textId="77777777" w:rsidR="001A6F94" w:rsidRPr="001A6F94" w:rsidRDefault="001A6F94" w:rsidP="001A6F94">
      <w:pPr>
        <w:tabs>
          <w:tab w:val="center" w:pos="4513"/>
          <w:tab w:val="right" w:pos="9026"/>
        </w:tabs>
        <w:rPr>
          <w:rFonts w:eastAsia="Times New Roman" w:cs="Arial"/>
          <w:b/>
          <w:bCs/>
          <w:szCs w:val="24"/>
        </w:rPr>
      </w:pPr>
    </w:p>
    <w:p w14:paraId="08149634" w14:textId="77777777" w:rsidR="001A6F94" w:rsidRPr="001A6F94" w:rsidRDefault="001A6F94" w:rsidP="001A6F94">
      <w:pPr>
        <w:tabs>
          <w:tab w:val="center" w:pos="4513"/>
          <w:tab w:val="right" w:pos="9026"/>
        </w:tabs>
        <w:rPr>
          <w:rFonts w:eastAsia="Times New Roman" w:cs="Arial"/>
          <w:b/>
          <w:bCs/>
          <w:szCs w:val="20"/>
        </w:rPr>
      </w:pPr>
      <w:r w:rsidRPr="001A6F94">
        <w:rPr>
          <w:rFonts w:eastAsia="Times New Roman" w:cs="Arial"/>
          <w:b/>
          <w:bCs/>
          <w:szCs w:val="20"/>
        </w:rPr>
        <w:t>1.4 Capital - Revenue Budget Implications</w:t>
      </w:r>
    </w:p>
    <w:p w14:paraId="18D30489" w14:textId="77777777" w:rsidR="001A6F94" w:rsidRPr="001A6F94" w:rsidRDefault="001A6F94" w:rsidP="00A30315">
      <w:pPr>
        <w:spacing w:after="200"/>
        <w:rPr>
          <w:rFonts w:eastAsia="Times New Roman" w:cs="Arial"/>
          <w:szCs w:val="24"/>
        </w:rPr>
      </w:pPr>
      <w:r w:rsidRPr="001A6F94">
        <w:rPr>
          <w:rFonts w:eastAsia="Times New Roman" w:cs="Arial"/>
          <w:szCs w:val="24"/>
        </w:rPr>
        <w:t>Capital expenditure was not charged directly to the revenue budget. Instead, interest payable on borrowings and MRP (minimum revenue provision), together known as capital financing costs, were charged to revenue. These financing costs were compared to the net revenue stream i.e. the amount funded from District Rates and general government grants, to show the proportion of the net revenue stream which was made up of capital financing costs.</w:t>
      </w:r>
    </w:p>
    <w:tbl>
      <w:tblPr>
        <w:tblStyle w:val="TableGrid9"/>
        <w:tblW w:w="9214" w:type="dxa"/>
        <w:tblInd w:w="-5" w:type="dxa"/>
        <w:tblLook w:val="04A0" w:firstRow="1" w:lastRow="0" w:firstColumn="1" w:lastColumn="0" w:noHBand="0" w:noVBand="1"/>
      </w:tblPr>
      <w:tblGrid>
        <w:gridCol w:w="4395"/>
        <w:gridCol w:w="1098"/>
        <w:gridCol w:w="1217"/>
        <w:gridCol w:w="1217"/>
        <w:gridCol w:w="1287"/>
      </w:tblGrid>
      <w:tr w:rsidR="001A6F94" w:rsidRPr="001A6F94" w14:paraId="78C43E68" w14:textId="77777777" w:rsidTr="00C355D1">
        <w:tc>
          <w:tcPr>
            <w:tcW w:w="4395" w:type="dxa"/>
            <w:shd w:val="clear" w:color="auto" w:fill="0070C0"/>
            <w:vAlign w:val="center"/>
          </w:tcPr>
          <w:p w14:paraId="7261C5B9" w14:textId="77777777" w:rsidR="001A6F94" w:rsidRPr="001A6F94" w:rsidRDefault="001A6F94" w:rsidP="001A6F94">
            <w:pPr>
              <w:spacing w:before="60" w:after="60"/>
              <w:rPr>
                <w:rFonts w:eastAsia="Times New Roman" w:cs="Arial"/>
                <w:b/>
                <w:bCs/>
                <w:color w:val="FFFFFF"/>
                <w:szCs w:val="24"/>
              </w:rPr>
            </w:pPr>
            <w:r w:rsidRPr="001A6F94">
              <w:rPr>
                <w:rFonts w:eastAsia="Times New Roman" w:cs="Arial"/>
                <w:b/>
                <w:bCs/>
                <w:color w:val="FFFFFF"/>
              </w:rPr>
              <w:t>Table 1.4</w:t>
            </w:r>
          </w:p>
        </w:tc>
        <w:tc>
          <w:tcPr>
            <w:tcW w:w="1098" w:type="dxa"/>
            <w:shd w:val="clear" w:color="auto" w:fill="0070C0"/>
            <w:vAlign w:val="center"/>
          </w:tcPr>
          <w:p w14:paraId="2BEB2EC3" w14:textId="77777777" w:rsidR="001A6F94" w:rsidRPr="001A6F94" w:rsidRDefault="001A6F94" w:rsidP="001A6F94">
            <w:pPr>
              <w:tabs>
                <w:tab w:val="left" w:pos="374"/>
                <w:tab w:val="left" w:pos="720"/>
                <w:tab w:val="left" w:pos="748"/>
                <w:tab w:val="left" w:pos="1260"/>
                <w:tab w:val="left" w:pos="1980"/>
                <w:tab w:val="left" w:pos="2520"/>
              </w:tabs>
              <w:jc w:val="center"/>
              <w:rPr>
                <w:rFonts w:eastAsia="Times New Roman" w:cs="Arial"/>
                <w:b/>
                <w:color w:val="FFFFFF"/>
              </w:rPr>
            </w:pPr>
            <w:r w:rsidRPr="001A6F94">
              <w:rPr>
                <w:rFonts w:eastAsia="Times New Roman" w:cs="Arial"/>
                <w:b/>
                <w:bCs/>
                <w:color w:val="FFFFFF"/>
              </w:rPr>
              <w:t xml:space="preserve">2023/24 </w:t>
            </w:r>
            <w:r w:rsidRPr="001A6F94">
              <w:rPr>
                <w:rFonts w:eastAsia="Times New Roman" w:cs="Arial"/>
                <w:b/>
                <w:color w:val="FFFFFF"/>
              </w:rPr>
              <w:t>Actual</w:t>
            </w:r>
          </w:p>
        </w:tc>
        <w:tc>
          <w:tcPr>
            <w:tcW w:w="1217" w:type="dxa"/>
            <w:shd w:val="clear" w:color="auto" w:fill="0070C0"/>
            <w:vAlign w:val="center"/>
          </w:tcPr>
          <w:p w14:paraId="786DBFAF" w14:textId="77777777" w:rsidR="001A6F94" w:rsidRPr="001A6F94" w:rsidRDefault="001A6F94" w:rsidP="001A6F94">
            <w:pPr>
              <w:tabs>
                <w:tab w:val="left" w:pos="374"/>
                <w:tab w:val="left" w:pos="720"/>
                <w:tab w:val="left" w:pos="748"/>
                <w:tab w:val="left" w:pos="1260"/>
                <w:tab w:val="left" w:pos="1980"/>
                <w:tab w:val="left" w:pos="2520"/>
              </w:tabs>
              <w:jc w:val="center"/>
              <w:rPr>
                <w:rFonts w:eastAsia="Times New Roman" w:cs="Arial"/>
                <w:b/>
                <w:color w:val="FFFFFF"/>
              </w:rPr>
            </w:pPr>
            <w:r w:rsidRPr="001A6F94">
              <w:rPr>
                <w:rFonts w:eastAsia="Times New Roman" w:cs="Arial"/>
                <w:b/>
                <w:bCs/>
                <w:color w:val="FFFFFF"/>
              </w:rPr>
              <w:t>2024/25</w:t>
            </w:r>
            <w:r w:rsidRPr="001A6F94">
              <w:rPr>
                <w:rFonts w:eastAsia="Times New Roman" w:cs="Arial"/>
                <w:b/>
                <w:color w:val="FFFFFF"/>
              </w:rPr>
              <w:t xml:space="preserve"> Forecast</w:t>
            </w:r>
          </w:p>
        </w:tc>
        <w:tc>
          <w:tcPr>
            <w:tcW w:w="1217" w:type="dxa"/>
            <w:shd w:val="clear" w:color="auto" w:fill="0070C0"/>
            <w:vAlign w:val="center"/>
          </w:tcPr>
          <w:p w14:paraId="255F9C67" w14:textId="77777777" w:rsidR="001A6F94" w:rsidRPr="001A6F94" w:rsidRDefault="001A6F94" w:rsidP="001A6F94">
            <w:pPr>
              <w:tabs>
                <w:tab w:val="left" w:pos="374"/>
                <w:tab w:val="left" w:pos="720"/>
                <w:tab w:val="left" w:pos="748"/>
                <w:tab w:val="left" w:pos="1260"/>
                <w:tab w:val="left" w:pos="1980"/>
                <w:tab w:val="left" w:pos="2520"/>
              </w:tabs>
              <w:jc w:val="center"/>
              <w:rPr>
                <w:rFonts w:eastAsia="Times New Roman" w:cs="Arial"/>
                <w:b/>
                <w:color w:val="FFFFFF"/>
              </w:rPr>
            </w:pPr>
            <w:r w:rsidRPr="001A6F94">
              <w:rPr>
                <w:rFonts w:eastAsia="Times New Roman" w:cs="Arial"/>
                <w:b/>
                <w:bCs/>
                <w:color w:val="FFFFFF"/>
              </w:rPr>
              <w:t>2025/26</w:t>
            </w:r>
            <w:r w:rsidRPr="001A6F94">
              <w:rPr>
                <w:rFonts w:eastAsia="Times New Roman" w:cs="Arial"/>
                <w:b/>
                <w:color w:val="FFFFFF"/>
              </w:rPr>
              <w:t xml:space="preserve"> Forecast</w:t>
            </w:r>
          </w:p>
        </w:tc>
        <w:tc>
          <w:tcPr>
            <w:tcW w:w="1287" w:type="dxa"/>
            <w:shd w:val="clear" w:color="auto" w:fill="0070C0"/>
            <w:vAlign w:val="center"/>
          </w:tcPr>
          <w:p w14:paraId="5FFFF0C2" w14:textId="77777777" w:rsidR="001A6F94" w:rsidRPr="001A6F94" w:rsidRDefault="001A6F94" w:rsidP="001A6F94">
            <w:pPr>
              <w:tabs>
                <w:tab w:val="left" w:pos="374"/>
                <w:tab w:val="left" w:pos="720"/>
                <w:tab w:val="left" w:pos="748"/>
                <w:tab w:val="left" w:pos="1260"/>
                <w:tab w:val="left" w:pos="1980"/>
                <w:tab w:val="left" w:pos="2520"/>
              </w:tabs>
              <w:jc w:val="center"/>
              <w:rPr>
                <w:rFonts w:eastAsia="Times New Roman" w:cs="Arial"/>
                <w:b/>
                <w:color w:val="FFFFFF"/>
              </w:rPr>
            </w:pPr>
            <w:r w:rsidRPr="001A6F94">
              <w:rPr>
                <w:rFonts w:eastAsia="Times New Roman" w:cs="Arial"/>
                <w:b/>
                <w:bCs/>
                <w:color w:val="FFFFFF"/>
              </w:rPr>
              <w:t>2026/27</w:t>
            </w:r>
            <w:r w:rsidRPr="001A6F94">
              <w:rPr>
                <w:rFonts w:eastAsia="Times New Roman" w:cs="Arial"/>
                <w:b/>
                <w:color w:val="FFFFFF"/>
              </w:rPr>
              <w:t xml:space="preserve"> Forecast</w:t>
            </w:r>
          </w:p>
        </w:tc>
      </w:tr>
      <w:tr w:rsidR="001A6F94" w:rsidRPr="001A6F94" w14:paraId="5892F9CD" w14:textId="77777777" w:rsidTr="001A6F94">
        <w:trPr>
          <w:trHeight w:val="425"/>
        </w:trPr>
        <w:tc>
          <w:tcPr>
            <w:tcW w:w="4395" w:type="dxa"/>
            <w:vAlign w:val="center"/>
          </w:tcPr>
          <w:p w14:paraId="1B9B0642" w14:textId="77777777" w:rsidR="001A6F94" w:rsidRPr="001A6F94" w:rsidRDefault="001A6F94" w:rsidP="001A6F94">
            <w:pPr>
              <w:spacing w:before="60" w:after="60"/>
              <w:rPr>
                <w:rFonts w:eastAsia="Times New Roman" w:cs="Arial"/>
                <w:szCs w:val="24"/>
              </w:rPr>
            </w:pPr>
            <w:r w:rsidRPr="001A6F94">
              <w:rPr>
                <w:rFonts w:eastAsia="Times New Roman" w:cs="Arial"/>
                <w:szCs w:val="24"/>
              </w:rPr>
              <w:t>Financing costs (£m)</w:t>
            </w:r>
          </w:p>
        </w:tc>
        <w:tc>
          <w:tcPr>
            <w:tcW w:w="1098" w:type="dxa"/>
            <w:vAlign w:val="center"/>
          </w:tcPr>
          <w:p w14:paraId="254BC9CD" w14:textId="77777777" w:rsidR="001A6F94" w:rsidRPr="001A6F94" w:rsidRDefault="001A6F94" w:rsidP="001A6F94">
            <w:pPr>
              <w:spacing w:before="60" w:after="60"/>
              <w:jc w:val="center"/>
              <w:rPr>
                <w:rFonts w:eastAsia="Times New Roman" w:cs="Arial"/>
                <w:szCs w:val="24"/>
              </w:rPr>
            </w:pPr>
            <w:r w:rsidRPr="001A6F94">
              <w:rPr>
                <w:rFonts w:eastAsia="Times New Roman" w:cs="Arial"/>
                <w:szCs w:val="24"/>
              </w:rPr>
              <w:t>£7.9M</w:t>
            </w:r>
          </w:p>
        </w:tc>
        <w:tc>
          <w:tcPr>
            <w:tcW w:w="1217" w:type="dxa"/>
            <w:shd w:val="clear" w:color="auto" w:fill="D9E2F3"/>
            <w:vAlign w:val="center"/>
          </w:tcPr>
          <w:p w14:paraId="67897D4F" w14:textId="77777777" w:rsidR="001A6F94" w:rsidRPr="001A6F94" w:rsidRDefault="001A6F94" w:rsidP="001A6F94">
            <w:pPr>
              <w:spacing w:before="60" w:after="60"/>
              <w:jc w:val="center"/>
              <w:rPr>
                <w:rFonts w:eastAsia="Times New Roman" w:cs="Arial"/>
                <w:color w:val="000000"/>
                <w:szCs w:val="24"/>
              </w:rPr>
            </w:pPr>
            <w:r w:rsidRPr="001A6F94">
              <w:rPr>
                <w:rFonts w:eastAsia="Times New Roman" w:cs="Arial"/>
                <w:color w:val="000000"/>
                <w:szCs w:val="24"/>
              </w:rPr>
              <w:t>£9.06M</w:t>
            </w:r>
          </w:p>
        </w:tc>
        <w:tc>
          <w:tcPr>
            <w:tcW w:w="1217" w:type="dxa"/>
            <w:vAlign w:val="center"/>
          </w:tcPr>
          <w:p w14:paraId="2099369D" w14:textId="77777777" w:rsidR="001A6F94" w:rsidRPr="001A6F94" w:rsidRDefault="001A6F94" w:rsidP="001A6F94">
            <w:pPr>
              <w:spacing w:before="60" w:after="60"/>
              <w:jc w:val="center"/>
              <w:rPr>
                <w:rFonts w:eastAsia="Times New Roman" w:cs="Arial"/>
                <w:color w:val="000000"/>
                <w:szCs w:val="24"/>
              </w:rPr>
            </w:pPr>
            <w:r w:rsidRPr="001A6F94">
              <w:rPr>
                <w:rFonts w:eastAsia="Times New Roman" w:cs="Arial"/>
                <w:color w:val="000000"/>
                <w:szCs w:val="24"/>
              </w:rPr>
              <w:t>£10.11M</w:t>
            </w:r>
          </w:p>
        </w:tc>
        <w:tc>
          <w:tcPr>
            <w:tcW w:w="1287" w:type="dxa"/>
            <w:vAlign w:val="center"/>
          </w:tcPr>
          <w:p w14:paraId="30D0E2A1" w14:textId="77777777" w:rsidR="001A6F94" w:rsidRPr="001A6F94" w:rsidRDefault="001A6F94" w:rsidP="001A6F94">
            <w:pPr>
              <w:spacing w:before="60" w:after="60"/>
              <w:jc w:val="center"/>
              <w:rPr>
                <w:rFonts w:eastAsia="Times New Roman" w:cs="Arial"/>
                <w:color w:val="000000"/>
                <w:szCs w:val="24"/>
              </w:rPr>
            </w:pPr>
            <w:r w:rsidRPr="001A6F94">
              <w:rPr>
                <w:rFonts w:eastAsia="Times New Roman" w:cs="Arial"/>
                <w:color w:val="000000"/>
                <w:szCs w:val="24"/>
              </w:rPr>
              <w:t>£11.08M</w:t>
            </w:r>
          </w:p>
        </w:tc>
      </w:tr>
      <w:tr w:rsidR="001A6F94" w:rsidRPr="001A6F94" w14:paraId="1FA68DC6" w14:textId="77777777" w:rsidTr="001A6F94">
        <w:trPr>
          <w:trHeight w:val="425"/>
        </w:trPr>
        <w:tc>
          <w:tcPr>
            <w:tcW w:w="4395" w:type="dxa"/>
            <w:vAlign w:val="center"/>
          </w:tcPr>
          <w:p w14:paraId="198619F9" w14:textId="77777777" w:rsidR="001A6F94" w:rsidRPr="001A6F94" w:rsidRDefault="001A6F94" w:rsidP="001A6F94">
            <w:pPr>
              <w:spacing w:before="60" w:after="60"/>
              <w:rPr>
                <w:rFonts w:eastAsia="Times New Roman" w:cs="Arial"/>
                <w:szCs w:val="24"/>
              </w:rPr>
            </w:pPr>
            <w:r w:rsidRPr="001A6F94">
              <w:rPr>
                <w:rFonts w:eastAsia="Times New Roman" w:cs="Arial"/>
                <w:szCs w:val="24"/>
              </w:rPr>
              <w:t>Proportion of net revenue stream (%)</w:t>
            </w:r>
          </w:p>
        </w:tc>
        <w:tc>
          <w:tcPr>
            <w:tcW w:w="1098" w:type="dxa"/>
            <w:vAlign w:val="center"/>
          </w:tcPr>
          <w:p w14:paraId="489F1988" w14:textId="77777777" w:rsidR="001A6F94" w:rsidRPr="001A6F94" w:rsidRDefault="001A6F94" w:rsidP="001A6F94">
            <w:pPr>
              <w:spacing w:before="60" w:after="60"/>
              <w:jc w:val="center"/>
              <w:rPr>
                <w:rFonts w:eastAsia="Times New Roman" w:cs="Arial"/>
                <w:szCs w:val="24"/>
              </w:rPr>
            </w:pPr>
            <w:r w:rsidRPr="001A6F94">
              <w:rPr>
                <w:rFonts w:eastAsia="Times New Roman" w:cs="Arial"/>
                <w:szCs w:val="24"/>
              </w:rPr>
              <w:t>12.7%</w:t>
            </w:r>
          </w:p>
        </w:tc>
        <w:tc>
          <w:tcPr>
            <w:tcW w:w="1217" w:type="dxa"/>
            <w:shd w:val="clear" w:color="auto" w:fill="D9E2F3"/>
            <w:vAlign w:val="center"/>
          </w:tcPr>
          <w:p w14:paraId="1AA35977" w14:textId="77777777" w:rsidR="001A6F94" w:rsidRPr="001A6F94" w:rsidRDefault="001A6F94" w:rsidP="001A6F94">
            <w:pPr>
              <w:spacing w:before="60" w:after="60"/>
              <w:jc w:val="center"/>
              <w:rPr>
                <w:rFonts w:eastAsia="Times New Roman" w:cs="Arial"/>
                <w:color w:val="000000"/>
                <w:szCs w:val="24"/>
              </w:rPr>
            </w:pPr>
            <w:r w:rsidRPr="001A6F94">
              <w:rPr>
                <w:rFonts w:eastAsia="Times New Roman" w:cs="Arial"/>
                <w:color w:val="000000"/>
                <w:szCs w:val="24"/>
              </w:rPr>
              <w:t>13.7%</w:t>
            </w:r>
          </w:p>
        </w:tc>
        <w:tc>
          <w:tcPr>
            <w:tcW w:w="1217" w:type="dxa"/>
            <w:vAlign w:val="center"/>
          </w:tcPr>
          <w:p w14:paraId="07ABE2A8" w14:textId="77777777" w:rsidR="001A6F94" w:rsidRPr="001A6F94" w:rsidRDefault="001A6F94" w:rsidP="001A6F94">
            <w:pPr>
              <w:spacing w:before="60" w:after="60"/>
              <w:jc w:val="center"/>
              <w:rPr>
                <w:rFonts w:eastAsia="Times New Roman" w:cs="Arial"/>
                <w:color w:val="000000"/>
                <w:szCs w:val="24"/>
              </w:rPr>
            </w:pPr>
            <w:r w:rsidRPr="001A6F94">
              <w:rPr>
                <w:rFonts w:eastAsia="Times New Roman" w:cs="Arial"/>
                <w:color w:val="000000"/>
                <w:szCs w:val="24"/>
              </w:rPr>
              <w:t>14.7%</w:t>
            </w:r>
          </w:p>
        </w:tc>
        <w:tc>
          <w:tcPr>
            <w:tcW w:w="1287" w:type="dxa"/>
            <w:vAlign w:val="center"/>
          </w:tcPr>
          <w:p w14:paraId="6822F1E3" w14:textId="77777777" w:rsidR="001A6F94" w:rsidRPr="001A6F94" w:rsidRDefault="001A6F94" w:rsidP="001A6F94">
            <w:pPr>
              <w:spacing w:before="60" w:after="60"/>
              <w:jc w:val="center"/>
              <w:rPr>
                <w:rFonts w:eastAsia="Times New Roman" w:cs="Arial"/>
                <w:color w:val="000000"/>
                <w:szCs w:val="24"/>
              </w:rPr>
            </w:pPr>
            <w:r w:rsidRPr="001A6F94">
              <w:rPr>
                <w:rFonts w:eastAsia="Times New Roman" w:cs="Arial"/>
                <w:color w:val="000000"/>
                <w:szCs w:val="24"/>
              </w:rPr>
              <w:t>15.4%</w:t>
            </w:r>
          </w:p>
        </w:tc>
      </w:tr>
    </w:tbl>
    <w:p w14:paraId="5399A584" w14:textId="77777777" w:rsidR="001A6F94" w:rsidRPr="001A6F94" w:rsidRDefault="001A6F94" w:rsidP="001A6F94">
      <w:pPr>
        <w:tabs>
          <w:tab w:val="center" w:pos="4513"/>
          <w:tab w:val="right" w:pos="9026"/>
        </w:tabs>
        <w:rPr>
          <w:rFonts w:eastAsia="Times New Roman" w:cs="Arial"/>
          <w:b/>
          <w:bCs/>
          <w:sz w:val="16"/>
          <w:szCs w:val="16"/>
        </w:rPr>
      </w:pPr>
    </w:p>
    <w:p w14:paraId="486FA8D2" w14:textId="77777777" w:rsidR="001A6F94" w:rsidRPr="001A6F94" w:rsidRDefault="001A6F94" w:rsidP="001A6F94">
      <w:pPr>
        <w:tabs>
          <w:tab w:val="center" w:pos="4513"/>
          <w:tab w:val="right" w:pos="9026"/>
        </w:tabs>
        <w:rPr>
          <w:rFonts w:eastAsia="Times New Roman" w:cs="Arial"/>
          <w:szCs w:val="20"/>
        </w:rPr>
      </w:pPr>
      <w:r w:rsidRPr="001A6F94">
        <w:rPr>
          <w:rFonts w:eastAsia="Times New Roman" w:cs="Arial"/>
          <w:szCs w:val="20"/>
        </w:rPr>
        <w:t xml:space="preserve">The forecast financing </w:t>
      </w:r>
      <w:r w:rsidRPr="001A6F94">
        <w:rPr>
          <w:rFonts w:eastAsia="Times New Roman" w:cs="Arial"/>
          <w:color w:val="000000"/>
          <w:szCs w:val="20"/>
        </w:rPr>
        <w:t xml:space="preserve">costs for 2024/25 was </w:t>
      </w:r>
      <w:r w:rsidRPr="001A6F94">
        <w:rPr>
          <w:rFonts w:eastAsia="Times New Roman" w:cs="Arial"/>
          <w:szCs w:val="20"/>
        </w:rPr>
        <w:t>in line with the budget set for the year.  The increase in the proportion of financing costs to the net revenue stream was due to the inclusion of ‘right of use’ assets in the financing costs from 1 April 2024 following a change in accounting rules.  These costs were previously treated as operating leases and accounted for as revenue rental charges.</w:t>
      </w:r>
    </w:p>
    <w:p w14:paraId="7EAC6165" w14:textId="77777777" w:rsidR="001A6F94" w:rsidRPr="001A6F94" w:rsidRDefault="001A6F94" w:rsidP="001A6F94">
      <w:pPr>
        <w:tabs>
          <w:tab w:val="center" w:pos="4513"/>
          <w:tab w:val="right" w:pos="9026"/>
        </w:tabs>
        <w:rPr>
          <w:rFonts w:eastAsia="Times New Roman" w:cs="Arial"/>
          <w:szCs w:val="20"/>
        </w:rPr>
      </w:pPr>
      <w:r w:rsidRPr="001A6F94">
        <w:rPr>
          <w:rFonts w:eastAsia="Times New Roman" w:cs="Arial"/>
          <w:szCs w:val="20"/>
        </w:rPr>
        <w:t xml:space="preserve"> </w:t>
      </w:r>
    </w:p>
    <w:p w14:paraId="3621491E" w14:textId="77777777" w:rsidR="001A6F94" w:rsidRPr="001A6F94" w:rsidRDefault="001A6F94" w:rsidP="001A6F94">
      <w:pPr>
        <w:tabs>
          <w:tab w:val="center" w:pos="4513"/>
          <w:tab w:val="right" w:pos="9026"/>
        </w:tabs>
        <w:rPr>
          <w:rFonts w:eastAsia="Times New Roman" w:cs="Arial"/>
          <w:b/>
          <w:bCs/>
          <w:szCs w:val="20"/>
        </w:rPr>
      </w:pPr>
      <w:r w:rsidRPr="001A6F94">
        <w:rPr>
          <w:rFonts w:eastAsia="Times New Roman" w:cs="Arial"/>
          <w:b/>
          <w:bCs/>
          <w:szCs w:val="20"/>
        </w:rPr>
        <w:t>2.1 Treasury Management – Debt Activity</w:t>
      </w:r>
    </w:p>
    <w:p w14:paraId="35FECD41" w14:textId="77777777" w:rsidR="001A6F94" w:rsidRPr="001A6F94" w:rsidRDefault="001A6F94" w:rsidP="001A6F94">
      <w:pPr>
        <w:tabs>
          <w:tab w:val="center" w:pos="4513"/>
          <w:tab w:val="right" w:pos="9026"/>
        </w:tabs>
        <w:jc w:val="both"/>
        <w:rPr>
          <w:rFonts w:eastAsia="Times New Roman" w:cs="Arial"/>
          <w:szCs w:val="24"/>
        </w:rPr>
      </w:pPr>
      <w:r w:rsidRPr="001A6F94">
        <w:rPr>
          <w:rFonts w:eastAsia="Times New Roman" w:cs="Arial"/>
          <w:szCs w:val="24"/>
        </w:rPr>
        <w:t>The following table summarises the position on long-term borrowings as of 31 December 2024.</w:t>
      </w:r>
    </w:p>
    <w:p w14:paraId="0B1509CA" w14:textId="77777777" w:rsidR="001A6F94" w:rsidRPr="001A6F94" w:rsidRDefault="001A6F94" w:rsidP="001A6F94">
      <w:pPr>
        <w:tabs>
          <w:tab w:val="center" w:pos="4513"/>
          <w:tab w:val="right" w:pos="9026"/>
        </w:tabs>
        <w:jc w:val="both"/>
        <w:rPr>
          <w:rFonts w:eastAsia="Times New Roman" w:cs="Arial"/>
          <w:bCs/>
          <w:szCs w:val="20"/>
        </w:rPr>
      </w:pPr>
    </w:p>
    <w:tbl>
      <w:tblPr>
        <w:tblW w:w="90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701"/>
        <w:gridCol w:w="1417"/>
        <w:gridCol w:w="1701"/>
        <w:gridCol w:w="1559"/>
      </w:tblGrid>
      <w:tr w:rsidR="001A6F94" w:rsidRPr="001A6F94" w14:paraId="104D15D5" w14:textId="77777777" w:rsidTr="00C355D1">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tcPr>
          <w:p w14:paraId="41252F53" w14:textId="77777777" w:rsidR="001A6F94" w:rsidRPr="001A6F94" w:rsidRDefault="001A6F94" w:rsidP="001A6F94">
            <w:pPr>
              <w:contextualSpacing/>
              <w:rPr>
                <w:rFonts w:cs="Arial"/>
                <w:b/>
                <w:color w:val="FFFFFF"/>
                <w:szCs w:val="24"/>
              </w:rPr>
            </w:pPr>
            <w:r w:rsidRPr="001A6F94">
              <w:rPr>
                <w:rFonts w:cs="Arial"/>
                <w:b/>
                <w:color w:val="FFFFFF"/>
                <w:sz w:val="22"/>
              </w:rPr>
              <w:t>Table 2.1</w:t>
            </w:r>
          </w:p>
        </w:tc>
        <w:tc>
          <w:tcPr>
            <w:tcW w:w="1701" w:type="dxa"/>
            <w:tcBorders>
              <w:top w:val="nil"/>
              <w:left w:val="single" w:sz="4" w:space="0" w:color="auto"/>
              <w:bottom w:val="single" w:sz="4" w:space="0" w:color="auto"/>
              <w:right w:val="nil"/>
            </w:tcBorders>
            <w:vAlign w:val="center"/>
          </w:tcPr>
          <w:p w14:paraId="4A954BAF" w14:textId="77777777" w:rsidR="001A6F94" w:rsidRPr="001A6F94" w:rsidRDefault="001A6F94" w:rsidP="001A6F94">
            <w:pPr>
              <w:contextualSpacing/>
              <w:rPr>
                <w:rFonts w:cs="Arial"/>
                <w:b/>
                <w:color w:val="FFFFFF"/>
                <w:szCs w:val="24"/>
              </w:rPr>
            </w:pPr>
          </w:p>
        </w:tc>
        <w:tc>
          <w:tcPr>
            <w:tcW w:w="1417" w:type="dxa"/>
            <w:tcBorders>
              <w:top w:val="nil"/>
              <w:left w:val="nil"/>
              <w:bottom w:val="single" w:sz="4" w:space="0" w:color="auto"/>
              <w:right w:val="nil"/>
            </w:tcBorders>
            <w:vAlign w:val="center"/>
          </w:tcPr>
          <w:p w14:paraId="5C854BD1" w14:textId="77777777" w:rsidR="001A6F94" w:rsidRPr="001A6F94" w:rsidRDefault="001A6F94" w:rsidP="001A6F94">
            <w:pPr>
              <w:contextualSpacing/>
              <w:rPr>
                <w:rFonts w:cs="Arial"/>
                <w:b/>
                <w:color w:val="FFFFFF"/>
                <w:szCs w:val="24"/>
              </w:rPr>
            </w:pPr>
          </w:p>
        </w:tc>
        <w:tc>
          <w:tcPr>
            <w:tcW w:w="1701" w:type="dxa"/>
            <w:tcBorders>
              <w:top w:val="nil"/>
              <w:left w:val="nil"/>
              <w:bottom w:val="single" w:sz="4" w:space="0" w:color="auto"/>
              <w:right w:val="nil"/>
            </w:tcBorders>
            <w:vAlign w:val="center"/>
          </w:tcPr>
          <w:p w14:paraId="00BA8991" w14:textId="77777777" w:rsidR="001A6F94" w:rsidRPr="001A6F94" w:rsidRDefault="001A6F94" w:rsidP="001A6F94">
            <w:pPr>
              <w:contextualSpacing/>
              <w:rPr>
                <w:rFonts w:cs="Arial"/>
                <w:b/>
                <w:color w:val="FFFFFF"/>
                <w:szCs w:val="24"/>
              </w:rPr>
            </w:pPr>
          </w:p>
        </w:tc>
        <w:tc>
          <w:tcPr>
            <w:tcW w:w="1559" w:type="dxa"/>
            <w:tcBorders>
              <w:top w:val="nil"/>
              <w:left w:val="nil"/>
              <w:bottom w:val="single" w:sz="4" w:space="0" w:color="auto"/>
              <w:right w:val="nil"/>
            </w:tcBorders>
            <w:vAlign w:val="center"/>
          </w:tcPr>
          <w:p w14:paraId="0F3C1DBA" w14:textId="77777777" w:rsidR="001A6F94" w:rsidRPr="001A6F94" w:rsidRDefault="001A6F94" w:rsidP="001A6F94">
            <w:pPr>
              <w:contextualSpacing/>
              <w:rPr>
                <w:rFonts w:cs="Arial"/>
                <w:b/>
                <w:color w:val="FFFFFF"/>
                <w:szCs w:val="24"/>
              </w:rPr>
            </w:pPr>
          </w:p>
        </w:tc>
      </w:tr>
      <w:tr w:rsidR="001A6F94" w:rsidRPr="001A6F94" w14:paraId="3DE3E8BB" w14:textId="77777777" w:rsidTr="00C355D1">
        <w:tc>
          <w:tcPr>
            <w:tcW w:w="2665" w:type="dxa"/>
            <w:tcBorders>
              <w:top w:val="single" w:sz="4" w:space="0" w:color="auto"/>
              <w:right w:val="single" w:sz="4" w:space="0" w:color="auto"/>
            </w:tcBorders>
            <w:shd w:val="clear" w:color="auto" w:fill="0070C0"/>
            <w:vAlign w:val="center"/>
          </w:tcPr>
          <w:p w14:paraId="784B4043" w14:textId="77777777" w:rsidR="001A6F94" w:rsidRPr="001A6F94" w:rsidRDefault="001A6F94" w:rsidP="001A6F94">
            <w:pPr>
              <w:contextualSpacing/>
              <w:rPr>
                <w:rFonts w:cs="Arial"/>
                <w:b/>
                <w:color w:val="FFFFFF"/>
                <w:sz w:val="22"/>
              </w:rPr>
            </w:pPr>
            <w:r w:rsidRPr="001A6F94">
              <w:rPr>
                <w:rFonts w:cs="Arial"/>
                <w:b/>
                <w:color w:val="FFFFFF"/>
                <w:sz w:val="22"/>
              </w:rPr>
              <w:t>Lender</w:t>
            </w:r>
          </w:p>
        </w:tc>
        <w:tc>
          <w:tcPr>
            <w:tcW w:w="1701" w:type="dxa"/>
            <w:tcBorders>
              <w:top w:val="single" w:sz="4" w:space="0" w:color="auto"/>
              <w:left w:val="single" w:sz="4" w:space="0" w:color="auto"/>
              <w:bottom w:val="single" w:sz="4" w:space="0" w:color="auto"/>
            </w:tcBorders>
            <w:shd w:val="clear" w:color="auto" w:fill="0070C0"/>
            <w:vAlign w:val="center"/>
          </w:tcPr>
          <w:p w14:paraId="79ED5584" w14:textId="77777777" w:rsidR="001A6F94" w:rsidRPr="001A6F94" w:rsidRDefault="001A6F94" w:rsidP="001A6F94">
            <w:pPr>
              <w:contextualSpacing/>
              <w:jc w:val="center"/>
              <w:rPr>
                <w:rFonts w:cs="Arial"/>
                <w:b/>
                <w:color w:val="FFFFFF"/>
                <w:sz w:val="22"/>
              </w:rPr>
            </w:pPr>
            <w:r w:rsidRPr="001A6F94">
              <w:rPr>
                <w:rFonts w:cs="Arial"/>
                <w:b/>
                <w:color w:val="FFFFFF"/>
                <w:sz w:val="22"/>
              </w:rPr>
              <w:t>Balance 01/04/24</w:t>
            </w:r>
          </w:p>
        </w:tc>
        <w:tc>
          <w:tcPr>
            <w:tcW w:w="1417" w:type="dxa"/>
            <w:tcBorders>
              <w:top w:val="single" w:sz="4" w:space="0" w:color="auto"/>
              <w:bottom w:val="single" w:sz="4" w:space="0" w:color="auto"/>
            </w:tcBorders>
            <w:shd w:val="clear" w:color="auto" w:fill="0070C0"/>
            <w:vAlign w:val="center"/>
          </w:tcPr>
          <w:p w14:paraId="20F6A543" w14:textId="77777777" w:rsidR="001A6F94" w:rsidRPr="001A6F94" w:rsidRDefault="001A6F94" w:rsidP="001A6F94">
            <w:pPr>
              <w:contextualSpacing/>
              <w:jc w:val="center"/>
              <w:rPr>
                <w:rFonts w:cs="Arial"/>
                <w:b/>
                <w:color w:val="FFFFFF"/>
                <w:sz w:val="22"/>
              </w:rPr>
            </w:pPr>
            <w:r w:rsidRPr="001A6F94">
              <w:rPr>
                <w:rFonts w:cs="Arial"/>
                <w:b/>
                <w:color w:val="FFFFFF"/>
                <w:sz w:val="22"/>
              </w:rPr>
              <w:t>New Loans</w:t>
            </w:r>
          </w:p>
        </w:tc>
        <w:tc>
          <w:tcPr>
            <w:tcW w:w="1701" w:type="dxa"/>
            <w:tcBorders>
              <w:top w:val="single" w:sz="4" w:space="0" w:color="auto"/>
              <w:bottom w:val="single" w:sz="4" w:space="0" w:color="auto"/>
            </w:tcBorders>
            <w:shd w:val="clear" w:color="auto" w:fill="0070C0"/>
            <w:vAlign w:val="center"/>
          </w:tcPr>
          <w:p w14:paraId="312EBC01" w14:textId="77777777" w:rsidR="001A6F94" w:rsidRPr="001A6F94" w:rsidRDefault="001A6F94" w:rsidP="001A6F94">
            <w:pPr>
              <w:contextualSpacing/>
              <w:jc w:val="center"/>
              <w:rPr>
                <w:rFonts w:cs="Arial"/>
                <w:b/>
                <w:color w:val="FFFFFF"/>
                <w:sz w:val="22"/>
              </w:rPr>
            </w:pPr>
            <w:r w:rsidRPr="001A6F94">
              <w:rPr>
                <w:rFonts w:cs="Arial"/>
                <w:b/>
                <w:color w:val="FFFFFF"/>
                <w:sz w:val="22"/>
              </w:rPr>
              <w:t xml:space="preserve">Repayments </w:t>
            </w:r>
          </w:p>
        </w:tc>
        <w:tc>
          <w:tcPr>
            <w:tcW w:w="1559" w:type="dxa"/>
            <w:tcBorders>
              <w:top w:val="single" w:sz="4" w:space="0" w:color="auto"/>
              <w:bottom w:val="single" w:sz="4" w:space="0" w:color="auto"/>
              <w:right w:val="single" w:sz="4" w:space="0" w:color="auto"/>
            </w:tcBorders>
            <w:shd w:val="clear" w:color="auto" w:fill="0070C0"/>
            <w:vAlign w:val="center"/>
          </w:tcPr>
          <w:p w14:paraId="68EF42D6" w14:textId="77777777" w:rsidR="001A6F94" w:rsidRPr="001A6F94" w:rsidRDefault="001A6F94" w:rsidP="001A6F94">
            <w:pPr>
              <w:contextualSpacing/>
              <w:jc w:val="center"/>
              <w:rPr>
                <w:rFonts w:cs="Arial"/>
                <w:b/>
                <w:color w:val="FFFFFF"/>
                <w:sz w:val="22"/>
              </w:rPr>
            </w:pPr>
            <w:r w:rsidRPr="001A6F94">
              <w:rPr>
                <w:rFonts w:cs="Arial"/>
                <w:b/>
                <w:color w:val="FFFFFF"/>
                <w:sz w:val="22"/>
              </w:rPr>
              <w:t>Balance 31/12/24</w:t>
            </w:r>
          </w:p>
        </w:tc>
      </w:tr>
      <w:tr w:rsidR="001A6F94" w:rsidRPr="001A6F94" w14:paraId="0700C461" w14:textId="77777777" w:rsidTr="00C355D1">
        <w:trPr>
          <w:trHeight w:val="510"/>
        </w:trPr>
        <w:tc>
          <w:tcPr>
            <w:tcW w:w="2665" w:type="dxa"/>
            <w:vAlign w:val="center"/>
          </w:tcPr>
          <w:p w14:paraId="6B64115E" w14:textId="77777777" w:rsidR="001A6F94" w:rsidRPr="001A6F94" w:rsidRDefault="001A6F94" w:rsidP="001A6F94">
            <w:pPr>
              <w:contextualSpacing/>
              <w:rPr>
                <w:rFonts w:cs="Arial"/>
                <w:bCs/>
                <w:szCs w:val="24"/>
              </w:rPr>
            </w:pPr>
            <w:r w:rsidRPr="001A6F94">
              <w:rPr>
                <w:rFonts w:cs="Arial"/>
                <w:bCs/>
                <w:szCs w:val="24"/>
              </w:rPr>
              <w:t>Dept of Finance</w:t>
            </w:r>
          </w:p>
        </w:tc>
        <w:tc>
          <w:tcPr>
            <w:tcW w:w="1701" w:type="dxa"/>
            <w:tcBorders>
              <w:top w:val="single" w:sz="4" w:space="0" w:color="auto"/>
            </w:tcBorders>
            <w:vAlign w:val="center"/>
          </w:tcPr>
          <w:p w14:paraId="78FB2F44" w14:textId="77777777" w:rsidR="001A6F94" w:rsidRPr="001A6F94" w:rsidRDefault="001A6F94" w:rsidP="001A6F94">
            <w:pPr>
              <w:contextualSpacing/>
              <w:jc w:val="center"/>
              <w:rPr>
                <w:rFonts w:cs="Arial"/>
                <w:szCs w:val="24"/>
              </w:rPr>
            </w:pPr>
            <w:r w:rsidRPr="001A6F94">
              <w:rPr>
                <w:rFonts w:cs="Arial"/>
                <w:szCs w:val="24"/>
              </w:rPr>
              <w:t>£ 53.38M</w:t>
            </w:r>
          </w:p>
        </w:tc>
        <w:tc>
          <w:tcPr>
            <w:tcW w:w="1417" w:type="dxa"/>
            <w:tcBorders>
              <w:top w:val="single" w:sz="4" w:space="0" w:color="auto"/>
            </w:tcBorders>
            <w:vAlign w:val="center"/>
          </w:tcPr>
          <w:p w14:paraId="5751481A" w14:textId="77777777" w:rsidR="001A6F94" w:rsidRPr="001A6F94" w:rsidRDefault="001A6F94" w:rsidP="001A6F94">
            <w:pPr>
              <w:contextualSpacing/>
              <w:jc w:val="center"/>
              <w:rPr>
                <w:rFonts w:cs="Arial"/>
                <w:szCs w:val="24"/>
              </w:rPr>
            </w:pPr>
            <w:r w:rsidRPr="001A6F94">
              <w:rPr>
                <w:rFonts w:cs="Arial"/>
                <w:szCs w:val="24"/>
              </w:rPr>
              <w:t>£       -</w:t>
            </w:r>
          </w:p>
        </w:tc>
        <w:tc>
          <w:tcPr>
            <w:tcW w:w="1701" w:type="dxa"/>
            <w:tcBorders>
              <w:top w:val="single" w:sz="4" w:space="0" w:color="auto"/>
            </w:tcBorders>
            <w:vAlign w:val="center"/>
          </w:tcPr>
          <w:p w14:paraId="6447E5C9" w14:textId="77777777" w:rsidR="001A6F94" w:rsidRPr="001A6F94" w:rsidRDefault="001A6F94" w:rsidP="001A6F94">
            <w:pPr>
              <w:contextualSpacing/>
              <w:jc w:val="center"/>
              <w:rPr>
                <w:rFonts w:cs="Arial"/>
                <w:color w:val="000000"/>
                <w:szCs w:val="24"/>
              </w:rPr>
            </w:pPr>
            <w:r w:rsidRPr="001A6F94">
              <w:rPr>
                <w:rFonts w:cs="Arial"/>
                <w:color w:val="000000"/>
                <w:szCs w:val="24"/>
              </w:rPr>
              <w:t>(£ 1.42M)</w:t>
            </w:r>
          </w:p>
        </w:tc>
        <w:tc>
          <w:tcPr>
            <w:tcW w:w="1559" w:type="dxa"/>
            <w:tcBorders>
              <w:top w:val="single" w:sz="4" w:space="0" w:color="auto"/>
            </w:tcBorders>
            <w:vAlign w:val="center"/>
          </w:tcPr>
          <w:p w14:paraId="35472FC7" w14:textId="77777777" w:rsidR="001A6F94" w:rsidRPr="001A6F94" w:rsidRDefault="001A6F94" w:rsidP="001A6F94">
            <w:pPr>
              <w:contextualSpacing/>
              <w:jc w:val="right"/>
              <w:rPr>
                <w:rFonts w:cs="Arial"/>
                <w:color w:val="000000"/>
                <w:szCs w:val="24"/>
              </w:rPr>
            </w:pPr>
            <w:r w:rsidRPr="001A6F94">
              <w:rPr>
                <w:rFonts w:cs="Arial"/>
                <w:color w:val="000000"/>
                <w:szCs w:val="24"/>
              </w:rPr>
              <w:t>£51.96M</w:t>
            </w:r>
          </w:p>
        </w:tc>
      </w:tr>
      <w:tr w:rsidR="001A6F94" w:rsidRPr="001A6F94" w14:paraId="0287DD62" w14:textId="77777777" w:rsidTr="00C355D1">
        <w:trPr>
          <w:trHeight w:val="510"/>
        </w:trPr>
        <w:tc>
          <w:tcPr>
            <w:tcW w:w="2665" w:type="dxa"/>
            <w:vAlign w:val="center"/>
          </w:tcPr>
          <w:p w14:paraId="437A83F9" w14:textId="77777777" w:rsidR="001A6F94" w:rsidRPr="001A6F94" w:rsidRDefault="001A6F94" w:rsidP="001A6F94">
            <w:pPr>
              <w:contextualSpacing/>
              <w:rPr>
                <w:rFonts w:cs="Arial"/>
                <w:bCs/>
                <w:szCs w:val="24"/>
              </w:rPr>
            </w:pPr>
            <w:r w:rsidRPr="001A6F94">
              <w:rPr>
                <w:rFonts w:cs="Arial"/>
                <w:bCs/>
                <w:szCs w:val="24"/>
              </w:rPr>
              <w:t>Banks (LOBOs)</w:t>
            </w:r>
          </w:p>
        </w:tc>
        <w:tc>
          <w:tcPr>
            <w:tcW w:w="1701" w:type="dxa"/>
            <w:vAlign w:val="center"/>
          </w:tcPr>
          <w:p w14:paraId="4E25ACEA" w14:textId="77777777" w:rsidR="001A6F94" w:rsidRPr="001A6F94" w:rsidRDefault="001A6F94" w:rsidP="001A6F94">
            <w:pPr>
              <w:contextualSpacing/>
              <w:jc w:val="center"/>
              <w:rPr>
                <w:rFonts w:cs="Arial"/>
                <w:szCs w:val="24"/>
              </w:rPr>
            </w:pPr>
            <w:r w:rsidRPr="001A6F94">
              <w:rPr>
                <w:rFonts w:cs="Arial"/>
                <w:szCs w:val="24"/>
              </w:rPr>
              <w:t>£   6.27M</w:t>
            </w:r>
          </w:p>
        </w:tc>
        <w:tc>
          <w:tcPr>
            <w:tcW w:w="1417" w:type="dxa"/>
            <w:vAlign w:val="center"/>
          </w:tcPr>
          <w:p w14:paraId="16677576" w14:textId="77777777" w:rsidR="001A6F94" w:rsidRPr="001A6F94" w:rsidRDefault="001A6F94" w:rsidP="001A6F94">
            <w:pPr>
              <w:contextualSpacing/>
              <w:jc w:val="center"/>
              <w:rPr>
                <w:rFonts w:cs="Arial"/>
                <w:szCs w:val="24"/>
              </w:rPr>
            </w:pPr>
            <w:r w:rsidRPr="001A6F94">
              <w:rPr>
                <w:rFonts w:cs="Arial"/>
                <w:szCs w:val="24"/>
              </w:rPr>
              <w:t>£       -</w:t>
            </w:r>
          </w:p>
        </w:tc>
        <w:tc>
          <w:tcPr>
            <w:tcW w:w="1701" w:type="dxa"/>
            <w:vAlign w:val="center"/>
          </w:tcPr>
          <w:p w14:paraId="1A11EB4A" w14:textId="77777777" w:rsidR="001A6F94" w:rsidRPr="001A6F94" w:rsidRDefault="001A6F94" w:rsidP="001A6F94">
            <w:pPr>
              <w:contextualSpacing/>
              <w:jc w:val="center"/>
              <w:rPr>
                <w:rFonts w:cs="Arial"/>
                <w:color w:val="000000"/>
                <w:szCs w:val="24"/>
              </w:rPr>
            </w:pPr>
            <w:r w:rsidRPr="001A6F94">
              <w:rPr>
                <w:rFonts w:cs="Arial"/>
                <w:color w:val="000000"/>
                <w:szCs w:val="24"/>
              </w:rPr>
              <w:t>£       -</w:t>
            </w:r>
          </w:p>
        </w:tc>
        <w:tc>
          <w:tcPr>
            <w:tcW w:w="1559" w:type="dxa"/>
            <w:vAlign w:val="center"/>
          </w:tcPr>
          <w:p w14:paraId="3C7C2AEF" w14:textId="77777777" w:rsidR="001A6F94" w:rsidRPr="001A6F94" w:rsidRDefault="001A6F94" w:rsidP="001A6F94">
            <w:pPr>
              <w:contextualSpacing/>
              <w:jc w:val="right"/>
              <w:rPr>
                <w:rFonts w:cs="Arial"/>
                <w:color w:val="000000"/>
                <w:szCs w:val="24"/>
              </w:rPr>
            </w:pPr>
            <w:r w:rsidRPr="001A6F94">
              <w:rPr>
                <w:rFonts w:cs="Arial"/>
                <w:color w:val="000000"/>
                <w:szCs w:val="24"/>
              </w:rPr>
              <w:t>£   6.27M</w:t>
            </w:r>
          </w:p>
        </w:tc>
      </w:tr>
      <w:tr w:rsidR="001A6F94" w:rsidRPr="001A6F94" w14:paraId="27B61368" w14:textId="77777777" w:rsidTr="001A6F94">
        <w:trPr>
          <w:trHeight w:val="510"/>
        </w:trPr>
        <w:tc>
          <w:tcPr>
            <w:tcW w:w="2665" w:type="dxa"/>
            <w:shd w:val="clear" w:color="auto" w:fill="D9D9D9"/>
            <w:vAlign w:val="center"/>
          </w:tcPr>
          <w:p w14:paraId="3144A1D0" w14:textId="77777777" w:rsidR="001A6F94" w:rsidRPr="001A6F94" w:rsidRDefault="001A6F94" w:rsidP="001A6F94">
            <w:pPr>
              <w:contextualSpacing/>
              <w:rPr>
                <w:rFonts w:cs="Arial"/>
                <w:b/>
                <w:szCs w:val="24"/>
              </w:rPr>
            </w:pPr>
            <w:r w:rsidRPr="001A6F94">
              <w:rPr>
                <w:rFonts w:cs="Arial"/>
                <w:b/>
                <w:szCs w:val="24"/>
              </w:rPr>
              <w:t>Totals</w:t>
            </w:r>
          </w:p>
        </w:tc>
        <w:tc>
          <w:tcPr>
            <w:tcW w:w="1701" w:type="dxa"/>
            <w:shd w:val="clear" w:color="auto" w:fill="D9D9D9"/>
            <w:vAlign w:val="center"/>
          </w:tcPr>
          <w:p w14:paraId="31007EA9" w14:textId="77777777" w:rsidR="001A6F94" w:rsidRPr="001A6F94" w:rsidRDefault="001A6F94" w:rsidP="001A6F94">
            <w:pPr>
              <w:contextualSpacing/>
              <w:jc w:val="center"/>
              <w:rPr>
                <w:rFonts w:cs="Arial"/>
                <w:b/>
                <w:bCs/>
                <w:szCs w:val="24"/>
              </w:rPr>
            </w:pPr>
            <w:r w:rsidRPr="001A6F94">
              <w:rPr>
                <w:rFonts w:cs="Arial"/>
                <w:b/>
                <w:bCs/>
                <w:szCs w:val="24"/>
              </w:rPr>
              <w:t>£ 59.65M</w:t>
            </w:r>
          </w:p>
        </w:tc>
        <w:tc>
          <w:tcPr>
            <w:tcW w:w="1417" w:type="dxa"/>
            <w:shd w:val="clear" w:color="auto" w:fill="D9D9D9"/>
            <w:vAlign w:val="center"/>
          </w:tcPr>
          <w:p w14:paraId="7B07D88E" w14:textId="77777777" w:rsidR="001A6F94" w:rsidRPr="001A6F94" w:rsidRDefault="001A6F94" w:rsidP="001A6F94">
            <w:pPr>
              <w:contextualSpacing/>
              <w:jc w:val="center"/>
              <w:rPr>
                <w:rFonts w:cs="Arial"/>
                <w:b/>
                <w:bCs/>
                <w:szCs w:val="24"/>
              </w:rPr>
            </w:pPr>
            <w:r w:rsidRPr="001A6F94">
              <w:rPr>
                <w:rFonts w:cs="Arial"/>
                <w:b/>
                <w:bCs/>
                <w:szCs w:val="24"/>
              </w:rPr>
              <w:t>£       -</w:t>
            </w:r>
          </w:p>
        </w:tc>
        <w:tc>
          <w:tcPr>
            <w:tcW w:w="1701" w:type="dxa"/>
            <w:shd w:val="clear" w:color="auto" w:fill="D9D9D9"/>
            <w:vAlign w:val="center"/>
          </w:tcPr>
          <w:p w14:paraId="770BC481" w14:textId="77777777" w:rsidR="001A6F94" w:rsidRPr="001A6F94" w:rsidRDefault="001A6F94" w:rsidP="001A6F94">
            <w:pPr>
              <w:contextualSpacing/>
              <w:jc w:val="center"/>
              <w:rPr>
                <w:rFonts w:cs="Arial"/>
                <w:b/>
                <w:bCs/>
                <w:color w:val="000000"/>
                <w:szCs w:val="24"/>
              </w:rPr>
            </w:pPr>
            <w:r w:rsidRPr="001A6F94">
              <w:rPr>
                <w:rFonts w:cs="Arial"/>
                <w:b/>
                <w:bCs/>
                <w:color w:val="000000"/>
                <w:szCs w:val="24"/>
              </w:rPr>
              <w:t xml:space="preserve">(£ 1.42M)     </w:t>
            </w:r>
          </w:p>
        </w:tc>
        <w:tc>
          <w:tcPr>
            <w:tcW w:w="1559" w:type="dxa"/>
            <w:shd w:val="clear" w:color="auto" w:fill="D9D9D9"/>
            <w:vAlign w:val="center"/>
          </w:tcPr>
          <w:p w14:paraId="197E920F" w14:textId="77777777" w:rsidR="001A6F94" w:rsidRPr="001A6F94" w:rsidRDefault="001A6F94" w:rsidP="001A6F94">
            <w:pPr>
              <w:contextualSpacing/>
              <w:jc w:val="right"/>
              <w:rPr>
                <w:rFonts w:cs="Arial"/>
                <w:b/>
                <w:bCs/>
                <w:color w:val="000000"/>
                <w:szCs w:val="24"/>
              </w:rPr>
            </w:pPr>
            <w:r w:rsidRPr="001A6F94">
              <w:rPr>
                <w:rFonts w:cs="Arial"/>
                <w:b/>
                <w:bCs/>
                <w:color w:val="000000"/>
                <w:szCs w:val="24"/>
              </w:rPr>
              <w:t>£ 58.23M</w:t>
            </w:r>
          </w:p>
        </w:tc>
      </w:tr>
    </w:tbl>
    <w:p w14:paraId="0F133AFA" w14:textId="77777777" w:rsidR="001A6F94" w:rsidRPr="001A6F94" w:rsidRDefault="001A6F94" w:rsidP="001A6F94">
      <w:pPr>
        <w:tabs>
          <w:tab w:val="center" w:pos="4513"/>
          <w:tab w:val="right" w:pos="9026"/>
        </w:tabs>
        <w:jc w:val="both"/>
        <w:rPr>
          <w:rFonts w:eastAsia="Times New Roman" w:cs="Arial"/>
          <w:bCs/>
          <w:szCs w:val="20"/>
        </w:rPr>
      </w:pPr>
    </w:p>
    <w:p w14:paraId="6FCA3327"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The Council did not currently hold any short-term borrowings.</w:t>
      </w:r>
    </w:p>
    <w:p w14:paraId="3B19510F" w14:textId="77777777" w:rsid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 xml:space="preserve">The revised capital financing requirement (table 1.2) showed that the Council could increase its level of external </w:t>
      </w:r>
      <w:r w:rsidRPr="001A6F94">
        <w:rPr>
          <w:rFonts w:eastAsia="Times New Roman" w:cs="Arial"/>
          <w:bCs/>
          <w:color w:val="000000"/>
          <w:szCs w:val="20"/>
        </w:rPr>
        <w:t xml:space="preserve">borrowings to £76.78M </w:t>
      </w:r>
      <w:r w:rsidRPr="001A6F94">
        <w:rPr>
          <w:rFonts w:eastAsia="Times New Roman" w:cs="Arial"/>
          <w:bCs/>
          <w:szCs w:val="20"/>
        </w:rPr>
        <w:t xml:space="preserve">by 31 March 2025.  However, an assessment of the Council’s cashflow position forecasts that there would be adequate cash reserves to temporarily finance capital expenditure for the remainder of the current year and therefore no further borrowing was anticipated before 31 March 2025.  </w:t>
      </w:r>
    </w:p>
    <w:p w14:paraId="1CD273C6" w14:textId="77777777" w:rsidR="00A30315" w:rsidRPr="001A6F94" w:rsidRDefault="00A30315" w:rsidP="00A30315">
      <w:pPr>
        <w:tabs>
          <w:tab w:val="center" w:pos="4513"/>
          <w:tab w:val="right" w:pos="9026"/>
        </w:tabs>
        <w:rPr>
          <w:rFonts w:eastAsia="Times New Roman" w:cs="Arial"/>
          <w:bCs/>
          <w:szCs w:val="20"/>
        </w:rPr>
      </w:pPr>
    </w:p>
    <w:p w14:paraId="554789E2"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After repayments on existing long-term loans were made during the remainder of 2024/25, the level of external borrowings on 31 March 2025 is forecast to be £56.9M.</w:t>
      </w:r>
    </w:p>
    <w:p w14:paraId="34819059" w14:textId="77777777" w:rsidR="001A6F94" w:rsidRPr="001A6F94" w:rsidRDefault="001A6F94" w:rsidP="00A30315">
      <w:pPr>
        <w:rPr>
          <w:rFonts w:eastAsia="Times New Roman" w:cs="Arial"/>
          <w:szCs w:val="20"/>
          <w:highlight w:val="yellow"/>
        </w:rPr>
      </w:pPr>
      <w:r w:rsidRPr="001A6F94">
        <w:rPr>
          <w:rFonts w:eastAsia="Times New Roman" w:cs="Arial"/>
          <w:bCs/>
          <w:szCs w:val="24"/>
        </w:rPr>
        <w:t>The average interest rate for the Council’s total debt portfolio was 3.87%.</w:t>
      </w:r>
    </w:p>
    <w:p w14:paraId="698B79BA" w14:textId="77777777" w:rsidR="001A6F94" w:rsidRPr="001A6F94" w:rsidRDefault="001A6F94" w:rsidP="001A6F94">
      <w:pPr>
        <w:jc w:val="both"/>
        <w:rPr>
          <w:rFonts w:eastAsia="Times New Roman" w:cs="Arial"/>
          <w:szCs w:val="20"/>
          <w:highlight w:val="yellow"/>
        </w:rPr>
      </w:pPr>
    </w:p>
    <w:p w14:paraId="26C9B4C8" w14:textId="77777777" w:rsidR="001A6F94" w:rsidRPr="001A6F94" w:rsidRDefault="001A6F94" w:rsidP="001A6F94">
      <w:pPr>
        <w:tabs>
          <w:tab w:val="center" w:pos="4513"/>
          <w:tab w:val="right" w:pos="9026"/>
        </w:tabs>
        <w:rPr>
          <w:rFonts w:eastAsia="Times New Roman" w:cs="Arial"/>
          <w:b/>
          <w:bCs/>
          <w:szCs w:val="20"/>
        </w:rPr>
      </w:pPr>
      <w:r w:rsidRPr="001A6F94">
        <w:rPr>
          <w:rFonts w:eastAsia="Times New Roman" w:cs="Arial"/>
          <w:b/>
          <w:bCs/>
          <w:szCs w:val="20"/>
        </w:rPr>
        <w:t>2.2 Treasury Management - Debt Related Treasury Activity Limits</w:t>
      </w:r>
    </w:p>
    <w:p w14:paraId="232918D3" w14:textId="77777777" w:rsidR="001A6F94" w:rsidRPr="001A6F94" w:rsidRDefault="001A6F94" w:rsidP="001A6F94">
      <w:pPr>
        <w:spacing w:after="120" w:line="180" w:lineRule="atLeast"/>
        <w:jc w:val="both"/>
        <w:rPr>
          <w:rFonts w:eastAsia="Times New Roman" w:cs="Arial"/>
          <w:szCs w:val="20"/>
        </w:rPr>
      </w:pPr>
      <w:r w:rsidRPr="001A6F94">
        <w:rPr>
          <w:rFonts w:eastAsia="Times New Roman" w:cs="Arial"/>
          <w:szCs w:val="20"/>
        </w:rPr>
        <w:t xml:space="preserve">The tables below showed the position of all debt related treasury activity limits.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1418"/>
      </w:tblGrid>
      <w:tr w:rsidR="001A6F94" w:rsidRPr="001A6F94" w14:paraId="7D2F73DB" w14:textId="77777777" w:rsidTr="00C355D1">
        <w:trPr>
          <w:cantSplit/>
          <w:trHeight w:val="340"/>
        </w:trPr>
        <w:tc>
          <w:tcPr>
            <w:tcW w:w="5812" w:type="dxa"/>
            <w:tcBorders>
              <w:right w:val="single" w:sz="4" w:space="0" w:color="auto"/>
            </w:tcBorders>
            <w:shd w:val="clear" w:color="auto" w:fill="0070C0"/>
            <w:vAlign w:val="center"/>
          </w:tcPr>
          <w:p w14:paraId="7AAA2B05" w14:textId="77777777" w:rsidR="001A6F94" w:rsidRPr="001A6F94" w:rsidRDefault="001A6F94" w:rsidP="001A6F94">
            <w:pPr>
              <w:spacing w:after="120" w:line="180" w:lineRule="atLeast"/>
              <w:rPr>
                <w:rFonts w:eastAsia="Times New Roman" w:cs="Arial"/>
                <w:b/>
                <w:bCs/>
                <w:color w:val="FFFFFF"/>
                <w:sz w:val="22"/>
              </w:rPr>
            </w:pPr>
            <w:r w:rsidRPr="001A6F94">
              <w:rPr>
                <w:rFonts w:eastAsia="Times New Roman" w:cs="Arial"/>
                <w:b/>
                <w:bCs/>
                <w:color w:val="FFFFFF"/>
                <w:sz w:val="22"/>
              </w:rPr>
              <w:t>Table 2.21</w:t>
            </w:r>
          </w:p>
        </w:tc>
        <w:tc>
          <w:tcPr>
            <w:tcW w:w="2835" w:type="dxa"/>
            <w:gridSpan w:val="2"/>
            <w:tcBorders>
              <w:top w:val="nil"/>
              <w:left w:val="single" w:sz="4" w:space="0" w:color="auto"/>
              <w:bottom w:val="single" w:sz="4" w:space="0" w:color="auto"/>
              <w:right w:val="nil"/>
            </w:tcBorders>
            <w:vAlign w:val="center"/>
          </w:tcPr>
          <w:p w14:paraId="6D414CE2" w14:textId="77777777" w:rsidR="001A6F94" w:rsidRPr="001A6F94" w:rsidRDefault="001A6F94" w:rsidP="001A6F94">
            <w:pPr>
              <w:spacing w:after="120" w:line="180" w:lineRule="atLeast"/>
              <w:rPr>
                <w:rFonts w:eastAsia="Times New Roman" w:cs="Arial"/>
                <w:b/>
                <w:bCs/>
                <w:color w:val="FFFFFF"/>
                <w:sz w:val="22"/>
              </w:rPr>
            </w:pPr>
          </w:p>
        </w:tc>
      </w:tr>
      <w:tr w:rsidR="001A6F94" w:rsidRPr="001A6F94" w14:paraId="6696EABC" w14:textId="77777777" w:rsidTr="00C355D1">
        <w:trPr>
          <w:cantSplit/>
          <w:trHeight w:val="20"/>
        </w:trPr>
        <w:tc>
          <w:tcPr>
            <w:tcW w:w="5812" w:type="dxa"/>
            <w:shd w:val="clear" w:color="auto" w:fill="0070C0"/>
            <w:vAlign w:val="center"/>
          </w:tcPr>
          <w:p w14:paraId="207C9F35" w14:textId="77777777" w:rsidR="001A6F94" w:rsidRPr="001A6F94" w:rsidRDefault="001A6F94" w:rsidP="001A6F94">
            <w:pPr>
              <w:spacing w:after="120" w:line="180" w:lineRule="atLeast"/>
              <w:jc w:val="both"/>
              <w:rPr>
                <w:rFonts w:eastAsia="Times New Roman" w:cs="Arial"/>
                <w:b/>
                <w:bCs/>
                <w:color w:val="FFFFFF"/>
                <w:sz w:val="22"/>
              </w:rPr>
            </w:pPr>
            <w:r w:rsidRPr="001A6F94">
              <w:rPr>
                <w:rFonts w:eastAsia="Times New Roman" w:cs="Arial"/>
                <w:b/>
                <w:bCs/>
                <w:color w:val="FFFFFF"/>
                <w:sz w:val="22"/>
              </w:rPr>
              <w:t>Interest rate exposures</w:t>
            </w:r>
          </w:p>
        </w:tc>
        <w:tc>
          <w:tcPr>
            <w:tcW w:w="1417" w:type="dxa"/>
            <w:tcBorders>
              <w:top w:val="single" w:sz="4" w:space="0" w:color="auto"/>
            </w:tcBorders>
            <w:shd w:val="clear" w:color="auto" w:fill="0070C0"/>
            <w:vAlign w:val="center"/>
          </w:tcPr>
          <w:p w14:paraId="67F47776" w14:textId="77777777" w:rsidR="001A6F94" w:rsidRPr="001A6F94" w:rsidRDefault="001A6F94" w:rsidP="001A6F94">
            <w:pPr>
              <w:spacing w:after="120" w:line="180" w:lineRule="atLeast"/>
              <w:jc w:val="center"/>
              <w:rPr>
                <w:rFonts w:eastAsia="Times New Roman" w:cs="Arial"/>
                <w:b/>
                <w:bCs/>
                <w:color w:val="FFFFFF"/>
                <w:sz w:val="22"/>
              </w:rPr>
            </w:pPr>
            <w:r w:rsidRPr="001A6F94">
              <w:rPr>
                <w:rFonts w:eastAsia="Times New Roman" w:cs="Arial"/>
                <w:b/>
                <w:bCs/>
                <w:color w:val="FFFFFF"/>
                <w:sz w:val="22"/>
              </w:rPr>
              <w:t>Limit 2024/25</w:t>
            </w:r>
          </w:p>
        </w:tc>
        <w:tc>
          <w:tcPr>
            <w:tcW w:w="1418" w:type="dxa"/>
            <w:tcBorders>
              <w:top w:val="single" w:sz="4" w:space="0" w:color="auto"/>
            </w:tcBorders>
            <w:shd w:val="clear" w:color="auto" w:fill="0070C0"/>
            <w:vAlign w:val="center"/>
          </w:tcPr>
          <w:p w14:paraId="2897E773" w14:textId="77777777" w:rsidR="001A6F94" w:rsidRPr="001A6F94" w:rsidRDefault="001A6F94" w:rsidP="001A6F94">
            <w:pPr>
              <w:spacing w:after="120" w:line="180" w:lineRule="atLeast"/>
              <w:jc w:val="center"/>
              <w:rPr>
                <w:rFonts w:eastAsia="Times New Roman" w:cs="Arial"/>
                <w:b/>
                <w:bCs/>
                <w:color w:val="FFFFFF"/>
                <w:sz w:val="22"/>
              </w:rPr>
            </w:pPr>
            <w:r w:rsidRPr="001A6F94">
              <w:rPr>
                <w:rFonts w:eastAsia="Times New Roman" w:cs="Arial"/>
                <w:b/>
                <w:bCs/>
                <w:color w:val="FFFFFF"/>
                <w:sz w:val="22"/>
              </w:rPr>
              <w:t>Actual at 31/12/24</w:t>
            </w:r>
          </w:p>
        </w:tc>
      </w:tr>
      <w:tr w:rsidR="001A6F94" w:rsidRPr="001A6F94" w14:paraId="4625B9F1" w14:textId="77777777" w:rsidTr="00C355D1">
        <w:trPr>
          <w:trHeight w:val="510"/>
        </w:trPr>
        <w:tc>
          <w:tcPr>
            <w:tcW w:w="5812" w:type="dxa"/>
            <w:vAlign w:val="center"/>
          </w:tcPr>
          <w:p w14:paraId="46B824D5" w14:textId="77777777" w:rsidR="001A6F94" w:rsidRPr="001A6F94" w:rsidRDefault="001A6F94" w:rsidP="001A6F94">
            <w:pPr>
              <w:spacing w:line="180" w:lineRule="atLeast"/>
              <w:jc w:val="both"/>
              <w:rPr>
                <w:rFonts w:eastAsia="Times New Roman" w:cs="Arial"/>
                <w:b/>
                <w:bCs/>
                <w:sz w:val="22"/>
                <w:szCs w:val="20"/>
              </w:rPr>
            </w:pPr>
            <w:r w:rsidRPr="001A6F94">
              <w:rPr>
                <w:rFonts w:eastAsia="Times New Roman" w:cs="Arial"/>
                <w:bCs/>
                <w:sz w:val="22"/>
                <w:szCs w:val="20"/>
              </w:rPr>
              <w:t>Quantity of debt held at variable interest rates - upper limit</w:t>
            </w:r>
          </w:p>
        </w:tc>
        <w:tc>
          <w:tcPr>
            <w:tcW w:w="1417" w:type="dxa"/>
            <w:vAlign w:val="center"/>
          </w:tcPr>
          <w:p w14:paraId="2169E6DB" w14:textId="77777777" w:rsidR="001A6F94" w:rsidRPr="001A6F94" w:rsidRDefault="001A6F94" w:rsidP="001A6F94">
            <w:pPr>
              <w:spacing w:after="120" w:line="180" w:lineRule="atLeast"/>
              <w:jc w:val="center"/>
              <w:rPr>
                <w:rFonts w:eastAsia="Times New Roman" w:cs="Arial"/>
                <w:sz w:val="22"/>
                <w:szCs w:val="20"/>
              </w:rPr>
            </w:pPr>
            <w:r w:rsidRPr="001A6F94">
              <w:rPr>
                <w:rFonts w:eastAsia="Times New Roman" w:cs="Arial"/>
                <w:sz w:val="22"/>
                <w:szCs w:val="20"/>
              </w:rPr>
              <w:t>30%</w:t>
            </w:r>
          </w:p>
        </w:tc>
        <w:tc>
          <w:tcPr>
            <w:tcW w:w="1418" w:type="dxa"/>
            <w:vAlign w:val="center"/>
          </w:tcPr>
          <w:p w14:paraId="76CA337A" w14:textId="77777777" w:rsidR="001A6F94" w:rsidRPr="001A6F94" w:rsidRDefault="001A6F94" w:rsidP="001A6F94">
            <w:pPr>
              <w:spacing w:after="120" w:line="180" w:lineRule="atLeast"/>
              <w:jc w:val="center"/>
              <w:rPr>
                <w:rFonts w:eastAsia="Times New Roman" w:cs="Arial"/>
                <w:sz w:val="22"/>
                <w:szCs w:val="20"/>
              </w:rPr>
            </w:pPr>
            <w:r w:rsidRPr="001A6F94">
              <w:rPr>
                <w:rFonts w:eastAsia="Times New Roman" w:cs="Arial"/>
                <w:sz w:val="22"/>
                <w:szCs w:val="20"/>
              </w:rPr>
              <w:t>2%</w:t>
            </w:r>
          </w:p>
        </w:tc>
      </w:tr>
      <w:tr w:rsidR="001A6F94" w:rsidRPr="001A6F94" w14:paraId="6DCBAB07" w14:textId="77777777" w:rsidTr="00C355D1">
        <w:trPr>
          <w:trHeight w:val="510"/>
        </w:trPr>
        <w:tc>
          <w:tcPr>
            <w:tcW w:w="5812" w:type="dxa"/>
            <w:vAlign w:val="center"/>
          </w:tcPr>
          <w:p w14:paraId="305B3EAC" w14:textId="77777777" w:rsidR="001A6F94" w:rsidRPr="001A6F94" w:rsidRDefault="001A6F94" w:rsidP="001A6F94">
            <w:pPr>
              <w:spacing w:line="180" w:lineRule="atLeast"/>
              <w:rPr>
                <w:rFonts w:eastAsia="Times New Roman" w:cs="Arial"/>
                <w:bCs/>
                <w:sz w:val="22"/>
                <w:szCs w:val="20"/>
              </w:rPr>
            </w:pPr>
            <w:r w:rsidRPr="001A6F94">
              <w:rPr>
                <w:rFonts w:eastAsia="Times New Roman" w:cs="Arial"/>
                <w:bCs/>
                <w:sz w:val="22"/>
                <w:szCs w:val="20"/>
              </w:rPr>
              <w:t>Quantity of debt held at fixed interest rates - upper limit</w:t>
            </w:r>
          </w:p>
        </w:tc>
        <w:tc>
          <w:tcPr>
            <w:tcW w:w="1417" w:type="dxa"/>
            <w:vAlign w:val="center"/>
          </w:tcPr>
          <w:p w14:paraId="37802A72" w14:textId="77777777" w:rsidR="001A6F94" w:rsidRPr="001A6F94" w:rsidRDefault="001A6F94" w:rsidP="001A6F94">
            <w:pPr>
              <w:spacing w:line="180" w:lineRule="atLeast"/>
              <w:jc w:val="center"/>
              <w:rPr>
                <w:rFonts w:eastAsia="Times New Roman" w:cs="Arial"/>
                <w:sz w:val="22"/>
                <w:szCs w:val="20"/>
              </w:rPr>
            </w:pPr>
            <w:r w:rsidRPr="001A6F94">
              <w:rPr>
                <w:rFonts w:eastAsia="Times New Roman" w:cs="Arial"/>
                <w:sz w:val="22"/>
                <w:szCs w:val="20"/>
              </w:rPr>
              <w:t>100%</w:t>
            </w:r>
          </w:p>
        </w:tc>
        <w:tc>
          <w:tcPr>
            <w:tcW w:w="1418" w:type="dxa"/>
            <w:vAlign w:val="center"/>
          </w:tcPr>
          <w:p w14:paraId="4AE928B6" w14:textId="77777777" w:rsidR="001A6F94" w:rsidRPr="001A6F94" w:rsidRDefault="001A6F94" w:rsidP="001A6F94">
            <w:pPr>
              <w:spacing w:line="180" w:lineRule="atLeast"/>
              <w:jc w:val="center"/>
              <w:rPr>
                <w:rFonts w:eastAsia="Times New Roman" w:cs="Arial"/>
                <w:sz w:val="22"/>
                <w:szCs w:val="20"/>
              </w:rPr>
            </w:pPr>
            <w:r w:rsidRPr="001A6F94">
              <w:rPr>
                <w:rFonts w:eastAsia="Times New Roman" w:cs="Arial"/>
                <w:sz w:val="22"/>
                <w:szCs w:val="20"/>
              </w:rPr>
              <w:t>98%</w:t>
            </w:r>
          </w:p>
        </w:tc>
      </w:tr>
    </w:tbl>
    <w:p w14:paraId="396D0E60" w14:textId="77777777" w:rsidR="001A6F94" w:rsidRPr="001A6F94" w:rsidRDefault="001A6F94" w:rsidP="001A6F94">
      <w:pPr>
        <w:rPr>
          <w:rFonts w:eastAsia="Times New Roman"/>
          <w:sz w:val="36"/>
          <w:szCs w:val="28"/>
        </w:rPr>
      </w:pPr>
      <w:r w:rsidRPr="001A6F94">
        <w:rPr>
          <w:rFonts w:eastAsia="Times New Roman"/>
          <w:sz w:val="36"/>
          <w:szCs w:val="28"/>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560"/>
        <w:gridCol w:w="1559"/>
        <w:gridCol w:w="1134"/>
      </w:tblGrid>
      <w:tr w:rsidR="001A6F94" w:rsidRPr="001A6F94" w14:paraId="2354E8BD" w14:textId="77777777" w:rsidTr="00C355D1">
        <w:trPr>
          <w:cantSplit/>
          <w:trHeight w:val="20"/>
        </w:trPr>
        <w:tc>
          <w:tcPr>
            <w:tcW w:w="4394" w:type="dxa"/>
            <w:tcBorders>
              <w:right w:val="single" w:sz="4" w:space="0" w:color="auto"/>
            </w:tcBorders>
            <w:shd w:val="clear" w:color="auto" w:fill="0070C0"/>
            <w:vAlign w:val="center"/>
          </w:tcPr>
          <w:p w14:paraId="27CD42D5" w14:textId="77777777" w:rsidR="001A6F94" w:rsidRPr="001A6F94" w:rsidRDefault="001A6F94" w:rsidP="001A6F94">
            <w:pPr>
              <w:spacing w:after="120" w:line="180" w:lineRule="atLeast"/>
              <w:rPr>
                <w:rFonts w:eastAsia="Times New Roman" w:cs="Arial"/>
                <w:b/>
                <w:bCs/>
                <w:color w:val="FFFFFF"/>
                <w:sz w:val="22"/>
              </w:rPr>
            </w:pPr>
            <w:r w:rsidRPr="001A6F94">
              <w:rPr>
                <w:rFonts w:eastAsia="Times New Roman" w:cs="Arial"/>
                <w:b/>
                <w:bCs/>
                <w:color w:val="FFFFFF"/>
                <w:sz w:val="22"/>
              </w:rPr>
              <w:t>Table 2.22</w:t>
            </w:r>
          </w:p>
        </w:tc>
        <w:tc>
          <w:tcPr>
            <w:tcW w:w="4253" w:type="dxa"/>
            <w:gridSpan w:val="3"/>
            <w:tcBorders>
              <w:top w:val="nil"/>
              <w:left w:val="single" w:sz="4" w:space="0" w:color="auto"/>
              <w:bottom w:val="single" w:sz="4" w:space="0" w:color="auto"/>
              <w:right w:val="nil"/>
            </w:tcBorders>
            <w:vAlign w:val="center"/>
          </w:tcPr>
          <w:p w14:paraId="0889A393" w14:textId="77777777" w:rsidR="001A6F94" w:rsidRPr="001A6F94" w:rsidRDefault="001A6F94" w:rsidP="001A6F94">
            <w:pPr>
              <w:spacing w:after="120" w:line="180" w:lineRule="atLeast"/>
              <w:rPr>
                <w:rFonts w:eastAsia="Times New Roman" w:cs="Arial"/>
                <w:b/>
                <w:bCs/>
                <w:color w:val="FFFFFF"/>
                <w:sz w:val="22"/>
              </w:rPr>
            </w:pPr>
          </w:p>
        </w:tc>
      </w:tr>
      <w:tr w:rsidR="001A6F94" w:rsidRPr="001A6F94" w14:paraId="7BD33BB7" w14:textId="77777777" w:rsidTr="00C355D1">
        <w:trPr>
          <w:cantSplit/>
          <w:trHeight w:val="20"/>
        </w:trPr>
        <w:tc>
          <w:tcPr>
            <w:tcW w:w="4394" w:type="dxa"/>
            <w:shd w:val="clear" w:color="auto" w:fill="0070C0"/>
            <w:vAlign w:val="center"/>
          </w:tcPr>
          <w:p w14:paraId="0B716631" w14:textId="77777777" w:rsidR="001A6F94" w:rsidRPr="001A6F94" w:rsidRDefault="001A6F94" w:rsidP="001A6F94">
            <w:pPr>
              <w:spacing w:after="120" w:line="180" w:lineRule="atLeast"/>
              <w:jc w:val="both"/>
              <w:rPr>
                <w:rFonts w:eastAsia="Times New Roman" w:cs="Arial"/>
                <w:b/>
                <w:bCs/>
                <w:color w:val="FFFFFF"/>
                <w:sz w:val="22"/>
              </w:rPr>
            </w:pPr>
            <w:r w:rsidRPr="001A6F94">
              <w:rPr>
                <w:rFonts w:eastAsia="Times New Roman" w:cs="Arial"/>
                <w:b/>
                <w:bCs/>
                <w:color w:val="FFFFFF"/>
                <w:sz w:val="22"/>
              </w:rPr>
              <w:t xml:space="preserve">Maturity structure of fixed interest rate borrowing </w:t>
            </w:r>
          </w:p>
        </w:tc>
        <w:tc>
          <w:tcPr>
            <w:tcW w:w="1560" w:type="dxa"/>
            <w:tcBorders>
              <w:top w:val="single" w:sz="4" w:space="0" w:color="auto"/>
            </w:tcBorders>
            <w:shd w:val="clear" w:color="auto" w:fill="0070C0"/>
            <w:vAlign w:val="center"/>
          </w:tcPr>
          <w:p w14:paraId="186A1CE0" w14:textId="77777777" w:rsidR="001A6F94" w:rsidRPr="001A6F94" w:rsidRDefault="001A6F94" w:rsidP="001A6F94">
            <w:pPr>
              <w:spacing w:after="120" w:line="180" w:lineRule="atLeast"/>
              <w:jc w:val="center"/>
              <w:rPr>
                <w:rFonts w:eastAsia="Times New Roman" w:cs="Arial"/>
                <w:b/>
                <w:bCs/>
                <w:color w:val="FFFFFF"/>
                <w:sz w:val="22"/>
              </w:rPr>
            </w:pPr>
            <w:r w:rsidRPr="001A6F94">
              <w:rPr>
                <w:rFonts w:eastAsia="Times New Roman" w:cs="Arial"/>
                <w:b/>
                <w:bCs/>
                <w:color w:val="FFFFFF"/>
                <w:sz w:val="22"/>
              </w:rPr>
              <w:t>Lower Limit 2024/25</w:t>
            </w:r>
          </w:p>
        </w:tc>
        <w:tc>
          <w:tcPr>
            <w:tcW w:w="1559" w:type="dxa"/>
            <w:tcBorders>
              <w:top w:val="single" w:sz="4" w:space="0" w:color="auto"/>
            </w:tcBorders>
            <w:shd w:val="clear" w:color="auto" w:fill="0070C0"/>
            <w:vAlign w:val="center"/>
          </w:tcPr>
          <w:p w14:paraId="39E28442" w14:textId="77777777" w:rsidR="001A6F94" w:rsidRPr="001A6F94" w:rsidRDefault="001A6F94" w:rsidP="001A6F94">
            <w:pPr>
              <w:spacing w:after="120" w:line="180" w:lineRule="atLeast"/>
              <w:jc w:val="center"/>
              <w:rPr>
                <w:rFonts w:eastAsia="Times New Roman" w:cs="Arial"/>
                <w:b/>
                <w:bCs/>
                <w:color w:val="FFFFFF"/>
                <w:sz w:val="22"/>
              </w:rPr>
            </w:pPr>
            <w:r w:rsidRPr="001A6F94">
              <w:rPr>
                <w:rFonts w:eastAsia="Times New Roman" w:cs="Arial"/>
                <w:b/>
                <w:bCs/>
                <w:color w:val="FFFFFF"/>
                <w:sz w:val="22"/>
              </w:rPr>
              <w:t>Upper Limit 2024/25</w:t>
            </w:r>
          </w:p>
        </w:tc>
        <w:tc>
          <w:tcPr>
            <w:tcW w:w="1134" w:type="dxa"/>
            <w:tcBorders>
              <w:top w:val="single" w:sz="4" w:space="0" w:color="auto"/>
            </w:tcBorders>
            <w:shd w:val="clear" w:color="auto" w:fill="0070C0"/>
          </w:tcPr>
          <w:p w14:paraId="41F8AB5F" w14:textId="77777777" w:rsidR="001A6F94" w:rsidRPr="001A6F94" w:rsidRDefault="001A6F94" w:rsidP="001A6F94">
            <w:pPr>
              <w:spacing w:after="120" w:line="180" w:lineRule="atLeast"/>
              <w:jc w:val="center"/>
              <w:rPr>
                <w:rFonts w:eastAsia="Times New Roman" w:cs="Arial"/>
                <w:b/>
                <w:bCs/>
                <w:color w:val="FFFFFF"/>
                <w:sz w:val="22"/>
              </w:rPr>
            </w:pPr>
            <w:r w:rsidRPr="001A6F94">
              <w:rPr>
                <w:rFonts w:eastAsia="Times New Roman" w:cs="Arial"/>
                <w:b/>
                <w:bCs/>
                <w:color w:val="FFFFFF"/>
                <w:sz w:val="22"/>
              </w:rPr>
              <w:t>Forecast 2024/25</w:t>
            </w:r>
          </w:p>
        </w:tc>
      </w:tr>
      <w:tr w:rsidR="001A6F94" w:rsidRPr="001A6F94" w14:paraId="33C56278" w14:textId="77777777" w:rsidTr="00C355D1">
        <w:trPr>
          <w:cantSplit/>
          <w:trHeight w:val="397"/>
        </w:trPr>
        <w:tc>
          <w:tcPr>
            <w:tcW w:w="4394" w:type="dxa"/>
            <w:vAlign w:val="center"/>
          </w:tcPr>
          <w:p w14:paraId="71A6E45F" w14:textId="77777777" w:rsidR="001A6F94" w:rsidRPr="001A6F94" w:rsidRDefault="001A6F94" w:rsidP="001A6F94">
            <w:pPr>
              <w:rPr>
                <w:rFonts w:eastAsia="Times New Roman" w:cs="Arial"/>
                <w:sz w:val="22"/>
                <w:szCs w:val="20"/>
              </w:rPr>
            </w:pPr>
            <w:r w:rsidRPr="001A6F94">
              <w:rPr>
                <w:rFonts w:eastAsia="Times New Roman" w:cs="Arial"/>
                <w:sz w:val="22"/>
                <w:szCs w:val="20"/>
              </w:rPr>
              <w:t>Under 12 months</w:t>
            </w:r>
          </w:p>
        </w:tc>
        <w:tc>
          <w:tcPr>
            <w:tcW w:w="1560" w:type="dxa"/>
            <w:vAlign w:val="center"/>
          </w:tcPr>
          <w:p w14:paraId="2A940B52"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0%</w:t>
            </w:r>
          </w:p>
        </w:tc>
        <w:tc>
          <w:tcPr>
            <w:tcW w:w="1559" w:type="dxa"/>
            <w:vAlign w:val="center"/>
          </w:tcPr>
          <w:p w14:paraId="0C83178B"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15%</w:t>
            </w:r>
          </w:p>
        </w:tc>
        <w:tc>
          <w:tcPr>
            <w:tcW w:w="1134" w:type="dxa"/>
            <w:vAlign w:val="center"/>
          </w:tcPr>
          <w:p w14:paraId="1C2ADF4E" w14:textId="77777777" w:rsidR="001A6F94" w:rsidRPr="001A6F94" w:rsidRDefault="001A6F94" w:rsidP="001A6F94">
            <w:pPr>
              <w:jc w:val="center"/>
              <w:rPr>
                <w:rFonts w:eastAsia="Times New Roman" w:cs="Arial"/>
                <w:color w:val="000000"/>
                <w:sz w:val="22"/>
                <w:szCs w:val="20"/>
              </w:rPr>
            </w:pPr>
            <w:r w:rsidRPr="001A6F94">
              <w:rPr>
                <w:rFonts w:eastAsia="Times New Roman" w:cs="Arial"/>
                <w:color w:val="000000"/>
                <w:sz w:val="22"/>
                <w:szCs w:val="20"/>
              </w:rPr>
              <w:t>4.7%</w:t>
            </w:r>
          </w:p>
        </w:tc>
      </w:tr>
      <w:tr w:rsidR="001A6F94" w:rsidRPr="001A6F94" w14:paraId="0CD1D200" w14:textId="77777777" w:rsidTr="00C355D1">
        <w:trPr>
          <w:cantSplit/>
          <w:trHeight w:val="397"/>
        </w:trPr>
        <w:tc>
          <w:tcPr>
            <w:tcW w:w="4394" w:type="dxa"/>
            <w:vAlign w:val="center"/>
          </w:tcPr>
          <w:p w14:paraId="365F52BC" w14:textId="77777777" w:rsidR="001A6F94" w:rsidRPr="001A6F94" w:rsidRDefault="001A6F94" w:rsidP="001A6F94">
            <w:pPr>
              <w:rPr>
                <w:rFonts w:eastAsia="Times New Roman" w:cs="Arial"/>
                <w:sz w:val="22"/>
                <w:szCs w:val="20"/>
              </w:rPr>
            </w:pPr>
            <w:r w:rsidRPr="001A6F94">
              <w:rPr>
                <w:rFonts w:eastAsia="Times New Roman" w:cs="Arial"/>
                <w:sz w:val="22"/>
                <w:szCs w:val="20"/>
              </w:rPr>
              <w:t>12 months to 2 years</w:t>
            </w:r>
          </w:p>
        </w:tc>
        <w:tc>
          <w:tcPr>
            <w:tcW w:w="1560" w:type="dxa"/>
            <w:vAlign w:val="center"/>
          </w:tcPr>
          <w:p w14:paraId="01F5D888"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0%</w:t>
            </w:r>
          </w:p>
        </w:tc>
        <w:tc>
          <w:tcPr>
            <w:tcW w:w="1559" w:type="dxa"/>
            <w:vAlign w:val="center"/>
          </w:tcPr>
          <w:p w14:paraId="4F8091E7"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15%</w:t>
            </w:r>
          </w:p>
        </w:tc>
        <w:tc>
          <w:tcPr>
            <w:tcW w:w="1134" w:type="dxa"/>
            <w:vAlign w:val="center"/>
          </w:tcPr>
          <w:p w14:paraId="126A231D" w14:textId="77777777" w:rsidR="001A6F94" w:rsidRPr="001A6F94" w:rsidRDefault="001A6F94" w:rsidP="001A6F94">
            <w:pPr>
              <w:jc w:val="center"/>
              <w:rPr>
                <w:rFonts w:eastAsia="Times New Roman" w:cs="Arial"/>
                <w:color w:val="000000"/>
                <w:sz w:val="22"/>
                <w:szCs w:val="20"/>
              </w:rPr>
            </w:pPr>
            <w:r w:rsidRPr="001A6F94">
              <w:rPr>
                <w:rFonts w:eastAsia="Times New Roman" w:cs="Arial"/>
                <w:color w:val="000000"/>
                <w:sz w:val="22"/>
                <w:szCs w:val="20"/>
              </w:rPr>
              <w:t>6.0%</w:t>
            </w:r>
          </w:p>
        </w:tc>
      </w:tr>
      <w:tr w:rsidR="001A6F94" w:rsidRPr="001A6F94" w14:paraId="25B1F812" w14:textId="77777777" w:rsidTr="00C355D1">
        <w:trPr>
          <w:cantSplit/>
          <w:trHeight w:val="397"/>
        </w:trPr>
        <w:tc>
          <w:tcPr>
            <w:tcW w:w="4394" w:type="dxa"/>
            <w:vAlign w:val="center"/>
          </w:tcPr>
          <w:p w14:paraId="687201E5" w14:textId="77777777" w:rsidR="001A6F94" w:rsidRPr="001A6F94" w:rsidRDefault="001A6F94" w:rsidP="001A6F94">
            <w:pPr>
              <w:rPr>
                <w:rFonts w:eastAsia="Times New Roman" w:cs="Arial"/>
                <w:sz w:val="22"/>
                <w:szCs w:val="20"/>
              </w:rPr>
            </w:pPr>
            <w:r w:rsidRPr="001A6F94">
              <w:rPr>
                <w:rFonts w:eastAsia="Times New Roman" w:cs="Arial"/>
                <w:sz w:val="22"/>
                <w:szCs w:val="20"/>
              </w:rPr>
              <w:t>2 years to 5 years</w:t>
            </w:r>
          </w:p>
        </w:tc>
        <w:tc>
          <w:tcPr>
            <w:tcW w:w="1560" w:type="dxa"/>
            <w:vAlign w:val="center"/>
          </w:tcPr>
          <w:p w14:paraId="78BF9B5C"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0%</w:t>
            </w:r>
          </w:p>
        </w:tc>
        <w:tc>
          <w:tcPr>
            <w:tcW w:w="1559" w:type="dxa"/>
            <w:vAlign w:val="center"/>
          </w:tcPr>
          <w:p w14:paraId="69B80B36"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20%</w:t>
            </w:r>
          </w:p>
        </w:tc>
        <w:tc>
          <w:tcPr>
            <w:tcW w:w="1134" w:type="dxa"/>
            <w:vAlign w:val="center"/>
          </w:tcPr>
          <w:p w14:paraId="5492FAF2" w14:textId="77777777" w:rsidR="001A6F94" w:rsidRPr="001A6F94" w:rsidRDefault="001A6F94" w:rsidP="001A6F94">
            <w:pPr>
              <w:jc w:val="center"/>
              <w:rPr>
                <w:rFonts w:eastAsia="Times New Roman" w:cs="Arial"/>
                <w:color w:val="000000"/>
                <w:sz w:val="22"/>
                <w:szCs w:val="20"/>
              </w:rPr>
            </w:pPr>
            <w:r w:rsidRPr="001A6F94">
              <w:rPr>
                <w:rFonts w:eastAsia="Times New Roman" w:cs="Arial"/>
                <w:color w:val="000000"/>
                <w:sz w:val="22"/>
                <w:szCs w:val="20"/>
              </w:rPr>
              <w:t>13.8%</w:t>
            </w:r>
          </w:p>
        </w:tc>
      </w:tr>
      <w:tr w:rsidR="001A6F94" w:rsidRPr="001A6F94" w14:paraId="49ADA94C" w14:textId="77777777" w:rsidTr="00C355D1">
        <w:trPr>
          <w:cantSplit/>
          <w:trHeight w:val="397"/>
        </w:trPr>
        <w:tc>
          <w:tcPr>
            <w:tcW w:w="4394" w:type="dxa"/>
            <w:vAlign w:val="center"/>
          </w:tcPr>
          <w:p w14:paraId="3786A26E" w14:textId="77777777" w:rsidR="001A6F94" w:rsidRPr="001A6F94" w:rsidRDefault="001A6F94" w:rsidP="001A6F94">
            <w:pPr>
              <w:rPr>
                <w:rFonts w:eastAsia="Times New Roman" w:cs="Arial"/>
                <w:sz w:val="22"/>
                <w:szCs w:val="20"/>
              </w:rPr>
            </w:pPr>
            <w:r w:rsidRPr="001A6F94">
              <w:rPr>
                <w:rFonts w:eastAsia="Times New Roman" w:cs="Arial"/>
                <w:sz w:val="22"/>
                <w:szCs w:val="20"/>
              </w:rPr>
              <w:t>5 years to 10 years</w:t>
            </w:r>
          </w:p>
        </w:tc>
        <w:tc>
          <w:tcPr>
            <w:tcW w:w="1560" w:type="dxa"/>
            <w:vAlign w:val="center"/>
          </w:tcPr>
          <w:p w14:paraId="43123246"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0%</w:t>
            </w:r>
          </w:p>
        </w:tc>
        <w:tc>
          <w:tcPr>
            <w:tcW w:w="1559" w:type="dxa"/>
            <w:vAlign w:val="center"/>
          </w:tcPr>
          <w:p w14:paraId="2C1F78E1"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30%</w:t>
            </w:r>
          </w:p>
        </w:tc>
        <w:tc>
          <w:tcPr>
            <w:tcW w:w="1134" w:type="dxa"/>
            <w:vAlign w:val="center"/>
          </w:tcPr>
          <w:p w14:paraId="4E6D1439" w14:textId="77777777" w:rsidR="001A6F94" w:rsidRPr="001A6F94" w:rsidRDefault="001A6F94" w:rsidP="001A6F94">
            <w:pPr>
              <w:jc w:val="center"/>
              <w:rPr>
                <w:rFonts w:eastAsia="Times New Roman" w:cs="Arial"/>
                <w:color w:val="000000"/>
                <w:sz w:val="22"/>
                <w:szCs w:val="20"/>
              </w:rPr>
            </w:pPr>
            <w:r w:rsidRPr="001A6F94">
              <w:rPr>
                <w:rFonts w:eastAsia="Times New Roman" w:cs="Arial"/>
                <w:color w:val="000000"/>
                <w:sz w:val="22"/>
                <w:szCs w:val="20"/>
              </w:rPr>
              <w:t>27.2%</w:t>
            </w:r>
          </w:p>
        </w:tc>
      </w:tr>
      <w:tr w:rsidR="001A6F94" w:rsidRPr="001A6F94" w14:paraId="0A0E6BAF" w14:textId="77777777" w:rsidTr="00C355D1">
        <w:trPr>
          <w:cantSplit/>
          <w:trHeight w:val="397"/>
        </w:trPr>
        <w:tc>
          <w:tcPr>
            <w:tcW w:w="4394" w:type="dxa"/>
            <w:vAlign w:val="center"/>
          </w:tcPr>
          <w:p w14:paraId="2644933D" w14:textId="77777777" w:rsidR="001A6F94" w:rsidRPr="001A6F94" w:rsidRDefault="001A6F94" w:rsidP="001A6F94">
            <w:pPr>
              <w:rPr>
                <w:rFonts w:eastAsia="Times New Roman" w:cs="Arial"/>
                <w:sz w:val="22"/>
                <w:szCs w:val="20"/>
              </w:rPr>
            </w:pPr>
            <w:r w:rsidRPr="001A6F94">
              <w:rPr>
                <w:rFonts w:eastAsia="Times New Roman" w:cs="Arial"/>
                <w:sz w:val="22"/>
                <w:szCs w:val="20"/>
              </w:rPr>
              <w:t>10 years and above</w:t>
            </w:r>
          </w:p>
        </w:tc>
        <w:tc>
          <w:tcPr>
            <w:tcW w:w="1560" w:type="dxa"/>
            <w:vAlign w:val="center"/>
          </w:tcPr>
          <w:p w14:paraId="2FD161B4"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30%</w:t>
            </w:r>
          </w:p>
        </w:tc>
        <w:tc>
          <w:tcPr>
            <w:tcW w:w="1559" w:type="dxa"/>
            <w:vAlign w:val="center"/>
          </w:tcPr>
          <w:p w14:paraId="0E9E085E" w14:textId="77777777" w:rsidR="001A6F94" w:rsidRPr="001A6F94" w:rsidRDefault="001A6F94" w:rsidP="001A6F94">
            <w:pPr>
              <w:jc w:val="center"/>
              <w:rPr>
                <w:rFonts w:eastAsia="Times New Roman" w:cs="Arial"/>
                <w:sz w:val="22"/>
                <w:szCs w:val="20"/>
              </w:rPr>
            </w:pPr>
            <w:r w:rsidRPr="001A6F94">
              <w:rPr>
                <w:rFonts w:eastAsia="Times New Roman" w:cs="Arial"/>
                <w:sz w:val="22"/>
                <w:szCs w:val="20"/>
              </w:rPr>
              <w:t>90%</w:t>
            </w:r>
          </w:p>
        </w:tc>
        <w:tc>
          <w:tcPr>
            <w:tcW w:w="1134" w:type="dxa"/>
            <w:vAlign w:val="center"/>
          </w:tcPr>
          <w:p w14:paraId="5FB3A6AF" w14:textId="77777777" w:rsidR="001A6F94" w:rsidRPr="001A6F94" w:rsidRDefault="001A6F94" w:rsidP="001A6F94">
            <w:pPr>
              <w:jc w:val="center"/>
              <w:rPr>
                <w:rFonts w:eastAsia="Times New Roman" w:cs="Arial"/>
                <w:color w:val="000000"/>
                <w:sz w:val="22"/>
                <w:szCs w:val="20"/>
              </w:rPr>
            </w:pPr>
            <w:r w:rsidRPr="001A6F94">
              <w:rPr>
                <w:rFonts w:eastAsia="Times New Roman" w:cs="Arial"/>
                <w:color w:val="000000"/>
                <w:sz w:val="22"/>
                <w:szCs w:val="20"/>
              </w:rPr>
              <w:t>48.3%</w:t>
            </w:r>
          </w:p>
        </w:tc>
      </w:tr>
    </w:tbl>
    <w:p w14:paraId="6645BF76" w14:textId="77777777" w:rsidR="001A6F94" w:rsidRPr="001A6F94" w:rsidRDefault="001A6F94" w:rsidP="001A6F94">
      <w:pPr>
        <w:rPr>
          <w:rFonts w:eastAsia="Times New Roman"/>
          <w:b/>
          <w:szCs w:val="20"/>
        </w:rPr>
      </w:pPr>
    </w:p>
    <w:p w14:paraId="1CCEF620" w14:textId="77777777" w:rsidR="001A6F94" w:rsidRPr="001A6F94" w:rsidRDefault="001A6F94" w:rsidP="001A6F94">
      <w:pPr>
        <w:tabs>
          <w:tab w:val="center" w:pos="4513"/>
          <w:tab w:val="right" w:pos="9026"/>
        </w:tabs>
        <w:rPr>
          <w:rFonts w:eastAsia="Times New Roman" w:cs="Arial"/>
          <w:b/>
          <w:bCs/>
          <w:szCs w:val="20"/>
        </w:rPr>
      </w:pPr>
      <w:r w:rsidRPr="001A6F94">
        <w:rPr>
          <w:rFonts w:eastAsia="Times New Roman" w:cs="Arial"/>
          <w:b/>
          <w:bCs/>
          <w:szCs w:val="20"/>
        </w:rPr>
        <w:t>2.3 Treasury Management - Investment Activity</w:t>
      </w:r>
    </w:p>
    <w:p w14:paraId="4AC4DE73"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bCs/>
          <w:szCs w:val="20"/>
        </w:rPr>
        <w:t xml:space="preserve">The objectives of the Council’s investment strategy were safeguarding the repayment of the principal and interest on its investments on time, with the investment return being a secondary objective. The current investment climate continued to be one of overriding risk consideration, particularly that of counterparty risk.  In line with advice provided by treasury management consultants, officers continue to implement an operational investment strategy of placing short-term investments with approved high-quality counterparties.  </w:t>
      </w:r>
    </w:p>
    <w:p w14:paraId="7D96BDC9" w14:textId="77777777" w:rsidR="001A6F94" w:rsidRPr="001A6F94" w:rsidRDefault="001A6F94" w:rsidP="001A6F94">
      <w:pPr>
        <w:tabs>
          <w:tab w:val="center" w:pos="4513"/>
          <w:tab w:val="right" w:pos="9026"/>
        </w:tabs>
        <w:jc w:val="both"/>
        <w:rPr>
          <w:rFonts w:eastAsia="Times New Roman" w:cs="Arial"/>
          <w:bCs/>
          <w:szCs w:val="20"/>
        </w:rPr>
      </w:pPr>
    </w:p>
    <w:p w14:paraId="1AFBCA53" w14:textId="77777777" w:rsidR="001A6F94" w:rsidRPr="001A6F94" w:rsidRDefault="001A6F94" w:rsidP="00A30315">
      <w:pPr>
        <w:tabs>
          <w:tab w:val="center" w:pos="4513"/>
          <w:tab w:val="right" w:pos="9026"/>
        </w:tabs>
        <w:rPr>
          <w:rFonts w:eastAsia="Times New Roman" w:cs="Arial"/>
          <w:bCs/>
          <w:szCs w:val="20"/>
        </w:rPr>
      </w:pPr>
      <w:r w:rsidRPr="001A6F94">
        <w:rPr>
          <w:rFonts w:eastAsia="Times New Roman" w:cs="Arial"/>
          <w:szCs w:val="20"/>
        </w:rPr>
        <w:t>F</w:t>
      </w:r>
      <w:r w:rsidRPr="001A6F94">
        <w:rPr>
          <w:rFonts w:eastAsia="Times New Roman" w:cs="Arial"/>
          <w:bCs/>
          <w:szCs w:val="20"/>
        </w:rPr>
        <w:t xml:space="preserve">or the period from 1 April to 30 September 2024, Council had earned interest of £321K on investment deals with approved financial institutions as summarised below:  </w:t>
      </w:r>
    </w:p>
    <w:p w14:paraId="488D80D5" w14:textId="77777777" w:rsidR="001A6F94" w:rsidRPr="001A6F94" w:rsidRDefault="001A6F94" w:rsidP="001A6F94">
      <w:pPr>
        <w:tabs>
          <w:tab w:val="center" w:pos="4513"/>
          <w:tab w:val="right" w:pos="9026"/>
        </w:tabs>
        <w:jc w:val="both"/>
        <w:rPr>
          <w:rFonts w:eastAsia="Times New Roman" w:cs="Arial"/>
          <w:bCs/>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1276"/>
        <w:gridCol w:w="1277"/>
        <w:gridCol w:w="1274"/>
      </w:tblGrid>
      <w:tr w:rsidR="001A6F94" w:rsidRPr="001A6F94" w14:paraId="34F92B49" w14:textId="77777777" w:rsidTr="00C355D1">
        <w:tc>
          <w:tcPr>
            <w:tcW w:w="3969" w:type="dxa"/>
            <w:shd w:val="clear" w:color="auto" w:fill="0070C0"/>
          </w:tcPr>
          <w:p w14:paraId="77944B6F" w14:textId="77777777" w:rsidR="001A6F94" w:rsidRPr="001A6F94" w:rsidRDefault="001A6F94" w:rsidP="001A6F94">
            <w:pPr>
              <w:contextualSpacing/>
              <w:rPr>
                <w:rFonts w:cs="Arial"/>
                <w:b/>
                <w:color w:val="FFFFFF"/>
                <w:sz w:val="22"/>
              </w:rPr>
            </w:pPr>
            <w:r w:rsidRPr="001A6F94">
              <w:rPr>
                <w:rFonts w:cs="Arial"/>
                <w:b/>
                <w:color w:val="FFFFFF"/>
                <w:sz w:val="22"/>
              </w:rPr>
              <w:t>Table 2.31</w:t>
            </w:r>
          </w:p>
        </w:tc>
        <w:tc>
          <w:tcPr>
            <w:tcW w:w="1276" w:type="dxa"/>
            <w:shd w:val="clear" w:color="auto" w:fill="0070C0"/>
            <w:vAlign w:val="center"/>
          </w:tcPr>
          <w:p w14:paraId="0F1EDC49" w14:textId="77777777" w:rsidR="001A6F94" w:rsidRPr="001A6F94" w:rsidRDefault="001A6F94" w:rsidP="001A6F94">
            <w:pPr>
              <w:contextualSpacing/>
              <w:jc w:val="center"/>
              <w:rPr>
                <w:rFonts w:cs="Arial"/>
                <w:b/>
                <w:color w:val="FFFFFF"/>
                <w:sz w:val="22"/>
              </w:rPr>
            </w:pPr>
            <w:r w:rsidRPr="001A6F94">
              <w:rPr>
                <w:rFonts w:cs="Arial"/>
                <w:b/>
                <w:color w:val="FFFFFF"/>
                <w:sz w:val="22"/>
              </w:rPr>
              <w:t>Average Deposit Size</w:t>
            </w:r>
          </w:p>
        </w:tc>
        <w:tc>
          <w:tcPr>
            <w:tcW w:w="1276" w:type="dxa"/>
            <w:shd w:val="clear" w:color="auto" w:fill="0070C0"/>
            <w:vAlign w:val="center"/>
          </w:tcPr>
          <w:p w14:paraId="2DF592D8" w14:textId="77777777" w:rsidR="001A6F94" w:rsidRPr="001A6F94" w:rsidRDefault="001A6F94" w:rsidP="001A6F94">
            <w:pPr>
              <w:contextualSpacing/>
              <w:jc w:val="center"/>
              <w:rPr>
                <w:rFonts w:cs="Arial"/>
                <w:b/>
                <w:color w:val="FFFFFF"/>
                <w:sz w:val="22"/>
              </w:rPr>
            </w:pPr>
            <w:r w:rsidRPr="001A6F94">
              <w:rPr>
                <w:rFonts w:cs="Arial"/>
                <w:b/>
                <w:color w:val="FFFFFF"/>
                <w:sz w:val="22"/>
              </w:rPr>
              <w:t>Average Term</w:t>
            </w:r>
          </w:p>
        </w:tc>
        <w:tc>
          <w:tcPr>
            <w:tcW w:w="1277" w:type="dxa"/>
            <w:shd w:val="clear" w:color="auto" w:fill="0070C0"/>
            <w:vAlign w:val="center"/>
          </w:tcPr>
          <w:p w14:paraId="410F3665" w14:textId="77777777" w:rsidR="001A6F94" w:rsidRPr="001A6F94" w:rsidRDefault="001A6F94" w:rsidP="001A6F94">
            <w:pPr>
              <w:contextualSpacing/>
              <w:jc w:val="center"/>
              <w:rPr>
                <w:rFonts w:cs="Arial"/>
                <w:b/>
                <w:color w:val="FFFFFF"/>
                <w:sz w:val="22"/>
              </w:rPr>
            </w:pPr>
            <w:r w:rsidRPr="001A6F94">
              <w:rPr>
                <w:rFonts w:cs="Arial"/>
                <w:b/>
                <w:color w:val="FFFFFF"/>
                <w:sz w:val="22"/>
              </w:rPr>
              <w:t>Average Interest Rate</w:t>
            </w:r>
          </w:p>
        </w:tc>
        <w:tc>
          <w:tcPr>
            <w:tcW w:w="1274" w:type="dxa"/>
            <w:shd w:val="clear" w:color="auto" w:fill="0070C0"/>
            <w:vAlign w:val="center"/>
          </w:tcPr>
          <w:p w14:paraId="7FA696EE" w14:textId="77777777" w:rsidR="001A6F94" w:rsidRPr="001A6F94" w:rsidRDefault="001A6F94" w:rsidP="001A6F94">
            <w:pPr>
              <w:contextualSpacing/>
              <w:jc w:val="center"/>
              <w:rPr>
                <w:rFonts w:cs="Arial"/>
                <w:b/>
                <w:color w:val="FFFFFF"/>
                <w:sz w:val="22"/>
              </w:rPr>
            </w:pPr>
            <w:r w:rsidRPr="001A6F94">
              <w:rPr>
                <w:rFonts w:cs="Arial"/>
                <w:b/>
                <w:color w:val="FFFFFF"/>
                <w:sz w:val="22"/>
              </w:rPr>
              <w:t>Interest Earned</w:t>
            </w:r>
          </w:p>
        </w:tc>
      </w:tr>
      <w:tr w:rsidR="001A6F94" w:rsidRPr="001A6F94" w14:paraId="4626EC11" w14:textId="77777777" w:rsidTr="00C355D1">
        <w:trPr>
          <w:trHeight w:val="397"/>
        </w:trPr>
        <w:tc>
          <w:tcPr>
            <w:tcW w:w="3969" w:type="dxa"/>
            <w:vAlign w:val="center"/>
          </w:tcPr>
          <w:p w14:paraId="55FE6F0D" w14:textId="77777777" w:rsidR="001A6F94" w:rsidRPr="001A6F94" w:rsidRDefault="001A6F94" w:rsidP="001A6F94">
            <w:pPr>
              <w:contextualSpacing/>
              <w:rPr>
                <w:rFonts w:cs="Arial"/>
                <w:bCs/>
                <w:szCs w:val="24"/>
              </w:rPr>
            </w:pPr>
            <w:r w:rsidRPr="001A6F94">
              <w:rPr>
                <w:rFonts w:cs="Arial"/>
                <w:bCs/>
                <w:szCs w:val="24"/>
              </w:rPr>
              <w:t>CCLA Public Sector Deposit Fund</w:t>
            </w:r>
          </w:p>
        </w:tc>
        <w:tc>
          <w:tcPr>
            <w:tcW w:w="1276" w:type="dxa"/>
            <w:vAlign w:val="center"/>
          </w:tcPr>
          <w:p w14:paraId="1CF73644" w14:textId="77777777" w:rsidR="001A6F94" w:rsidRPr="001A6F94" w:rsidRDefault="001A6F94" w:rsidP="001A6F94">
            <w:pPr>
              <w:contextualSpacing/>
              <w:jc w:val="center"/>
              <w:rPr>
                <w:rFonts w:cs="Arial"/>
                <w:szCs w:val="24"/>
              </w:rPr>
            </w:pPr>
            <w:r w:rsidRPr="001A6F94">
              <w:rPr>
                <w:rFonts w:cs="Arial"/>
                <w:szCs w:val="24"/>
              </w:rPr>
              <w:t>£3.02m</w:t>
            </w:r>
          </w:p>
        </w:tc>
        <w:tc>
          <w:tcPr>
            <w:tcW w:w="1276" w:type="dxa"/>
            <w:vAlign w:val="center"/>
          </w:tcPr>
          <w:p w14:paraId="52E9A1CC" w14:textId="77777777" w:rsidR="001A6F94" w:rsidRPr="001A6F94" w:rsidRDefault="001A6F94" w:rsidP="001A6F94">
            <w:pPr>
              <w:contextualSpacing/>
              <w:jc w:val="center"/>
              <w:rPr>
                <w:rFonts w:cs="Arial"/>
                <w:szCs w:val="24"/>
              </w:rPr>
            </w:pPr>
            <w:r w:rsidRPr="001A6F94">
              <w:rPr>
                <w:rFonts w:cs="Arial"/>
                <w:szCs w:val="24"/>
              </w:rPr>
              <w:t>Call A/c</w:t>
            </w:r>
          </w:p>
        </w:tc>
        <w:tc>
          <w:tcPr>
            <w:tcW w:w="1277" w:type="dxa"/>
            <w:vAlign w:val="center"/>
          </w:tcPr>
          <w:p w14:paraId="67F0F9CE" w14:textId="77777777" w:rsidR="001A6F94" w:rsidRPr="001A6F94" w:rsidRDefault="001A6F94" w:rsidP="001A6F94">
            <w:pPr>
              <w:contextualSpacing/>
              <w:jc w:val="center"/>
              <w:rPr>
                <w:rFonts w:cs="Arial"/>
                <w:szCs w:val="24"/>
              </w:rPr>
            </w:pPr>
            <w:r w:rsidRPr="001A6F94">
              <w:rPr>
                <w:rFonts w:cs="Arial"/>
                <w:szCs w:val="24"/>
              </w:rPr>
              <w:t>5.04%</w:t>
            </w:r>
          </w:p>
        </w:tc>
        <w:tc>
          <w:tcPr>
            <w:tcW w:w="1274" w:type="dxa"/>
            <w:vAlign w:val="center"/>
          </w:tcPr>
          <w:p w14:paraId="22AC46DA" w14:textId="77777777" w:rsidR="001A6F94" w:rsidRPr="001A6F94" w:rsidRDefault="001A6F94" w:rsidP="001A6F94">
            <w:pPr>
              <w:contextualSpacing/>
              <w:jc w:val="right"/>
              <w:rPr>
                <w:rFonts w:cs="Arial"/>
                <w:szCs w:val="24"/>
              </w:rPr>
            </w:pPr>
            <w:r w:rsidRPr="001A6F94">
              <w:rPr>
                <w:rFonts w:cs="Arial"/>
                <w:szCs w:val="24"/>
              </w:rPr>
              <w:t>£114,802</w:t>
            </w:r>
          </w:p>
        </w:tc>
      </w:tr>
      <w:tr w:rsidR="001A6F94" w:rsidRPr="001A6F94" w14:paraId="643B45C2" w14:textId="77777777" w:rsidTr="00C355D1">
        <w:trPr>
          <w:trHeight w:val="397"/>
        </w:trPr>
        <w:tc>
          <w:tcPr>
            <w:tcW w:w="3969" w:type="dxa"/>
            <w:vAlign w:val="center"/>
          </w:tcPr>
          <w:p w14:paraId="5E3B1DF8" w14:textId="77777777" w:rsidR="001A6F94" w:rsidRPr="001A6F94" w:rsidRDefault="001A6F94" w:rsidP="001A6F94">
            <w:pPr>
              <w:contextualSpacing/>
              <w:rPr>
                <w:rFonts w:cs="Arial"/>
                <w:bCs/>
                <w:szCs w:val="24"/>
              </w:rPr>
            </w:pPr>
            <w:r w:rsidRPr="001A6F94">
              <w:rPr>
                <w:rFonts w:cs="Arial"/>
                <w:bCs/>
                <w:szCs w:val="24"/>
              </w:rPr>
              <w:t>Invesco Investment Mgt Ltd</w:t>
            </w:r>
          </w:p>
        </w:tc>
        <w:tc>
          <w:tcPr>
            <w:tcW w:w="1276" w:type="dxa"/>
            <w:vAlign w:val="center"/>
          </w:tcPr>
          <w:p w14:paraId="1CF98C1C" w14:textId="77777777" w:rsidR="001A6F94" w:rsidRPr="001A6F94" w:rsidRDefault="001A6F94" w:rsidP="001A6F94">
            <w:pPr>
              <w:contextualSpacing/>
              <w:jc w:val="center"/>
              <w:rPr>
                <w:rFonts w:cs="Arial"/>
                <w:szCs w:val="24"/>
              </w:rPr>
            </w:pPr>
            <w:r w:rsidRPr="001A6F94">
              <w:rPr>
                <w:rFonts w:cs="Arial"/>
                <w:szCs w:val="24"/>
              </w:rPr>
              <w:t>£2.97m</w:t>
            </w:r>
          </w:p>
        </w:tc>
        <w:tc>
          <w:tcPr>
            <w:tcW w:w="1276" w:type="dxa"/>
            <w:vAlign w:val="center"/>
          </w:tcPr>
          <w:p w14:paraId="2C80DFEC" w14:textId="77777777" w:rsidR="001A6F94" w:rsidRPr="001A6F94" w:rsidRDefault="001A6F94" w:rsidP="001A6F94">
            <w:pPr>
              <w:contextualSpacing/>
              <w:jc w:val="center"/>
              <w:rPr>
                <w:rFonts w:cs="Arial"/>
                <w:szCs w:val="24"/>
              </w:rPr>
            </w:pPr>
            <w:r w:rsidRPr="001A6F94">
              <w:rPr>
                <w:rFonts w:cs="Arial"/>
                <w:szCs w:val="24"/>
              </w:rPr>
              <w:t>Call A/c</w:t>
            </w:r>
          </w:p>
        </w:tc>
        <w:tc>
          <w:tcPr>
            <w:tcW w:w="1277" w:type="dxa"/>
            <w:vAlign w:val="center"/>
          </w:tcPr>
          <w:p w14:paraId="671B1ABA" w14:textId="77777777" w:rsidR="001A6F94" w:rsidRPr="001A6F94" w:rsidRDefault="001A6F94" w:rsidP="001A6F94">
            <w:pPr>
              <w:contextualSpacing/>
              <w:jc w:val="center"/>
              <w:rPr>
                <w:rFonts w:cs="Arial"/>
                <w:szCs w:val="24"/>
              </w:rPr>
            </w:pPr>
            <w:r w:rsidRPr="001A6F94">
              <w:rPr>
                <w:rFonts w:cs="Arial"/>
                <w:szCs w:val="24"/>
              </w:rPr>
              <w:t>5.04%</w:t>
            </w:r>
          </w:p>
        </w:tc>
        <w:tc>
          <w:tcPr>
            <w:tcW w:w="1274" w:type="dxa"/>
            <w:vAlign w:val="center"/>
          </w:tcPr>
          <w:p w14:paraId="15DD420A" w14:textId="77777777" w:rsidR="001A6F94" w:rsidRPr="001A6F94" w:rsidRDefault="001A6F94" w:rsidP="001A6F94">
            <w:pPr>
              <w:contextualSpacing/>
              <w:jc w:val="right"/>
              <w:rPr>
                <w:rFonts w:cs="Arial"/>
                <w:szCs w:val="24"/>
              </w:rPr>
            </w:pPr>
            <w:r w:rsidRPr="001A6F94">
              <w:rPr>
                <w:rFonts w:cs="Arial"/>
                <w:szCs w:val="24"/>
              </w:rPr>
              <w:t>£113,007</w:t>
            </w:r>
          </w:p>
        </w:tc>
      </w:tr>
      <w:tr w:rsidR="001A6F94" w:rsidRPr="001A6F94" w14:paraId="777822CB" w14:textId="77777777" w:rsidTr="00C355D1">
        <w:trPr>
          <w:trHeight w:val="397"/>
        </w:trPr>
        <w:tc>
          <w:tcPr>
            <w:tcW w:w="3969" w:type="dxa"/>
            <w:vAlign w:val="center"/>
          </w:tcPr>
          <w:p w14:paraId="50F0124B" w14:textId="77777777" w:rsidR="001A6F94" w:rsidRPr="001A6F94" w:rsidRDefault="001A6F94" w:rsidP="001A6F94">
            <w:pPr>
              <w:contextualSpacing/>
              <w:rPr>
                <w:rFonts w:cs="Arial"/>
                <w:bCs/>
                <w:szCs w:val="24"/>
              </w:rPr>
            </w:pPr>
            <w:r w:rsidRPr="001A6F94">
              <w:rPr>
                <w:rFonts w:cs="Arial"/>
                <w:bCs/>
                <w:szCs w:val="24"/>
              </w:rPr>
              <w:t>State Street Global Advisors</w:t>
            </w:r>
          </w:p>
        </w:tc>
        <w:tc>
          <w:tcPr>
            <w:tcW w:w="1276" w:type="dxa"/>
            <w:vAlign w:val="center"/>
          </w:tcPr>
          <w:p w14:paraId="24FAB9E3" w14:textId="77777777" w:rsidR="001A6F94" w:rsidRPr="001A6F94" w:rsidRDefault="001A6F94" w:rsidP="001A6F94">
            <w:pPr>
              <w:contextualSpacing/>
              <w:jc w:val="center"/>
              <w:rPr>
                <w:rFonts w:cs="Arial"/>
                <w:szCs w:val="24"/>
              </w:rPr>
            </w:pPr>
            <w:r w:rsidRPr="001A6F94">
              <w:rPr>
                <w:rFonts w:cs="Arial"/>
                <w:szCs w:val="24"/>
              </w:rPr>
              <w:t>£3.02m</w:t>
            </w:r>
          </w:p>
        </w:tc>
        <w:tc>
          <w:tcPr>
            <w:tcW w:w="1276" w:type="dxa"/>
            <w:vAlign w:val="center"/>
          </w:tcPr>
          <w:p w14:paraId="41BA0FDB" w14:textId="77777777" w:rsidR="001A6F94" w:rsidRPr="001A6F94" w:rsidRDefault="001A6F94" w:rsidP="001A6F94">
            <w:pPr>
              <w:contextualSpacing/>
              <w:jc w:val="center"/>
              <w:rPr>
                <w:rFonts w:cs="Arial"/>
                <w:szCs w:val="24"/>
              </w:rPr>
            </w:pPr>
            <w:r w:rsidRPr="001A6F94">
              <w:rPr>
                <w:rFonts w:cs="Arial"/>
                <w:szCs w:val="24"/>
              </w:rPr>
              <w:t>Call A/c</w:t>
            </w:r>
          </w:p>
        </w:tc>
        <w:tc>
          <w:tcPr>
            <w:tcW w:w="1277" w:type="dxa"/>
            <w:vAlign w:val="center"/>
          </w:tcPr>
          <w:p w14:paraId="19FF2EF6" w14:textId="77777777" w:rsidR="001A6F94" w:rsidRPr="001A6F94" w:rsidRDefault="001A6F94" w:rsidP="001A6F94">
            <w:pPr>
              <w:contextualSpacing/>
              <w:jc w:val="center"/>
              <w:rPr>
                <w:rFonts w:cs="Arial"/>
                <w:szCs w:val="24"/>
              </w:rPr>
            </w:pPr>
            <w:r w:rsidRPr="001A6F94">
              <w:rPr>
                <w:rFonts w:cs="Arial"/>
                <w:szCs w:val="24"/>
              </w:rPr>
              <w:t>5.02%</w:t>
            </w:r>
          </w:p>
        </w:tc>
        <w:tc>
          <w:tcPr>
            <w:tcW w:w="1274" w:type="dxa"/>
            <w:vAlign w:val="center"/>
          </w:tcPr>
          <w:p w14:paraId="6DB94425" w14:textId="77777777" w:rsidR="001A6F94" w:rsidRPr="001A6F94" w:rsidRDefault="001A6F94" w:rsidP="001A6F94">
            <w:pPr>
              <w:contextualSpacing/>
              <w:jc w:val="right"/>
              <w:rPr>
                <w:rFonts w:cs="Arial"/>
                <w:szCs w:val="24"/>
              </w:rPr>
            </w:pPr>
            <w:r w:rsidRPr="001A6F94">
              <w:rPr>
                <w:rFonts w:cs="Arial"/>
                <w:szCs w:val="24"/>
              </w:rPr>
              <w:t>£114,471</w:t>
            </w:r>
          </w:p>
        </w:tc>
      </w:tr>
      <w:tr w:rsidR="001A6F94" w:rsidRPr="001A6F94" w14:paraId="1438B114" w14:textId="77777777" w:rsidTr="00C355D1">
        <w:trPr>
          <w:trHeight w:val="397"/>
        </w:trPr>
        <w:tc>
          <w:tcPr>
            <w:tcW w:w="3969" w:type="dxa"/>
            <w:vAlign w:val="center"/>
          </w:tcPr>
          <w:p w14:paraId="56DBC08D" w14:textId="77777777" w:rsidR="001A6F94" w:rsidRPr="001A6F94" w:rsidRDefault="001A6F94" w:rsidP="001A6F94">
            <w:pPr>
              <w:contextualSpacing/>
              <w:rPr>
                <w:rFonts w:cs="Arial"/>
                <w:bCs/>
                <w:szCs w:val="24"/>
              </w:rPr>
            </w:pPr>
            <w:r w:rsidRPr="001A6F94">
              <w:rPr>
                <w:rFonts w:cs="Arial"/>
                <w:bCs/>
                <w:szCs w:val="24"/>
              </w:rPr>
              <w:t>Barclays Bank</w:t>
            </w:r>
          </w:p>
        </w:tc>
        <w:tc>
          <w:tcPr>
            <w:tcW w:w="1276" w:type="dxa"/>
            <w:vAlign w:val="center"/>
          </w:tcPr>
          <w:p w14:paraId="4776D656" w14:textId="77777777" w:rsidR="001A6F94" w:rsidRPr="001A6F94" w:rsidRDefault="001A6F94" w:rsidP="001A6F94">
            <w:pPr>
              <w:contextualSpacing/>
              <w:jc w:val="center"/>
              <w:rPr>
                <w:rFonts w:cs="Arial"/>
                <w:szCs w:val="24"/>
              </w:rPr>
            </w:pPr>
            <w:r w:rsidRPr="001A6F94">
              <w:rPr>
                <w:rFonts w:cs="Arial"/>
                <w:szCs w:val="24"/>
              </w:rPr>
              <w:t>£1.66m</w:t>
            </w:r>
          </w:p>
        </w:tc>
        <w:tc>
          <w:tcPr>
            <w:tcW w:w="1276" w:type="dxa"/>
            <w:vAlign w:val="center"/>
          </w:tcPr>
          <w:p w14:paraId="35097769" w14:textId="77777777" w:rsidR="001A6F94" w:rsidRPr="001A6F94" w:rsidRDefault="001A6F94" w:rsidP="001A6F94">
            <w:pPr>
              <w:contextualSpacing/>
              <w:jc w:val="center"/>
              <w:rPr>
                <w:rFonts w:cs="Arial"/>
                <w:szCs w:val="24"/>
              </w:rPr>
            </w:pPr>
            <w:r w:rsidRPr="001A6F94">
              <w:rPr>
                <w:rFonts w:cs="Arial"/>
                <w:szCs w:val="24"/>
              </w:rPr>
              <w:t>Call A/c</w:t>
            </w:r>
          </w:p>
        </w:tc>
        <w:tc>
          <w:tcPr>
            <w:tcW w:w="1277" w:type="dxa"/>
            <w:vAlign w:val="center"/>
          </w:tcPr>
          <w:p w14:paraId="4736CCA3" w14:textId="77777777" w:rsidR="001A6F94" w:rsidRPr="001A6F94" w:rsidRDefault="001A6F94" w:rsidP="001A6F94">
            <w:pPr>
              <w:contextualSpacing/>
              <w:jc w:val="center"/>
              <w:rPr>
                <w:rFonts w:cs="Arial"/>
                <w:szCs w:val="24"/>
              </w:rPr>
            </w:pPr>
            <w:r w:rsidRPr="001A6F94">
              <w:rPr>
                <w:rFonts w:cs="Arial"/>
                <w:szCs w:val="24"/>
              </w:rPr>
              <w:t>4.82%</w:t>
            </w:r>
          </w:p>
        </w:tc>
        <w:tc>
          <w:tcPr>
            <w:tcW w:w="1274" w:type="dxa"/>
            <w:vAlign w:val="center"/>
          </w:tcPr>
          <w:p w14:paraId="1C556CB9" w14:textId="77777777" w:rsidR="001A6F94" w:rsidRPr="001A6F94" w:rsidRDefault="001A6F94" w:rsidP="001A6F94">
            <w:pPr>
              <w:contextualSpacing/>
              <w:jc w:val="right"/>
              <w:rPr>
                <w:rFonts w:cs="Arial"/>
                <w:szCs w:val="24"/>
              </w:rPr>
            </w:pPr>
            <w:r w:rsidRPr="001A6F94">
              <w:rPr>
                <w:rFonts w:cs="Arial"/>
                <w:szCs w:val="24"/>
              </w:rPr>
              <w:t>£57,888</w:t>
            </w:r>
          </w:p>
        </w:tc>
      </w:tr>
      <w:tr w:rsidR="001A6F94" w:rsidRPr="001A6F94" w14:paraId="1E68C2A3" w14:textId="77777777" w:rsidTr="00C355D1">
        <w:trPr>
          <w:trHeight w:val="397"/>
        </w:trPr>
        <w:tc>
          <w:tcPr>
            <w:tcW w:w="3969" w:type="dxa"/>
            <w:vAlign w:val="center"/>
          </w:tcPr>
          <w:p w14:paraId="5DEE04C3" w14:textId="77777777" w:rsidR="001A6F94" w:rsidRPr="001A6F94" w:rsidRDefault="001A6F94" w:rsidP="001A6F94">
            <w:pPr>
              <w:contextualSpacing/>
              <w:rPr>
                <w:rFonts w:cs="Arial"/>
                <w:bCs/>
                <w:szCs w:val="24"/>
              </w:rPr>
            </w:pPr>
            <w:r w:rsidRPr="001A6F94">
              <w:rPr>
                <w:rFonts w:cs="Arial"/>
                <w:bCs/>
                <w:szCs w:val="24"/>
              </w:rPr>
              <w:t>Bank of Scotland</w:t>
            </w:r>
          </w:p>
        </w:tc>
        <w:tc>
          <w:tcPr>
            <w:tcW w:w="1276" w:type="dxa"/>
            <w:vAlign w:val="center"/>
          </w:tcPr>
          <w:p w14:paraId="0F398509" w14:textId="77777777" w:rsidR="001A6F94" w:rsidRPr="001A6F94" w:rsidRDefault="001A6F94" w:rsidP="001A6F94">
            <w:pPr>
              <w:contextualSpacing/>
              <w:jc w:val="center"/>
              <w:rPr>
                <w:rFonts w:cs="Arial"/>
                <w:szCs w:val="24"/>
              </w:rPr>
            </w:pPr>
            <w:r w:rsidRPr="001A6F94">
              <w:rPr>
                <w:rFonts w:cs="Arial"/>
                <w:szCs w:val="24"/>
              </w:rPr>
              <w:t>£2.31m</w:t>
            </w:r>
          </w:p>
        </w:tc>
        <w:tc>
          <w:tcPr>
            <w:tcW w:w="1276" w:type="dxa"/>
            <w:vAlign w:val="center"/>
          </w:tcPr>
          <w:p w14:paraId="2CB155BB" w14:textId="77777777" w:rsidR="001A6F94" w:rsidRPr="001A6F94" w:rsidRDefault="001A6F94" w:rsidP="001A6F94">
            <w:pPr>
              <w:contextualSpacing/>
              <w:jc w:val="center"/>
              <w:rPr>
                <w:rFonts w:cs="Arial"/>
                <w:szCs w:val="24"/>
              </w:rPr>
            </w:pPr>
            <w:r w:rsidRPr="001A6F94">
              <w:rPr>
                <w:rFonts w:cs="Arial"/>
                <w:szCs w:val="24"/>
              </w:rPr>
              <w:t>Call A/c</w:t>
            </w:r>
          </w:p>
        </w:tc>
        <w:tc>
          <w:tcPr>
            <w:tcW w:w="1277" w:type="dxa"/>
            <w:vAlign w:val="center"/>
          </w:tcPr>
          <w:p w14:paraId="2A32A7E6" w14:textId="77777777" w:rsidR="001A6F94" w:rsidRPr="001A6F94" w:rsidRDefault="001A6F94" w:rsidP="001A6F94">
            <w:pPr>
              <w:contextualSpacing/>
              <w:jc w:val="center"/>
              <w:rPr>
                <w:rFonts w:cs="Arial"/>
                <w:szCs w:val="24"/>
              </w:rPr>
            </w:pPr>
            <w:r w:rsidRPr="001A6F94">
              <w:rPr>
                <w:rFonts w:cs="Arial"/>
                <w:szCs w:val="24"/>
              </w:rPr>
              <w:t>4.94%</w:t>
            </w:r>
          </w:p>
        </w:tc>
        <w:tc>
          <w:tcPr>
            <w:tcW w:w="1274" w:type="dxa"/>
            <w:vAlign w:val="center"/>
          </w:tcPr>
          <w:p w14:paraId="745FE889" w14:textId="77777777" w:rsidR="001A6F94" w:rsidRPr="001A6F94" w:rsidRDefault="001A6F94" w:rsidP="001A6F94">
            <w:pPr>
              <w:contextualSpacing/>
              <w:jc w:val="right"/>
              <w:rPr>
                <w:rFonts w:cs="Arial"/>
                <w:szCs w:val="24"/>
              </w:rPr>
            </w:pPr>
            <w:r w:rsidRPr="001A6F94">
              <w:rPr>
                <w:rFonts w:cs="Arial"/>
                <w:szCs w:val="24"/>
              </w:rPr>
              <w:t>£78,756</w:t>
            </w:r>
          </w:p>
        </w:tc>
      </w:tr>
      <w:tr w:rsidR="001A6F94" w:rsidRPr="001A6F94" w14:paraId="67A5B8DD" w14:textId="77777777" w:rsidTr="00C355D1">
        <w:trPr>
          <w:trHeight w:val="397"/>
        </w:trPr>
        <w:tc>
          <w:tcPr>
            <w:tcW w:w="3969" w:type="dxa"/>
            <w:vAlign w:val="center"/>
          </w:tcPr>
          <w:p w14:paraId="33FFAC3A" w14:textId="77777777" w:rsidR="001A6F94" w:rsidRPr="001A6F94" w:rsidRDefault="001A6F94" w:rsidP="001A6F94">
            <w:pPr>
              <w:contextualSpacing/>
              <w:rPr>
                <w:rFonts w:cs="Arial"/>
                <w:bCs/>
                <w:szCs w:val="24"/>
              </w:rPr>
            </w:pPr>
            <w:r w:rsidRPr="001A6F94">
              <w:rPr>
                <w:rFonts w:cs="Arial"/>
                <w:bCs/>
                <w:szCs w:val="24"/>
              </w:rPr>
              <w:t>Santander</w:t>
            </w:r>
          </w:p>
        </w:tc>
        <w:tc>
          <w:tcPr>
            <w:tcW w:w="1276" w:type="dxa"/>
            <w:vAlign w:val="center"/>
          </w:tcPr>
          <w:p w14:paraId="727EEBB5" w14:textId="77777777" w:rsidR="001A6F94" w:rsidRPr="001A6F94" w:rsidRDefault="001A6F94" w:rsidP="001A6F94">
            <w:pPr>
              <w:contextualSpacing/>
              <w:jc w:val="center"/>
              <w:rPr>
                <w:rFonts w:cs="Arial"/>
                <w:szCs w:val="24"/>
              </w:rPr>
            </w:pPr>
            <w:r w:rsidRPr="001A6F94">
              <w:rPr>
                <w:rFonts w:cs="Arial"/>
                <w:szCs w:val="24"/>
              </w:rPr>
              <w:t>£1.10m</w:t>
            </w:r>
          </w:p>
        </w:tc>
        <w:tc>
          <w:tcPr>
            <w:tcW w:w="1276" w:type="dxa"/>
            <w:vAlign w:val="center"/>
          </w:tcPr>
          <w:p w14:paraId="0A257944" w14:textId="77777777" w:rsidR="001A6F94" w:rsidRPr="001A6F94" w:rsidRDefault="001A6F94" w:rsidP="001A6F94">
            <w:pPr>
              <w:contextualSpacing/>
              <w:jc w:val="center"/>
              <w:rPr>
                <w:rFonts w:cs="Arial"/>
                <w:szCs w:val="24"/>
              </w:rPr>
            </w:pPr>
            <w:r w:rsidRPr="001A6F94">
              <w:rPr>
                <w:rFonts w:cs="Arial"/>
                <w:szCs w:val="24"/>
              </w:rPr>
              <w:t>Call A/c</w:t>
            </w:r>
          </w:p>
        </w:tc>
        <w:tc>
          <w:tcPr>
            <w:tcW w:w="1277" w:type="dxa"/>
            <w:vAlign w:val="center"/>
          </w:tcPr>
          <w:p w14:paraId="5AA9D894" w14:textId="77777777" w:rsidR="001A6F94" w:rsidRPr="001A6F94" w:rsidRDefault="001A6F94" w:rsidP="001A6F94">
            <w:pPr>
              <w:contextualSpacing/>
              <w:jc w:val="center"/>
              <w:rPr>
                <w:rFonts w:cs="Arial"/>
                <w:szCs w:val="24"/>
              </w:rPr>
            </w:pPr>
            <w:r w:rsidRPr="001A6F94">
              <w:rPr>
                <w:rFonts w:cs="Arial"/>
                <w:szCs w:val="24"/>
              </w:rPr>
              <w:t>3.13%</w:t>
            </w:r>
          </w:p>
        </w:tc>
        <w:tc>
          <w:tcPr>
            <w:tcW w:w="1274" w:type="dxa"/>
            <w:vAlign w:val="center"/>
          </w:tcPr>
          <w:p w14:paraId="40E68C6B" w14:textId="77777777" w:rsidR="001A6F94" w:rsidRPr="001A6F94" w:rsidRDefault="001A6F94" w:rsidP="001A6F94">
            <w:pPr>
              <w:contextualSpacing/>
              <w:jc w:val="right"/>
              <w:rPr>
                <w:rFonts w:cs="Arial"/>
                <w:szCs w:val="24"/>
              </w:rPr>
            </w:pPr>
            <w:r w:rsidRPr="001A6F94">
              <w:rPr>
                <w:rFonts w:cs="Arial"/>
                <w:szCs w:val="24"/>
              </w:rPr>
              <w:t>£4,862</w:t>
            </w:r>
          </w:p>
        </w:tc>
      </w:tr>
      <w:tr w:rsidR="001A6F94" w:rsidRPr="001A6F94" w14:paraId="1029B558" w14:textId="77777777" w:rsidTr="001A6F94">
        <w:trPr>
          <w:trHeight w:val="397"/>
        </w:trPr>
        <w:tc>
          <w:tcPr>
            <w:tcW w:w="7798" w:type="dxa"/>
            <w:gridSpan w:val="4"/>
            <w:shd w:val="clear" w:color="auto" w:fill="D9D9D9"/>
            <w:vAlign w:val="center"/>
          </w:tcPr>
          <w:p w14:paraId="5BB1E7E0" w14:textId="77777777" w:rsidR="001A6F94" w:rsidRPr="001A6F94" w:rsidRDefault="001A6F94" w:rsidP="001A6F94">
            <w:pPr>
              <w:contextualSpacing/>
              <w:rPr>
                <w:rFonts w:cs="Arial"/>
                <w:b/>
                <w:szCs w:val="24"/>
              </w:rPr>
            </w:pPr>
            <w:r w:rsidRPr="001A6F94">
              <w:rPr>
                <w:rFonts w:cs="Arial"/>
                <w:b/>
                <w:szCs w:val="24"/>
              </w:rPr>
              <w:lastRenderedPageBreak/>
              <w:t>Totals</w:t>
            </w:r>
          </w:p>
        </w:tc>
        <w:tc>
          <w:tcPr>
            <w:tcW w:w="1274" w:type="dxa"/>
            <w:shd w:val="clear" w:color="auto" w:fill="D9D9D9"/>
            <w:vAlign w:val="center"/>
          </w:tcPr>
          <w:p w14:paraId="5319644D" w14:textId="77777777" w:rsidR="001A6F94" w:rsidRPr="001A6F94" w:rsidRDefault="001A6F94" w:rsidP="001A6F94">
            <w:pPr>
              <w:contextualSpacing/>
              <w:jc w:val="right"/>
              <w:rPr>
                <w:rFonts w:cs="Arial"/>
                <w:b/>
                <w:szCs w:val="24"/>
              </w:rPr>
            </w:pPr>
            <w:r w:rsidRPr="001A6F94">
              <w:rPr>
                <w:rFonts w:cs="Arial"/>
                <w:b/>
                <w:szCs w:val="24"/>
              </w:rPr>
              <w:t>£483,786</w:t>
            </w:r>
          </w:p>
        </w:tc>
      </w:tr>
    </w:tbl>
    <w:p w14:paraId="2B1E9C81" w14:textId="77777777" w:rsidR="001A6F94" w:rsidRPr="001A6F94" w:rsidRDefault="001A6F94" w:rsidP="001A6F94">
      <w:pPr>
        <w:jc w:val="both"/>
        <w:rPr>
          <w:rFonts w:eastAsia="Times New Roman" w:cs="Arial"/>
          <w:szCs w:val="20"/>
        </w:rPr>
      </w:pPr>
    </w:p>
    <w:p w14:paraId="5066C8CB" w14:textId="4FB69E8B" w:rsidR="001A6F94" w:rsidRPr="001A6F94" w:rsidRDefault="001A6F94" w:rsidP="00A30315">
      <w:pPr>
        <w:rPr>
          <w:rFonts w:eastAsia="Times New Roman" w:cs="Arial"/>
          <w:szCs w:val="20"/>
        </w:rPr>
      </w:pPr>
      <w:r w:rsidRPr="001A6F94">
        <w:rPr>
          <w:rFonts w:eastAsia="Times New Roman" w:cs="Arial"/>
          <w:szCs w:val="20"/>
        </w:rPr>
        <w:t>Th</w:t>
      </w:r>
      <w:r w:rsidR="00A30315">
        <w:rPr>
          <w:rFonts w:eastAsia="Times New Roman" w:cs="Arial"/>
          <w:szCs w:val="20"/>
        </w:rPr>
        <w:t>at</w:t>
      </w:r>
      <w:r w:rsidRPr="001A6F94">
        <w:rPr>
          <w:rFonts w:eastAsia="Times New Roman" w:cs="Arial"/>
          <w:szCs w:val="20"/>
        </w:rPr>
        <w:t xml:space="preserve"> compared favourably to the budget set for the same period of £397K, resulting in a favourable variance of £87K.  </w:t>
      </w:r>
    </w:p>
    <w:p w14:paraId="1231FBF9" w14:textId="77777777" w:rsidR="001A6F94" w:rsidRPr="001A6F94" w:rsidRDefault="001A6F94" w:rsidP="00A30315">
      <w:pPr>
        <w:rPr>
          <w:rFonts w:eastAsia="Times New Roman" w:cs="Arial"/>
          <w:szCs w:val="20"/>
        </w:rPr>
      </w:pPr>
    </w:p>
    <w:p w14:paraId="229C4C56" w14:textId="77777777" w:rsidR="001A6F94" w:rsidRPr="001A6F94" w:rsidRDefault="001A6F94" w:rsidP="00A30315">
      <w:pPr>
        <w:rPr>
          <w:rFonts w:eastAsia="Times New Roman" w:cs="Arial"/>
          <w:szCs w:val="20"/>
        </w:rPr>
      </w:pPr>
      <w:r w:rsidRPr="001A6F94">
        <w:rPr>
          <w:rFonts w:eastAsia="Times New Roman" w:cs="Arial"/>
          <w:szCs w:val="20"/>
        </w:rPr>
        <w:t xml:space="preserve">The total balance of funds held in investment accounts at 31 December 2024 was £11.5M.  </w:t>
      </w:r>
    </w:p>
    <w:p w14:paraId="612940A7" w14:textId="77777777" w:rsidR="001A6F94" w:rsidRPr="001A6F94" w:rsidRDefault="001A6F94" w:rsidP="00A30315">
      <w:pPr>
        <w:rPr>
          <w:rFonts w:eastAsia="Times New Roman" w:cs="Arial"/>
          <w:szCs w:val="20"/>
        </w:rPr>
      </w:pPr>
    </w:p>
    <w:p w14:paraId="06A23677" w14:textId="77777777" w:rsidR="001A6F94" w:rsidRPr="001A6F94" w:rsidRDefault="001A6F94" w:rsidP="00A30315">
      <w:pPr>
        <w:rPr>
          <w:rFonts w:eastAsia="Times New Roman" w:cs="Arial"/>
          <w:szCs w:val="20"/>
        </w:rPr>
      </w:pPr>
      <w:r w:rsidRPr="001A6F94">
        <w:rPr>
          <w:rFonts w:eastAsia="Times New Roman" w:cs="Arial"/>
          <w:szCs w:val="20"/>
        </w:rPr>
        <w:t>The table below showed the risk and return metrics on the Council’s investments held at 31 December 2024 against other NI Councils.</w:t>
      </w:r>
    </w:p>
    <w:p w14:paraId="18102702" w14:textId="77777777" w:rsidR="001A6F94" w:rsidRPr="001A6F94" w:rsidRDefault="001A6F94" w:rsidP="001A6F94">
      <w:pPr>
        <w:jc w:val="both"/>
        <w:rPr>
          <w:rFonts w:eastAsia="Times New Roman" w:cs="Arial"/>
          <w:szCs w:val="20"/>
        </w:rPr>
      </w:pP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1984"/>
        <w:gridCol w:w="1418"/>
        <w:gridCol w:w="2268"/>
      </w:tblGrid>
      <w:tr w:rsidR="001A6F94" w:rsidRPr="001A6F94" w14:paraId="08BA18F2" w14:textId="77777777" w:rsidTr="00C355D1">
        <w:trPr>
          <w:trHeight w:val="454"/>
        </w:trPr>
        <w:tc>
          <w:tcPr>
            <w:tcW w:w="3124" w:type="dxa"/>
            <w:tcBorders>
              <w:top w:val="nil"/>
              <w:left w:val="nil"/>
              <w:bottom w:val="single" w:sz="4" w:space="0" w:color="auto"/>
              <w:right w:val="single" w:sz="4" w:space="0" w:color="auto"/>
            </w:tcBorders>
          </w:tcPr>
          <w:p w14:paraId="3EB53EE9" w14:textId="77777777" w:rsidR="001A6F94" w:rsidRPr="001A6F94" w:rsidRDefault="001A6F94" w:rsidP="001A6F94">
            <w:pPr>
              <w:contextualSpacing/>
              <w:rPr>
                <w:rFonts w:cs="Arial"/>
                <w:b/>
                <w:color w:val="FFFFFF"/>
                <w:sz w:val="22"/>
              </w:rPr>
            </w:pPr>
            <w:r w:rsidRPr="001A6F94">
              <w:rPr>
                <w:rFonts w:cs="Arial"/>
                <w:b/>
                <w:color w:val="FFFFFF"/>
                <w:sz w:val="22"/>
              </w:rPr>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4A3B398D" w14:textId="77777777" w:rsidR="001A6F94" w:rsidRPr="001A6F94" w:rsidRDefault="001A6F94" w:rsidP="001A6F94">
            <w:pPr>
              <w:contextualSpacing/>
              <w:jc w:val="center"/>
              <w:rPr>
                <w:rFonts w:cs="Arial"/>
                <w:b/>
                <w:color w:val="FFFFFF"/>
                <w:sz w:val="22"/>
              </w:rPr>
            </w:pPr>
            <w:r w:rsidRPr="001A6F94">
              <w:rPr>
                <w:rFonts w:cs="Arial"/>
                <w:b/>
                <w:color w:val="FFFFFF"/>
                <w:sz w:val="22"/>
              </w:rPr>
              <w:t>Counterparties</w:t>
            </w:r>
          </w:p>
        </w:tc>
        <w:tc>
          <w:tcPr>
            <w:tcW w:w="3686" w:type="dxa"/>
            <w:gridSpan w:val="2"/>
            <w:tcBorders>
              <w:left w:val="single" w:sz="4" w:space="0" w:color="auto"/>
            </w:tcBorders>
            <w:shd w:val="clear" w:color="auto" w:fill="0070C0"/>
            <w:vAlign w:val="center"/>
          </w:tcPr>
          <w:p w14:paraId="5D1BA5F2" w14:textId="77777777" w:rsidR="001A6F94" w:rsidRPr="001A6F94" w:rsidRDefault="001A6F94" w:rsidP="001A6F94">
            <w:pPr>
              <w:contextualSpacing/>
              <w:jc w:val="center"/>
              <w:rPr>
                <w:rFonts w:cs="Arial"/>
                <w:b/>
                <w:color w:val="FFFFFF"/>
                <w:sz w:val="22"/>
              </w:rPr>
            </w:pPr>
            <w:r w:rsidRPr="001A6F94">
              <w:rPr>
                <w:rFonts w:cs="Arial"/>
                <w:b/>
                <w:color w:val="FFFFFF"/>
                <w:sz w:val="22"/>
              </w:rPr>
              <w:t>Investments</w:t>
            </w:r>
          </w:p>
        </w:tc>
      </w:tr>
      <w:tr w:rsidR="001A6F94" w:rsidRPr="001A6F94" w14:paraId="12F2E4F6" w14:textId="77777777" w:rsidTr="00C355D1">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tcPr>
          <w:p w14:paraId="665BC232" w14:textId="77777777" w:rsidR="001A6F94" w:rsidRPr="001A6F94" w:rsidRDefault="001A6F94" w:rsidP="001A6F94">
            <w:pPr>
              <w:contextualSpacing/>
              <w:rPr>
                <w:rFonts w:cs="Arial"/>
                <w:b/>
                <w:color w:val="FFFFFF"/>
                <w:sz w:val="22"/>
              </w:rPr>
            </w:pPr>
            <w:r w:rsidRPr="001A6F94">
              <w:rPr>
                <w:rFonts w:cs="Arial"/>
                <w:b/>
                <w:color w:val="FFFFFF"/>
                <w:sz w:val="22"/>
              </w:rPr>
              <w:t>Table 2.32</w:t>
            </w:r>
          </w:p>
        </w:tc>
        <w:tc>
          <w:tcPr>
            <w:tcW w:w="1984" w:type="dxa"/>
            <w:tcBorders>
              <w:top w:val="single" w:sz="4" w:space="0" w:color="auto"/>
            </w:tcBorders>
            <w:shd w:val="clear" w:color="auto" w:fill="0070C0"/>
            <w:vAlign w:val="center"/>
          </w:tcPr>
          <w:p w14:paraId="6935E089" w14:textId="77777777" w:rsidR="001A6F94" w:rsidRPr="001A6F94" w:rsidRDefault="001A6F94" w:rsidP="001A6F94">
            <w:pPr>
              <w:contextualSpacing/>
              <w:jc w:val="center"/>
              <w:rPr>
                <w:rFonts w:cs="Arial"/>
                <w:b/>
                <w:color w:val="FFFFFF"/>
                <w:sz w:val="22"/>
              </w:rPr>
            </w:pPr>
            <w:r w:rsidRPr="001A6F94">
              <w:rPr>
                <w:rFonts w:cs="Arial"/>
                <w:b/>
                <w:color w:val="FFFFFF"/>
                <w:sz w:val="22"/>
              </w:rPr>
              <w:t xml:space="preserve">Credit Rating </w:t>
            </w:r>
          </w:p>
        </w:tc>
        <w:tc>
          <w:tcPr>
            <w:tcW w:w="1418" w:type="dxa"/>
            <w:shd w:val="clear" w:color="auto" w:fill="0070C0"/>
            <w:vAlign w:val="center"/>
          </w:tcPr>
          <w:p w14:paraId="52F3E8F2" w14:textId="77777777" w:rsidR="001A6F94" w:rsidRPr="001A6F94" w:rsidRDefault="001A6F94" w:rsidP="001A6F94">
            <w:pPr>
              <w:contextualSpacing/>
              <w:jc w:val="center"/>
              <w:rPr>
                <w:rFonts w:cs="Arial"/>
                <w:b/>
                <w:color w:val="FFFFFF"/>
                <w:sz w:val="22"/>
              </w:rPr>
            </w:pPr>
            <w:r w:rsidRPr="001A6F94">
              <w:rPr>
                <w:rFonts w:cs="Arial"/>
                <w:b/>
                <w:color w:val="FFFFFF"/>
                <w:sz w:val="22"/>
              </w:rPr>
              <w:t>Liquidity: (&lt; 7 days)</w:t>
            </w:r>
          </w:p>
        </w:tc>
        <w:tc>
          <w:tcPr>
            <w:tcW w:w="2268" w:type="dxa"/>
            <w:shd w:val="clear" w:color="auto" w:fill="0070C0"/>
            <w:vAlign w:val="center"/>
          </w:tcPr>
          <w:p w14:paraId="723C6B72" w14:textId="77777777" w:rsidR="001A6F94" w:rsidRPr="001A6F94" w:rsidRDefault="001A6F94" w:rsidP="001A6F94">
            <w:pPr>
              <w:contextualSpacing/>
              <w:jc w:val="center"/>
              <w:rPr>
                <w:rFonts w:cs="Arial"/>
                <w:b/>
                <w:color w:val="FFFFFF"/>
                <w:sz w:val="22"/>
              </w:rPr>
            </w:pPr>
            <w:r w:rsidRPr="001A6F94">
              <w:rPr>
                <w:rFonts w:cs="Arial"/>
                <w:b/>
                <w:color w:val="FFFFFF"/>
                <w:sz w:val="22"/>
              </w:rPr>
              <w:t>Rate of Return (%)</w:t>
            </w:r>
          </w:p>
        </w:tc>
      </w:tr>
      <w:tr w:rsidR="001A6F94" w:rsidRPr="001A6F94" w14:paraId="27158292" w14:textId="77777777" w:rsidTr="00C355D1">
        <w:trPr>
          <w:trHeight w:val="340"/>
        </w:trPr>
        <w:tc>
          <w:tcPr>
            <w:tcW w:w="3124" w:type="dxa"/>
            <w:tcBorders>
              <w:top w:val="single" w:sz="4" w:space="0" w:color="auto"/>
            </w:tcBorders>
            <w:vAlign w:val="center"/>
          </w:tcPr>
          <w:p w14:paraId="0B465E41" w14:textId="77777777" w:rsidR="001A6F94" w:rsidRPr="001A6F94" w:rsidRDefault="001A6F94" w:rsidP="001A6F94">
            <w:pPr>
              <w:contextualSpacing/>
              <w:rPr>
                <w:rFonts w:cs="Arial"/>
                <w:bCs/>
                <w:szCs w:val="24"/>
              </w:rPr>
            </w:pPr>
            <w:r w:rsidRPr="001A6F94">
              <w:rPr>
                <w:rFonts w:cs="Arial"/>
                <w:bCs/>
                <w:szCs w:val="24"/>
              </w:rPr>
              <w:t>ANDBC</w:t>
            </w:r>
          </w:p>
        </w:tc>
        <w:tc>
          <w:tcPr>
            <w:tcW w:w="1984" w:type="dxa"/>
            <w:vAlign w:val="center"/>
          </w:tcPr>
          <w:p w14:paraId="259A8F86" w14:textId="77777777" w:rsidR="001A6F94" w:rsidRPr="001A6F94" w:rsidRDefault="001A6F94" w:rsidP="001A6F94">
            <w:pPr>
              <w:contextualSpacing/>
              <w:jc w:val="center"/>
              <w:rPr>
                <w:rFonts w:cs="Arial"/>
                <w:color w:val="FF0000"/>
                <w:szCs w:val="24"/>
              </w:rPr>
            </w:pPr>
            <w:r w:rsidRPr="001A6F94">
              <w:rPr>
                <w:rFonts w:cs="Arial"/>
                <w:szCs w:val="24"/>
              </w:rPr>
              <w:t>A+</w:t>
            </w:r>
          </w:p>
        </w:tc>
        <w:tc>
          <w:tcPr>
            <w:tcW w:w="1418" w:type="dxa"/>
            <w:vAlign w:val="center"/>
          </w:tcPr>
          <w:p w14:paraId="3580CC17" w14:textId="77777777" w:rsidR="001A6F94" w:rsidRPr="001A6F94" w:rsidRDefault="001A6F94" w:rsidP="001A6F94">
            <w:pPr>
              <w:contextualSpacing/>
              <w:jc w:val="center"/>
              <w:rPr>
                <w:rFonts w:cs="Arial"/>
                <w:color w:val="FF0000"/>
                <w:szCs w:val="24"/>
              </w:rPr>
            </w:pPr>
            <w:r w:rsidRPr="001A6F94">
              <w:rPr>
                <w:rFonts w:cs="Arial"/>
                <w:szCs w:val="24"/>
              </w:rPr>
              <w:t>100%</w:t>
            </w:r>
          </w:p>
        </w:tc>
        <w:tc>
          <w:tcPr>
            <w:tcW w:w="2268" w:type="dxa"/>
            <w:vAlign w:val="center"/>
          </w:tcPr>
          <w:p w14:paraId="292261FA" w14:textId="77777777" w:rsidR="001A6F94" w:rsidRPr="001A6F94" w:rsidRDefault="001A6F94" w:rsidP="001A6F94">
            <w:pPr>
              <w:contextualSpacing/>
              <w:jc w:val="center"/>
              <w:rPr>
                <w:rFonts w:cs="Arial"/>
                <w:color w:val="FF0000"/>
                <w:szCs w:val="24"/>
              </w:rPr>
            </w:pPr>
            <w:r w:rsidRPr="001A6F94">
              <w:rPr>
                <w:rFonts w:cs="Arial"/>
                <w:szCs w:val="24"/>
              </w:rPr>
              <w:t>4.71%</w:t>
            </w:r>
          </w:p>
        </w:tc>
      </w:tr>
      <w:tr w:rsidR="001A6F94" w:rsidRPr="001A6F94" w14:paraId="255DF233" w14:textId="77777777" w:rsidTr="00C355D1">
        <w:trPr>
          <w:trHeight w:val="340"/>
        </w:trPr>
        <w:tc>
          <w:tcPr>
            <w:tcW w:w="3124" w:type="dxa"/>
            <w:vAlign w:val="center"/>
          </w:tcPr>
          <w:p w14:paraId="7F3EF134" w14:textId="77777777" w:rsidR="001A6F94" w:rsidRPr="001A6F94" w:rsidRDefault="001A6F94" w:rsidP="001A6F94">
            <w:pPr>
              <w:contextualSpacing/>
              <w:rPr>
                <w:rFonts w:cs="Arial"/>
                <w:bCs/>
                <w:szCs w:val="24"/>
              </w:rPr>
            </w:pPr>
            <w:r w:rsidRPr="001A6F94">
              <w:rPr>
                <w:rFonts w:cs="Arial"/>
                <w:bCs/>
                <w:szCs w:val="24"/>
              </w:rPr>
              <w:t>NI Council Average</w:t>
            </w:r>
          </w:p>
        </w:tc>
        <w:tc>
          <w:tcPr>
            <w:tcW w:w="1984" w:type="dxa"/>
            <w:vAlign w:val="center"/>
          </w:tcPr>
          <w:p w14:paraId="2CB853C0" w14:textId="77777777" w:rsidR="001A6F94" w:rsidRPr="001A6F94" w:rsidRDefault="001A6F94" w:rsidP="001A6F94">
            <w:pPr>
              <w:contextualSpacing/>
              <w:jc w:val="center"/>
              <w:rPr>
                <w:rFonts w:cs="Arial"/>
                <w:szCs w:val="24"/>
              </w:rPr>
            </w:pPr>
            <w:r w:rsidRPr="001A6F94">
              <w:rPr>
                <w:rFonts w:cs="Arial"/>
                <w:szCs w:val="24"/>
              </w:rPr>
              <w:t>A+</w:t>
            </w:r>
          </w:p>
        </w:tc>
        <w:tc>
          <w:tcPr>
            <w:tcW w:w="1418" w:type="dxa"/>
            <w:vAlign w:val="center"/>
          </w:tcPr>
          <w:p w14:paraId="3671A9F8" w14:textId="77777777" w:rsidR="001A6F94" w:rsidRPr="001A6F94" w:rsidRDefault="001A6F94" w:rsidP="001A6F94">
            <w:pPr>
              <w:contextualSpacing/>
              <w:jc w:val="center"/>
              <w:rPr>
                <w:rFonts w:cs="Arial"/>
                <w:szCs w:val="24"/>
              </w:rPr>
            </w:pPr>
            <w:r w:rsidRPr="001A6F94">
              <w:rPr>
                <w:rFonts w:cs="Arial"/>
                <w:szCs w:val="24"/>
              </w:rPr>
              <w:t>49%</w:t>
            </w:r>
          </w:p>
        </w:tc>
        <w:tc>
          <w:tcPr>
            <w:tcW w:w="2268" w:type="dxa"/>
            <w:vAlign w:val="center"/>
          </w:tcPr>
          <w:p w14:paraId="419251EE" w14:textId="77777777" w:rsidR="001A6F94" w:rsidRPr="001A6F94" w:rsidRDefault="001A6F94" w:rsidP="001A6F94">
            <w:pPr>
              <w:contextualSpacing/>
              <w:jc w:val="center"/>
              <w:rPr>
                <w:rFonts w:cs="Arial"/>
                <w:szCs w:val="24"/>
              </w:rPr>
            </w:pPr>
            <w:r w:rsidRPr="001A6F94">
              <w:rPr>
                <w:rFonts w:cs="Arial"/>
                <w:szCs w:val="24"/>
              </w:rPr>
              <w:t>4.66%</w:t>
            </w:r>
          </w:p>
        </w:tc>
      </w:tr>
    </w:tbl>
    <w:p w14:paraId="20216718" w14:textId="77777777" w:rsidR="001A6F94" w:rsidRPr="001A6F94" w:rsidRDefault="001A6F94" w:rsidP="001A6F94">
      <w:pPr>
        <w:jc w:val="both"/>
        <w:rPr>
          <w:rFonts w:eastAsia="Times New Roman" w:cs="Arial"/>
          <w:color w:val="1F4E79"/>
          <w:sz w:val="20"/>
          <w:szCs w:val="16"/>
        </w:rPr>
      </w:pPr>
      <w:r w:rsidRPr="001A6F94">
        <w:rPr>
          <w:rFonts w:eastAsia="Times New Roman" w:cs="Arial"/>
          <w:color w:val="1F4E79"/>
          <w:sz w:val="20"/>
          <w:szCs w:val="16"/>
        </w:rPr>
        <w:t>Source: Arlingclose Ltd Local Authority Quarterly Investment Benchmarking report Dec-24</w:t>
      </w:r>
    </w:p>
    <w:p w14:paraId="3C7CD205" w14:textId="77777777" w:rsidR="001A6F94" w:rsidRPr="001A6F94" w:rsidRDefault="001A6F94" w:rsidP="001A6F94">
      <w:pPr>
        <w:jc w:val="both"/>
        <w:rPr>
          <w:rFonts w:eastAsia="Times New Roman" w:cs="Arial"/>
          <w:szCs w:val="20"/>
        </w:rPr>
      </w:pPr>
    </w:p>
    <w:p w14:paraId="1B91DC8A" w14:textId="2722E51E" w:rsidR="001A6F94" w:rsidRPr="001A6F94" w:rsidRDefault="001A6F94" w:rsidP="00A30315">
      <w:pPr>
        <w:rPr>
          <w:rFonts w:eastAsia="Times New Roman" w:cs="Arial"/>
          <w:szCs w:val="20"/>
        </w:rPr>
      </w:pPr>
      <w:r w:rsidRPr="001A6F94">
        <w:rPr>
          <w:rFonts w:eastAsia="Times New Roman" w:cs="Arial"/>
          <w:szCs w:val="20"/>
        </w:rPr>
        <w:t xml:space="preserve">The Council’s limit for total principal sums invested for periods longer than 364 days </w:t>
      </w:r>
      <w:r w:rsidR="00A30315">
        <w:rPr>
          <w:rFonts w:eastAsia="Times New Roman" w:cs="Arial"/>
          <w:szCs w:val="20"/>
        </w:rPr>
        <w:t>wa</w:t>
      </w:r>
      <w:r w:rsidRPr="001A6F94">
        <w:rPr>
          <w:rFonts w:eastAsia="Times New Roman" w:cs="Arial"/>
          <w:szCs w:val="20"/>
        </w:rPr>
        <w:t>s £500k.  The Council ha</w:t>
      </w:r>
      <w:r w:rsidR="00A30315">
        <w:rPr>
          <w:rFonts w:eastAsia="Times New Roman" w:cs="Arial"/>
          <w:szCs w:val="20"/>
        </w:rPr>
        <w:t>d</w:t>
      </w:r>
      <w:r w:rsidRPr="001A6F94">
        <w:rPr>
          <w:rFonts w:eastAsia="Times New Roman" w:cs="Arial"/>
          <w:szCs w:val="20"/>
        </w:rPr>
        <w:t xml:space="preserve"> not entered into any such investments. </w:t>
      </w:r>
    </w:p>
    <w:p w14:paraId="45C661FD" w14:textId="77777777" w:rsidR="001A6F94" w:rsidRPr="001A6F94" w:rsidRDefault="001A6F94" w:rsidP="001A6F94">
      <w:pPr>
        <w:jc w:val="both"/>
        <w:rPr>
          <w:rFonts w:eastAsia="Times New Roman" w:cs="Arial"/>
          <w:szCs w:val="20"/>
        </w:rPr>
      </w:pPr>
    </w:p>
    <w:p w14:paraId="6B0600CE" w14:textId="7F5126EF" w:rsidR="001A6F94" w:rsidRDefault="001A6F94" w:rsidP="0056063D">
      <w:r w:rsidRPr="001A6F94">
        <w:rPr>
          <w:rFonts w:eastAsia="Times New Roman"/>
          <w:szCs w:val="20"/>
        </w:rPr>
        <w:t>RECOMMENDED that Council notes this report.</w:t>
      </w:r>
    </w:p>
    <w:p w14:paraId="263FF12C" w14:textId="77777777" w:rsidR="0056063D" w:rsidRPr="004A64D9" w:rsidRDefault="0056063D" w:rsidP="0056063D"/>
    <w:p w14:paraId="228CA777" w14:textId="12C095F3" w:rsidR="0056063D" w:rsidRDefault="0056063D" w:rsidP="00BE72BE">
      <w:pPr>
        <w:rPr>
          <w:b/>
          <w:bCs/>
        </w:rPr>
      </w:pPr>
      <w:r w:rsidRPr="0041231C">
        <w:rPr>
          <w:b/>
          <w:bCs/>
        </w:rPr>
        <w:t xml:space="preserve">AGREED TO RECOMMEND, on the proposal of </w:t>
      </w:r>
      <w:r w:rsidR="00D05A24">
        <w:rPr>
          <w:b/>
          <w:bCs/>
        </w:rPr>
        <w:t>Alderman McIlveen</w:t>
      </w:r>
      <w:r w:rsidRPr="0041231C">
        <w:rPr>
          <w:b/>
          <w:bCs/>
        </w:rPr>
        <w:t>, seconded by</w:t>
      </w:r>
      <w:r>
        <w:rPr>
          <w:b/>
          <w:bCs/>
        </w:rPr>
        <w:t xml:space="preserve"> </w:t>
      </w:r>
      <w:r w:rsidR="00D05A24">
        <w:rPr>
          <w:b/>
          <w:bCs/>
        </w:rPr>
        <w:t>Councillor Moore</w:t>
      </w:r>
      <w:r w:rsidRPr="0041231C">
        <w:rPr>
          <w:b/>
          <w:bCs/>
        </w:rPr>
        <w:t xml:space="preserve">, that </w:t>
      </w:r>
      <w:r>
        <w:rPr>
          <w:b/>
          <w:bCs/>
        </w:rPr>
        <w:t>the recommendation be adopted.</w:t>
      </w:r>
    </w:p>
    <w:p w14:paraId="6F6C0F77" w14:textId="77777777" w:rsidR="0054056C" w:rsidRDefault="0054056C" w:rsidP="00BE72BE">
      <w:pPr>
        <w:rPr>
          <w:b/>
          <w:bCs/>
        </w:rPr>
      </w:pPr>
    </w:p>
    <w:p w14:paraId="2C41B185" w14:textId="5B784FC9" w:rsidR="0056063D" w:rsidRDefault="0022081F" w:rsidP="0022081F">
      <w:pPr>
        <w:pStyle w:val="Heading1"/>
        <w:ind w:left="720" w:hanging="720"/>
        <w:rPr>
          <w:rFonts w:ascii="Arial Bold" w:eastAsia="Calibri" w:hAnsi="Arial Bold" w:cs="Arial"/>
          <w:caps/>
          <w:color w:val="auto"/>
          <w:szCs w:val="28"/>
        </w:rPr>
      </w:pPr>
      <w:r>
        <w:rPr>
          <w:rFonts w:cs="Arial"/>
          <w:color w:val="auto"/>
          <w:sz w:val="24"/>
          <w:szCs w:val="24"/>
          <w:u w:val="none"/>
        </w:rPr>
        <w:t>7</w:t>
      </w:r>
      <w:r w:rsidR="0056063D" w:rsidRPr="0056063D">
        <w:rPr>
          <w:rFonts w:cs="Arial"/>
          <w:color w:val="auto"/>
          <w:sz w:val="24"/>
          <w:szCs w:val="24"/>
          <w:u w:val="none"/>
        </w:rPr>
        <w:t>.</w:t>
      </w:r>
      <w:r w:rsidR="0056063D" w:rsidRPr="0056063D">
        <w:rPr>
          <w:u w:val="none"/>
        </w:rPr>
        <w:tab/>
      </w:r>
      <w:r w:rsidR="001A6F94">
        <w:rPr>
          <w:rFonts w:ascii="Arial Bold" w:eastAsia="Calibri" w:hAnsi="Arial Bold" w:cs="Arial"/>
          <w:caps/>
          <w:color w:val="auto"/>
          <w:szCs w:val="28"/>
        </w:rPr>
        <w:t>responses to notices of motions</w:t>
      </w:r>
      <w:r w:rsidR="0056063D" w:rsidRPr="0056063D">
        <w:rPr>
          <w:rFonts w:ascii="Arial Bold" w:eastAsia="Calibri" w:hAnsi="Arial Bold" w:cs="Arial"/>
          <w:caps/>
          <w:color w:val="auto"/>
          <w:szCs w:val="28"/>
        </w:rPr>
        <w:t xml:space="preserve"> </w:t>
      </w:r>
    </w:p>
    <w:p w14:paraId="7C04E5A3" w14:textId="77777777" w:rsidR="0054056C" w:rsidRPr="0054056C" w:rsidRDefault="0054056C" w:rsidP="0054056C"/>
    <w:p w14:paraId="4B602170" w14:textId="2D7E304E" w:rsidR="0056063D" w:rsidRPr="0056063D" w:rsidRDefault="0022081F" w:rsidP="001A6F94">
      <w:pPr>
        <w:pStyle w:val="Heading1"/>
        <w:ind w:left="720" w:hanging="720"/>
        <w:rPr>
          <w:rFonts w:ascii="Arial Bold" w:hAnsi="Arial Bold" w:cs="Arial" w:hint="eastAsia"/>
          <w:caps/>
          <w:color w:val="auto"/>
          <w:szCs w:val="28"/>
        </w:rPr>
      </w:pPr>
      <w:r>
        <w:rPr>
          <w:u w:val="none"/>
        </w:rPr>
        <w:t>A)</w:t>
      </w:r>
      <w:r w:rsidR="0056063D" w:rsidRPr="0056063D">
        <w:rPr>
          <w:u w:val="none"/>
        </w:rPr>
        <w:tab/>
      </w:r>
      <w:r w:rsidR="001A6F94" w:rsidRPr="001A6F94">
        <w:rPr>
          <w:rFonts w:ascii="Arial Bold" w:eastAsia="Calibri" w:hAnsi="Arial Bold" w:cs="Arial"/>
          <w:caps/>
          <w:color w:val="auto"/>
          <w:szCs w:val="28"/>
        </w:rPr>
        <w:t>Notice of Motion 643 – Rise in National Insurance Payments (</w:t>
      </w:r>
      <w:r w:rsidR="001A6F94">
        <w:rPr>
          <w:rFonts w:ascii="Arial Bold" w:eastAsia="Calibri" w:hAnsi="Arial Bold" w:cs="Arial"/>
          <w:caps/>
          <w:color w:val="auto"/>
          <w:szCs w:val="28"/>
        </w:rPr>
        <w:t>FILE NOM 643)</w:t>
      </w:r>
    </w:p>
    <w:p w14:paraId="41EFB482" w14:textId="2236F579" w:rsidR="0056063D" w:rsidRDefault="001A6F94" w:rsidP="0056063D">
      <w:pPr>
        <w:contextualSpacing/>
        <w:rPr>
          <w:rFonts w:cs="Arial"/>
          <w:szCs w:val="24"/>
        </w:rPr>
      </w:pPr>
      <w:r>
        <w:rPr>
          <w:rFonts w:cs="Arial"/>
          <w:szCs w:val="24"/>
        </w:rPr>
        <w:tab/>
        <w:t>(Appendix V – VI)</w:t>
      </w:r>
      <w:r w:rsidR="0056063D">
        <w:rPr>
          <w:rFonts w:cs="Arial"/>
          <w:szCs w:val="24"/>
        </w:rPr>
        <w:tab/>
      </w:r>
    </w:p>
    <w:p w14:paraId="46E999F2" w14:textId="77777777" w:rsidR="001A6F94" w:rsidRDefault="001A6F94" w:rsidP="0056063D"/>
    <w:p w14:paraId="62205C9F" w14:textId="7010AD60" w:rsidR="0092785E" w:rsidRPr="0092785E" w:rsidRDefault="0056063D" w:rsidP="0092785E">
      <w:r w:rsidRPr="004A64D9">
        <w:t xml:space="preserve">PREVIOUSLY CIRCULATED:- </w:t>
      </w:r>
      <w:r w:rsidR="00EC5488" w:rsidRPr="00EC5488">
        <w:t>Report from the Director of Corporate Services detailing that</w:t>
      </w:r>
      <w:r w:rsidR="001A6F94">
        <w:t xml:space="preserve"> </w:t>
      </w:r>
      <w:r w:rsidR="0092785E">
        <w:t>a</w:t>
      </w:r>
      <w:r w:rsidR="0092785E" w:rsidRPr="0092785E">
        <w:t xml:space="preserve"> Notice of Motion was discussed and agreed by Council at their meeting on 18 December 2024.</w:t>
      </w:r>
    </w:p>
    <w:p w14:paraId="0E8E3C98" w14:textId="77777777" w:rsidR="0092785E" w:rsidRPr="0092785E" w:rsidRDefault="0092785E" w:rsidP="0092785E"/>
    <w:p w14:paraId="01B75E3A" w14:textId="77777777" w:rsidR="0092785E" w:rsidRPr="0092785E" w:rsidRDefault="0092785E" w:rsidP="0092785E">
      <w:r w:rsidRPr="0092785E">
        <w:t>“That Council notes the recent changes to National Insurance made by the Chancellor of the Exchequer Rachel Reeves that increased employer’s contributions</w:t>
      </w:r>
    </w:p>
    <w:p w14:paraId="72A683BA" w14:textId="77777777" w:rsidR="0092785E" w:rsidRPr="0092785E" w:rsidRDefault="0092785E" w:rsidP="0092785E">
      <w:r w:rsidRPr="0092785E">
        <w:t>from 13.8% to 15% and also reduced the threshold at which NI is paid from £9,100 to £5,000. This increased tax on jobs will have a detrimental impact on all areas of</w:t>
      </w:r>
    </w:p>
    <w:p w14:paraId="79185A4D" w14:textId="77777777" w:rsidR="0092785E" w:rsidRPr="0092785E" w:rsidRDefault="0092785E" w:rsidP="0092785E">
      <w:r w:rsidRPr="0092785E">
        <w:t>the economy. The implication for this Council is an unbudgeted £1.2 million increase in our cost base which works out at a potential 2% increase for ratepayers.”</w:t>
      </w:r>
    </w:p>
    <w:p w14:paraId="364D23C0" w14:textId="77777777" w:rsidR="0092785E" w:rsidRPr="0092785E" w:rsidRDefault="0092785E" w:rsidP="0092785E"/>
    <w:p w14:paraId="48614641" w14:textId="77777777" w:rsidR="0092785E" w:rsidRPr="0092785E" w:rsidRDefault="0092785E" w:rsidP="0092785E">
      <w:r w:rsidRPr="0092785E">
        <w:t xml:space="preserve">A letter was sent from the Chief Executive to the Department of Finance on 2 January 2025.   A reply was received on 23 January 2025 and a copy was attached.  </w:t>
      </w:r>
    </w:p>
    <w:p w14:paraId="56D10CB8" w14:textId="77777777" w:rsidR="0092785E" w:rsidRPr="0092785E" w:rsidRDefault="0092785E" w:rsidP="0092785E"/>
    <w:p w14:paraId="23ECAB81" w14:textId="49F39879" w:rsidR="0056063D" w:rsidRDefault="0092785E" w:rsidP="0056063D">
      <w:bookmarkStart w:id="8" w:name="_Hlk190161217"/>
      <w:r w:rsidRPr="0092785E">
        <w:t>RECOMMENDED that Council notes the response.</w:t>
      </w:r>
    </w:p>
    <w:p w14:paraId="55DD18A7" w14:textId="77777777" w:rsidR="00D05A24" w:rsidRDefault="00D05A24" w:rsidP="0056063D"/>
    <w:p w14:paraId="2FB74079" w14:textId="3EF6D68C" w:rsidR="00D05A24" w:rsidRDefault="00D05A24" w:rsidP="0056063D">
      <w:r>
        <w:lastRenderedPageBreak/>
        <w:t>Proposed by Alderman McIlveen, seconded by Alderman McRandal, that the recommendation be adopted.</w:t>
      </w:r>
    </w:p>
    <w:p w14:paraId="535C3BB0" w14:textId="77777777" w:rsidR="00D05A24" w:rsidRDefault="00D05A24" w:rsidP="0056063D"/>
    <w:p w14:paraId="0EAD3C8B" w14:textId="79E0315E" w:rsidR="00CC1549" w:rsidRDefault="00D05A24" w:rsidP="0056063D">
      <w:r>
        <w:t>Alderman McIlveen</w:t>
      </w:r>
      <w:r w:rsidR="00CC1549">
        <w:t xml:space="preserve"> commented that this was not good news for the Council and this was still a period of uncertainty. It was now important to keep the pressure on through the Northern Ireland Assembly.  </w:t>
      </w:r>
    </w:p>
    <w:bookmarkEnd w:id="8"/>
    <w:p w14:paraId="497C4A41" w14:textId="77777777" w:rsidR="0056063D" w:rsidRPr="004A64D9" w:rsidRDefault="0056063D" w:rsidP="0056063D"/>
    <w:p w14:paraId="40398A03" w14:textId="78237C22" w:rsidR="0056063D" w:rsidRDefault="0056063D" w:rsidP="00A30315">
      <w:pPr>
        <w:rPr>
          <w:b/>
          <w:bCs/>
        </w:rPr>
      </w:pPr>
      <w:r w:rsidRPr="0041231C">
        <w:rPr>
          <w:b/>
          <w:bCs/>
        </w:rPr>
        <w:t xml:space="preserve">AGREED TO RECOMMEND, on the proposal of </w:t>
      </w:r>
      <w:r w:rsidR="00D05A24">
        <w:rPr>
          <w:b/>
          <w:bCs/>
        </w:rPr>
        <w:t>Alderman McIlveen</w:t>
      </w:r>
      <w:r w:rsidRPr="0041231C">
        <w:rPr>
          <w:b/>
          <w:bCs/>
        </w:rPr>
        <w:t>, seconded by</w:t>
      </w:r>
      <w:r>
        <w:rPr>
          <w:b/>
          <w:bCs/>
        </w:rPr>
        <w:t xml:space="preserve"> </w:t>
      </w:r>
      <w:r w:rsidR="00D05A24">
        <w:rPr>
          <w:b/>
          <w:bCs/>
        </w:rPr>
        <w:t>Alderman McRandal</w:t>
      </w:r>
      <w:r w:rsidRPr="0041231C">
        <w:rPr>
          <w:b/>
          <w:bCs/>
        </w:rPr>
        <w:t xml:space="preserve">, that </w:t>
      </w:r>
      <w:r>
        <w:rPr>
          <w:b/>
          <w:bCs/>
        </w:rPr>
        <w:t>the recommendation be adopted.</w:t>
      </w:r>
    </w:p>
    <w:p w14:paraId="74737A09" w14:textId="77777777" w:rsidR="0054056C" w:rsidRDefault="0054056C" w:rsidP="00A30315">
      <w:pPr>
        <w:rPr>
          <w:b/>
          <w:bCs/>
        </w:rPr>
      </w:pPr>
    </w:p>
    <w:p w14:paraId="63B80167" w14:textId="265E1E19" w:rsidR="0056063D" w:rsidRPr="0056063D" w:rsidRDefault="0022081F" w:rsidP="0092785E">
      <w:pPr>
        <w:pStyle w:val="Heading1"/>
        <w:ind w:left="720" w:hanging="720"/>
        <w:rPr>
          <w:rFonts w:ascii="Arial Bold" w:hAnsi="Arial Bold" w:cs="Arial" w:hint="eastAsia"/>
          <w:caps/>
          <w:color w:val="auto"/>
          <w:szCs w:val="28"/>
        </w:rPr>
      </w:pPr>
      <w:r>
        <w:rPr>
          <w:rFonts w:cs="Arial"/>
          <w:color w:val="auto"/>
          <w:sz w:val="24"/>
          <w:szCs w:val="24"/>
          <w:u w:val="none"/>
        </w:rPr>
        <w:t>B)</w:t>
      </w:r>
      <w:r>
        <w:rPr>
          <w:rFonts w:cs="Arial"/>
          <w:color w:val="auto"/>
          <w:sz w:val="24"/>
          <w:szCs w:val="24"/>
          <w:u w:val="none"/>
        </w:rPr>
        <w:tab/>
      </w:r>
      <w:r w:rsidR="0092785E" w:rsidRPr="0092785E">
        <w:rPr>
          <w:rFonts w:ascii="Arial Bold" w:eastAsia="Calibri" w:hAnsi="Arial Bold" w:cs="Arial"/>
          <w:caps/>
          <w:color w:val="auto"/>
          <w:szCs w:val="28"/>
        </w:rPr>
        <w:t>Notice of Motion 642 - Proposed closures of Newtownards and Bangor Post Offices</w:t>
      </w:r>
    </w:p>
    <w:p w14:paraId="251AC5BB" w14:textId="668EC992" w:rsidR="0056063D" w:rsidRDefault="0092785E" w:rsidP="0056063D">
      <w:pPr>
        <w:contextualSpacing/>
        <w:rPr>
          <w:rFonts w:cs="Arial"/>
          <w:szCs w:val="24"/>
        </w:rPr>
      </w:pPr>
      <w:r>
        <w:rPr>
          <w:rFonts w:cs="Arial"/>
          <w:szCs w:val="24"/>
        </w:rPr>
        <w:tab/>
        <w:t>(Appendix VII)</w:t>
      </w:r>
      <w:r w:rsidR="0056063D">
        <w:rPr>
          <w:rFonts w:cs="Arial"/>
          <w:szCs w:val="24"/>
        </w:rPr>
        <w:tab/>
      </w:r>
    </w:p>
    <w:p w14:paraId="63C7A16F" w14:textId="77777777" w:rsidR="0092785E" w:rsidRDefault="0092785E" w:rsidP="0056063D"/>
    <w:p w14:paraId="5818E60D" w14:textId="30BA431B" w:rsidR="0092785E" w:rsidRPr="0092785E" w:rsidRDefault="0056063D" w:rsidP="0092785E">
      <w:r w:rsidRPr="004A64D9">
        <w:t xml:space="preserve">PREVIOUSLY CIRCULATED:- </w:t>
      </w:r>
      <w:r w:rsidR="00EC5488" w:rsidRPr="00EC5488">
        <w:t>Report from the Director of Corporate Services detailing that</w:t>
      </w:r>
      <w:r w:rsidR="0092785E">
        <w:t xml:space="preserve"> t</w:t>
      </w:r>
      <w:r w:rsidR="0092785E" w:rsidRPr="0092785E">
        <w:t>he following Notice of Motion was agreed by Council at its meeting in November 2024:</w:t>
      </w:r>
    </w:p>
    <w:p w14:paraId="4E3E61FB" w14:textId="77777777" w:rsidR="0092785E" w:rsidRPr="0092785E" w:rsidRDefault="0092785E" w:rsidP="0092785E"/>
    <w:p w14:paraId="4A41AB2E" w14:textId="77777777" w:rsidR="0092785E" w:rsidRPr="0092785E" w:rsidRDefault="0092785E" w:rsidP="0092785E">
      <w:r w:rsidRPr="0092785E">
        <w:t>“That this Council expresses its concern at the decision of the post office to propose to close its branches in Main Street, Bangor and Frances Street, Newtownards as part of a widened UK overhaul.  We would call on the Post office to reverse this decision and meet with Council at the earliest opportunity to discuss the proposal and the impact it will have on staff and customers.  This Council notes how important post office services are to our communities and the huge role it plays in serving constituents.”</w:t>
      </w:r>
    </w:p>
    <w:p w14:paraId="5450EB1C" w14:textId="77777777" w:rsidR="0092785E" w:rsidRPr="0092785E" w:rsidRDefault="0092785E" w:rsidP="0092785E">
      <w:pPr>
        <w:rPr>
          <w:i/>
          <w:iCs/>
        </w:rPr>
      </w:pPr>
    </w:p>
    <w:p w14:paraId="3F58847D" w14:textId="77777777" w:rsidR="0092785E" w:rsidRPr="0092785E" w:rsidRDefault="0092785E" w:rsidP="0092785E">
      <w:r w:rsidRPr="0092785E">
        <w:t xml:space="preserve">On 27 January 2025 the Chief Executive met with Mr Gibson, External Affairs Manager of the Post Office. </w:t>
      </w:r>
    </w:p>
    <w:p w14:paraId="41DF77CB" w14:textId="77777777" w:rsidR="0092785E" w:rsidRPr="0092785E" w:rsidRDefault="0092785E" w:rsidP="0092785E"/>
    <w:p w14:paraId="35036C0E" w14:textId="77777777" w:rsidR="0092785E" w:rsidRPr="0092785E" w:rsidRDefault="0092785E" w:rsidP="0092785E">
      <w:r w:rsidRPr="0092785E">
        <w:t>Currently across the UK the Post Office owned and directly ran 108 Post Offices with a further 11,400 privately franchised, owned and operated by Post Masters.  Bangor and Newtownards Post Offices were within the 108 owned and operated by the Post Office, two of only a small number in Northern Ireland. The buildings from which Bangor and Newtownards Post Offices operate were leased by the Post Office from Royal Mail.  (Full list of Post Offices in the Borough as provided by Mr Gibson is included in Appendix 1.)</w:t>
      </w:r>
    </w:p>
    <w:p w14:paraId="5F552F99" w14:textId="77777777" w:rsidR="0092785E" w:rsidRPr="0092785E" w:rsidRDefault="0092785E" w:rsidP="0092785E"/>
    <w:p w14:paraId="620FEA9B" w14:textId="77777777" w:rsidR="0092785E" w:rsidRPr="0092785E" w:rsidRDefault="0092785E" w:rsidP="0092785E">
      <w:r w:rsidRPr="0092785E">
        <w:t>Bangor Post Office had seven staff and operated a 46-hour week.  There were two other franchised Post Offices within a 1-mile radius. Usage of the Bangor Post Office had experienced a 40% decline in recent years. Newtownards Post Office had seven staff and operated a 46-hour week, with four other franchised Post Offices within a 1-mile radius.  It reported 44% decline in usage.</w:t>
      </w:r>
    </w:p>
    <w:p w14:paraId="17A816FA" w14:textId="77777777" w:rsidR="0092785E" w:rsidRPr="0092785E" w:rsidRDefault="0092785E" w:rsidP="0092785E"/>
    <w:p w14:paraId="2686200E" w14:textId="674D8001" w:rsidR="0092785E" w:rsidRPr="0092785E" w:rsidRDefault="0092785E" w:rsidP="0092785E">
      <w:r w:rsidRPr="0092785E">
        <w:t>The Post Office was undertaking a company review on the provision of its Post Office services. Their key objective was for Post Masters to have a bigger say in day-to-day operations and a future £120m remuneration to be found, raising to £250m by 2050, to further support Post Masters. The Post Office hoped to make an announcement on this review mid-</w:t>
      </w:r>
      <w:r>
        <w:t>M</w:t>
      </w:r>
      <w:r w:rsidRPr="0092785E">
        <w:t xml:space="preserve">arch, which would include any decisions on the future of Newtownards and Bangor Post Offices.  </w:t>
      </w:r>
    </w:p>
    <w:p w14:paraId="02888B83" w14:textId="77777777" w:rsidR="0092785E" w:rsidRPr="0092785E" w:rsidRDefault="0092785E" w:rsidP="0092785E"/>
    <w:p w14:paraId="4B5CCC93" w14:textId="77777777" w:rsidR="0092785E" w:rsidRPr="0092785E" w:rsidRDefault="0092785E" w:rsidP="0092785E">
      <w:r w:rsidRPr="0092785E">
        <w:lastRenderedPageBreak/>
        <w:t xml:space="preserve">The Chief Executive outlined the importance of the Post Offices in Bangor and Newtownards, both in terms of the provision of the services they provided to local residents and businesses, as well as the role they placed in driving footfall and the regeneration of our town and city.  </w:t>
      </w:r>
    </w:p>
    <w:p w14:paraId="4220EEC8" w14:textId="77777777" w:rsidR="0092785E" w:rsidRPr="0092785E" w:rsidRDefault="0092785E" w:rsidP="0092785E"/>
    <w:p w14:paraId="0475552A" w14:textId="77777777" w:rsidR="0092785E" w:rsidRPr="0092785E" w:rsidRDefault="0092785E" w:rsidP="0092785E">
      <w:r w:rsidRPr="0092785E">
        <w:t xml:space="preserve">Depending on the decision made by the Post Office, there may have been an opportunity for Council to meet with both the Post Office and Royal Mail (owner of the building) to understand what the potential solutions may be to encourage investment / additional uses for the buildings, which could potentially include a franchised post office service, and the Chief Executive intends to reach out to both organisations in this regard.  Mr Gibson had also offered to attend a future Council meeting to give an explanation to any future decisions.  A further report would be brought to Council following the Post Office review decision. </w:t>
      </w:r>
    </w:p>
    <w:p w14:paraId="2450CBF4" w14:textId="77777777" w:rsidR="0092785E" w:rsidRPr="0092785E" w:rsidRDefault="0092785E" w:rsidP="0092785E"/>
    <w:p w14:paraId="0BCDC4BF" w14:textId="0AA67B9E" w:rsidR="0092785E" w:rsidRDefault="0092785E" w:rsidP="0092785E">
      <w:r w:rsidRPr="0092785E">
        <w:t>RECOMMENDED that the Council note the report.</w:t>
      </w:r>
    </w:p>
    <w:p w14:paraId="3BD93758" w14:textId="77777777" w:rsidR="00CC1549" w:rsidRDefault="00CC1549" w:rsidP="0092785E"/>
    <w:p w14:paraId="34A8702D" w14:textId="7DF0EA91" w:rsidR="00CC1549" w:rsidRDefault="00CC1549" w:rsidP="0092785E">
      <w:r>
        <w:t>Proposed by Councillor W Irvine, seconded by Councillor S Irvine, that the recommendation be adopted.</w:t>
      </w:r>
    </w:p>
    <w:p w14:paraId="633AD161" w14:textId="77777777" w:rsidR="00CC1549" w:rsidRDefault="00CC1549" w:rsidP="0092785E"/>
    <w:p w14:paraId="4E93A2DC" w14:textId="763948AB" w:rsidR="00CC1549" w:rsidRDefault="00CC1549" w:rsidP="0092785E">
      <w:r>
        <w:t>Councillor W Irvine welcomed the engagement from the Post Office and noted it planned to make a decision</w:t>
      </w:r>
      <w:r w:rsidR="00C054AF">
        <w:t xml:space="preserve"> around</w:t>
      </w:r>
      <w:r>
        <w:t xml:space="preserve"> </w:t>
      </w:r>
      <w:r w:rsidR="00AC5BC5">
        <w:t>mid-March</w:t>
      </w:r>
      <w:r>
        <w:t xml:space="preserve"> </w:t>
      </w:r>
      <w:r w:rsidR="00C054AF">
        <w:t>though</w:t>
      </w:r>
      <w:r>
        <w:t xml:space="preserve"> he was</w:t>
      </w:r>
      <w:r w:rsidR="00A30315">
        <w:t xml:space="preserve"> not </w:t>
      </w:r>
      <w:r>
        <w:t xml:space="preserve">hopeful of it changing its position. He welcomed </w:t>
      </w:r>
      <w:r w:rsidR="00F21DC4">
        <w:t>that there had been a</w:t>
      </w:r>
      <w:r>
        <w:t xml:space="preserve"> meeting with the Chief Executive and hoped that it would</w:t>
      </w:r>
      <w:r w:rsidR="00F21DC4">
        <w:t xml:space="preserve"> also</w:t>
      </w:r>
      <w:r>
        <w:t xml:space="preserve"> meet with the Council in the </w:t>
      </w:r>
      <w:r w:rsidR="00AC5BC5">
        <w:t>f</w:t>
      </w:r>
      <w:r>
        <w:t xml:space="preserve">uture. </w:t>
      </w:r>
      <w:r w:rsidR="00F21DC4">
        <w:t>He felt it</w:t>
      </w:r>
      <w:r>
        <w:t xml:space="preserve"> was important that Post Offices were strategically placed </w:t>
      </w:r>
      <w:r w:rsidR="00AC5BC5">
        <w:t>within Bangor and Newtownards</w:t>
      </w:r>
      <w:r w:rsidR="00C054AF">
        <w:t xml:space="preserve"> city/town centres</w:t>
      </w:r>
      <w:r w:rsidR="00F21DC4">
        <w:t xml:space="preserve"> and added that their future was crucial.</w:t>
      </w:r>
    </w:p>
    <w:p w14:paraId="13BDCA17" w14:textId="77777777" w:rsidR="00AC5BC5" w:rsidRDefault="00AC5BC5" w:rsidP="0092785E"/>
    <w:p w14:paraId="0EC6D341" w14:textId="46482049" w:rsidR="00AC5BC5" w:rsidRDefault="00F21DC4" w:rsidP="0092785E">
      <w:r>
        <w:t xml:space="preserve">The seconder, </w:t>
      </w:r>
      <w:r w:rsidR="00AC5BC5">
        <w:t xml:space="preserve">Councillor S Irvine was not surprised at the report but </w:t>
      </w:r>
      <w:r>
        <w:t xml:space="preserve">wanted to see </w:t>
      </w:r>
      <w:r w:rsidR="00AC5BC5">
        <w:t xml:space="preserve">Mr Gibson attend a future meeting to explain any future decisions and to keep everything transparent going forward. </w:t>
      </w:r>
    </w:p>
    <w:p w14:paraId="2836BFB8" w14:textId="77777777" w:rsidR="00AC5BC5" w:rsidRDefault="00AC5BC5" w:rsidP="0092785E"/>
    <w:p w14:paraId="0F204D56" w14:textId="3DA2D109" w:rsidR="0056063D" w:rsidRDefault="00AC5BC5" w:rsidP="0056063D">
      <w:r>
        <w:t xml:space="preserve">Alderman McIlveen agreed that it would be </w:t>
      </w:r>
      <w:r w:rsidR="00F21DC4">
        <w:t>useful</w:t>
      </w:r>
      <w:r>
        <w:t xml:space="preserve"> for Mr Gibson to attend a meeting</w:t>
      </w:r>
      <w:r w:rsidR="00F21DC4">
        <w:t xml:space="preserve">, recalling that he had met him previously with Jim Shannon MP. There were possible conversations that could be had with the Unions in terms of securing the two important sites. He had found the appendix to be useful showing where all services were across the Borough but it was important to preserve them within our town centres. The banks had </w:t>
      </w:r>
      <w:r w:rsidR="000818DB">
        <w:t>withdrawn</w:t>
      </w:r>
      <w:r w:rsidR="00F21DC4">
        <w:t xml:space="preserve"> from town centres and the Post Office had stepped in to offer counter services so losing those would be a big blow. </w:t>
      </w:r>
      <w:r w:rsidR="00C054AF">
        <w:t>Ultimately</w:t>
      </w:r>
      <w:r w:rsidR="00F21DC4">
        <w:t xml:space="preserve"> the Council needed to know what the Post Office’s proposals were going to be and it was important to ensure that Council </w:t>
      </w:r>
      <w:r w:rsidR="00C054AF">
        <w:t>contributed</w:t>
      </w:r>
      <w:r w:rsidR="00F21DC4">
        <w:t xml:space="preserve"> to that discussion.</w:t>
      </w:r>
    </w:p>
    <w:p w14:paraId="65438AC5" w14:textId="77777777" w:rsidR="0056063D" w:rsidRPr="004A64D9" w:rsidRDefault="0056063D" w:rsidP="0056063D"/>
    <w:p w14:paraId="02EBE6AB" w14:textId="65BE8FCF" w:rsidR="0056063D" w:rsidRDefault="0056063D" w:rsidP="0056063D">
      <w:pPr>
        <w:rPr>
          <w:b/>
          <w:bCs/>
        </w:rPr>
      </w:pPr>
      <w:bookmarkStart w:id="9" w:name="_Hlk190161283"/>
      <w:r w:rsidRPr="0041231C">
        <w:rPr>
          <w:b/>
          <w:bCs/>
        </w:rPr>
        <w:t xml:space="preserve">AGREED TO RECOMMEND, on the proposal of </w:t>
      </w:r>
      <w:r w:rsidR="00F21DC4">
        <w:rPr>
          <w:b/>
          <w:bCs/>
        </w:rPr>
        <w:t>Councillor W Irvine</w:t>
      </w:r>
      <w:r w:rsidRPr="0041231C">
        <w:rPr>
          <w:b/>
          <w:bCs/>
        </w:rPr>
        <w:t>, seconded by</w:t>
      </w:r>
      <w:r>
        <w:rPr>
          <w:b/>
          <w:bCs/>
        </w:rPr>
        <w:t xml:space="preserve"> </w:t>
      </w:r>
      <w:r w:rsidR="00F21DC4">
        <w:rPr>
          <w:b/>
          <w:bCs/>
        </w:rPr>
        <w:t>Councillor S Irvine</w:t>
      </w:r>
      <w:r w:rsidRPr="0041231C">
        <w:rPr>
          <w:b/>
          <w:bCs/>
        </w:rPr>
        <w:t xml:space="preserve">, that </w:t>
      </w:r>
      <w:r>
        <w:rPr>
          <w:b/>
          <w:bCs/>
        </w:rPr>
        <w:t>the recommendation be adopted.</w:t>
      </w:r>
    </w:p>
    <w:bookmarkEnd w:id="2"/>
    <w:bookmarkEnd w:id="3"/>
    <w:bookmarkEnd w:id="5"/>
    <w:bookmarkEnd w:id="9"/>
    <w:p w14:paraId="6F16D224" w14:textId="77777777" w:rsidR="0056063D" w:rsidRDefault="0056063D" w:rsidP="003D1399">
      <w:pPr>
        <w:rPr>
          <w:rFonts w:eastAsia="Times New Roman" w:cs="Arial"/>
          <w:szCs w:val="24"/>
        </w:rPr>
      </w:pPr>
    </w:p>
    <w:p w14:paraId="652E1B66" w14:textId="78024F3C" w:rsidR="003D1399" w:rsidRDefault="00F552DB" w:rsidP="003D1399">
      <w:pPr>
        <w:rPr>
          <w:rFonts w:eastAsia="Times New Roman" w:cs="Arial"/>
          <w:b/>
          <w:bCs/>
          <w:sz w:val="28"/>
          <w:szCs w:val="28"/>
          <w:u w:val="single"/>
        </w:rPr>
      </w:pPr>
      <w:r w:rsidRPr="00AA5F90">
        <w:rPr>
          <w:rFonts w:eastAsia="Times New Roman" w:cs="Arial"/>
          <w:b/>
          <w:bCs/>
          <w:sz w:val="28"/>
          <w:szCs w:val="28"/>
        </w:rPr>
        <w:t>8</w:t>
      </w:r>
      <w:r w:rsidR="003D1399" w:rsidRPr="00AA5F90">
        <w:rPr>
          <w:rFonts w:eastAsia="Times New Roman" w:cs="Arial"/>
          <w:b/>
          <w:bCs/>
          <w:sz w:val="28"/>
          <w:szCs w:val="28"/>
        </w:rPr>
        <w:t>.</w:t>
      </w:r>
      <w:r w:rsidR="003D1399">
        <w:rPr>
          <w:rFonts w:eastAsia="Times New Roman" w:cs="Arial"/>
          <w:b/>
          <w:bCs/>
          <w:sz w:val="28"/>
          <w:szCs w:val="28"/>
        </w:rPr>
        <w:tab/>
      </w:r>
      <w:r w:rsidR="003D1399">
        <w:rPr>
          <w:rFonts w:eastAsia="Times New Roman" w:cs="Arial"/>
          <w:b/>
          <w:bCs/>
          <w:sz w:val="28"/>
          <w:szCs w:val="28"/>
          <w:u w:val="single"/>
        </w:rPr>
        <w:t>ANY OTHER NOTIFIED BUSINESS</w:t>
      </w:r>
    </w:p>
    <w:p w14:paraId="4CBCFE50" w14:textId="77777777" w:rsidR="004549FF" w:rsidRDefault="004549FF" w:rsidP="003D1399">
      <w:pPr>
        <w:rPr>
          <w:rFonts w:eastAsia="Times New Roman" w:cs="Arial"/>
          <w:b/>
          <w:bCs/>
          <w:sz w:val="28"/>
          <w:szCs w:val="28"/>
          <w:u w:val="single"/>
        </w:rPr>
      </w:pPr>
    </w:p>
    <w:p w14:paraId="0465F6D8" w14:textId="0B853381" w:rsidR="00F6475F" w:rsidRDefault="004549FF" w:rsidP="003D1399">
      <w:pPr>
        <w:rPr>
          <w:rFonts w:eastAsia="Times New Roman" w:cs="Arial"/>
          <w:szCs w:val="24"/>
        </w:rPr>
      </w:pPr>
      <w:r>
        <w:rPr>
          <w:rFonts w:eastAsia="Times New Roman" w:cs="Arial"/>
          <w:szCs w:val="24"/>
        </w:rPr>
        <w:t>The Chairman advised that there were no items of Any Other Notified Business.</w:t>
      </w:r>
    </w:p>
    <w:p w14:paraId="2814582A" w14:textId="77777777" w:rsidR="004549FF" w:rsidRDefault="004549FF" w:rsidP="003D1399">
      <w:pPr>
        <w:rPr>
          <w:rFonts w:eastAsia="Times New Roman" w:cs="Arial"/>
          <w:szCs w:val="24"/>
        </w:rPr>
      </w:pPr>
    </w:p>
    <w:p w14:paraId="1DDD9057" w14:textId="0140593F" w:rsidR="00F552DB" w:rsidRDefault="004549FF" w:rsidP="003D1399">
      <w:pPr>
        <w:rPr>
          <w:rFonts w:eastAsia="Times New Roman" w:cs="Arial"/>
          <w:b/>
          <w:bCs/>
          <w:szCs w:val="24"/>
        </w:rPr>
      </w:pPr>
      <w:r>
        <w:rPr>
          <w:rFonts w:eastAsia="Times New Roman" w:cs="Arial"/>
          <w:b/>
          <w:bCs/>
          <w:szCs w:val="24"/>
        </w:rPr>
        <w:t>NOTED.</w:t>
      </w:r>
    </w:p>
    <w:p w14:paraId="4705CA2B" w14:textId="77777777" w:rsidR="0054056C" w:rsidRDefault="0054056C" w:rsidP="003D1399">
      <w:pPr>
        <w:rPr>
          <w:rFonts w:eastAsia="Times New Roman" w:cs="Arial"/>
          <w:b/>
          <w:bCs/>
          <w:szCs w:val="24"/>
        </w:rPr>
      </w:pPr>
    </w:p>
    <w:p w14:paraId="19EFE927" w14:textId="77777777" w:rsidR="00F552DB" w:rsidRDefault="00F552DB" w:rsidP="00F552DB">
      <w:pPr>
        <w:pStyle w:val="Heading1"/>
      </w:pPr>
      <w:r>
        <w:lastRenderedPageBreak/>
        <w:t>Circulated for information</w:t>
      </w:r>
    </w:p>
    <w:p w14:paraId="5EED55AA" w14:textId="77777777" w:rsidR="00F552DB" w:rsidRDefault="00F552DB" w:rsidP="00F552DB"/>
    <w:p w14:paraId="7FBCF0C4" w14:textId="759BAA38" w:rsidR="00F552DB" w:rsidRPr="00F552DB" w:rsidRDefault="00F552DB" w:rsidP="006B62B0">
      <w:pPr>
        <w:pStyle w:val="ListParagraph"/>
        <w:numPr>
          <w:ilvl w:val="0"/>
          <w:numId w:val="9"/>
        </w:numPr>
      </w:pPr>
      <w:r w:rsidRPr="00F552DB">
        <w:rPr>
          <w:rFonts w:eastAsia="Aptos" w:cs="Arial"/>
          <w:szCs w:val="24"/>
        </w:rPr>
        <w:t>UK National Risk Register</w:t>
      </w:r>
    </w:p>
    <w:p w14:paraId="1B498081" w14:textId="77777777" w:rsidR="00F552DB" w:rsidRDefault="00F552DB" w:rsidP="00F552DB"/>
    <w:p w14:paraId="3F69A603" w14:textId="5526382D" w:rsidR="00F552DB" w:rsidRPr="004549FF" w:rsidRDefault="00F552DB" w:rsidP="003D1399">
      <w:pPr>
        <w:rPr>
          <w:rFonts w:eastAsia="Times New Roman" w:cs="Arial"/>
          <w:b/>
          <w:bCs/>
          <w:szCs w:val="24"/>
        </w:rPr>
      </w:pPr>
      <w:r w:rsidRPr="0041231C">
        <w:rPr>
          <w:b/>
          <w:bCs/>
        </w:rPr>
        <w:t xml:space="preserve">AGREED TO </w:t>
      </w:r>
      <w:r>
        <w:rPr>
          <w:b/>
          <w:bCs/>
        </w:rPr>
        <w:t>RECOMMEND</w:t>
      </w:r>
      <w:r w:rsidRPr="0041231C">
        <w:rPr>
          <w:b/>
          <w:bCs/>
        </w:rPr>
        <w:t xml:space="preserve">, on the proposal of </w:t>
      </w:r>
      <w:r w:rsidR="007A2CAB">
        <w:rPr>
          <w:b/>
          <w:bCs/>
        </w:rPr>
        <w:t>Alderman Graham</w:t>
      </w:r>
      <w:r w:rsidRPr="0041231C">
        <w:rPr>
          <w:b/>
          <w:bCs/>
        </w:rPr>
        <w:t>, seconded by</w:t>
      </w:r>
      <w:r>
        <w:rPr>
          <w:b/>
          <w:bCs/>
        </w:rPr>
        <w:t xml:space="preserve"> </w:t>
      </w:r>
      <w:r w:rsidR="007A2CAB">
        <w:rPr>
          <w:b/>
          <w:bCs/>
        </w:rPr>
        <w:t>Alderman McRandal</w:t>
      </w:r>
      <w:r w:rsidRPr="0041231C">
        <w:rPr>
          <w:b/>
          <w:bCs/>
        </w:rPr>
        <w:t xml:space="preserve">, that </w:t>
      </w:r>
      <w:r>
        <w:rPr>
          <w:b/>
          <w:bCs/>
        </w:rPr>
        <w:t>the item be noted.</w:t>
      </w:r>
    </w:p>
    <w:p w14:paraId="1AEFF026" w14:textId="77777777" w:rsidR="003D1399" w:rsidRDefault="003D1399" w:rsidP="00BE72BE">
      <w:pPr>
        <w:ind w:left="720" w:hanging="720"/>
        <w:rPr>
          <w:rFonts w:ascii="Arial Bold" w:hAnsi="Arial Bold"/>
          <w:b/>
          <w:bCs/>
          <w:caps/>
          <w:szCs w:val="24"/>
          <w:u w:val="single"/>
        </w:rPr>
      </w:pPr>
    </w:p>
    <w:p w14:paraId="0DEC2778" w14:textId="77777777" w:rsidR="00AA5F90" w:rsidRPr="00AA5F90" w:rsidRDefault="00AA5F90" w:rsidP="00AA5F90">
      <w:pPr>
        <w:ind w:left="720" w:hanging="720"/>
        <w:rPr>
          <w:rFonts w:ascii="Arial Bold" w:hAnsi="Arial Bold"/>
          <w:b/>
          <w:bCs/>
          <w:caps/>
          <w:sz w:val="28"/>
          <w:szCs w:val="28"/>
          <w:u w:val="single"/>
        </w:rPr>
      </w:pPr>
      <w:r w:rsidRPr="00AA5F90">
        <w:rPr>
          <w:rFonts w:ascii="Arial Bold" w:hAnsi="Arial Bold"/>
          <w:b/>
          <w:bCs/>
          <w:caps/>
          <w:sz w:val="28"/>
          <w:szCs w:val="28"/>
          <w:u w:val="single"/>
        </w:rPr>
        <w:t>EXCLUSION OF PUBLIC/PRESS</w:t>
      </w:r>
    </w:p>
    <w:p w14:paraId="37B2DEDE" w14:textId="77777777" w:rsidR="00AA5F90" w:rsidRPr="00AA5F90" w:rsidRDefault="00AA5F90" w:rsidP="00AA5F90">
      <w:pPr>
        <w:ind w:left="720" w:hanging="720"/>
        <w:rPr>
          <w:rFonts w:ascii="Arial Bold" w:hAnsi="Arial Bold"/>
          <w:b/>
          <w:bCs/>
          <w:caps/>
          <w:sz w:val="28"/>
          <w:szCs w:val="28"/>
          <w:u w:val="single"/>
        </w:rPr>
      </w:pPr>
    </w:p>
    <w:p w14:paraId="641CADEF" w14:textId="77777777" w:rsidR="00AA5F90" w:rsidRDefault="00AA5F90" w:rsidP="00AA5F90">
      <w:pPr>
        <w:rPr>
          <w:rFonts w:ascii="Arial Bold" w:hAnsi="Arial Bold" w:cs="Arial"/>
          <w:b/>
          <w:bCs/>
          <w:szCs w:val="24"/>
        </w:rPr>
      </w:pPr>
      <w:r w:rsidRPr="00AA5F90">
        <w:rPr>
          <w:rFonts w:cs="Arial"/>
          <w:b/>
          <w:bCs/>
          <w:caps/>
          <w:szCs w:val="24"/>
        </w:rPr>
        <w:t xml:space="preserve">agreed,  </w:t>
      </w:r>
      <w:r w:rsidRPr="00AA5F90">
        <w:rPr>
          <w:rFonts w:ascii="Arial Bold" w:hAnsi="Arial Bold" w:cs="Arial"/>
          <w:b/>
          <w:bCs/>
          <w:szCs w:val="24"/>
        </w:rPr>
        <w:t>on the proposal of Alderman McIlveen, seconded by Councillor Gilmour, that the public/press be excluded during the discussion of the undernoted items of confidential business.</w:t>
      </w:r>
    </w:p>
    <w:p w14:paraId="0E66343D" w14:textId="77777777" w:rsidR="0054056C" w:rsidRPr="00AA5F90" w:rsidRDefault="0054056C" w:rsidP="00AA5F90">
      <w:pPr>
        <w:rPr>
          <w:rFonts w:ascii="Arial Bold" w:hAnsi="Arial Bold" w:cs="Arial"/>
          <w:b/>
          <w:bCs/>
          <w:szCs w:val="24"/>
        </w:rPr>
      </w:pPr>
    </w:p>
    <w:p w14:paraId="3B498802" w14:textId="77777777" w:rsidR="00AA5F90" w:rsidRPr="00AA5F90" w:rsidRDefault="00AA5F90" w:rsidP="00451C59">
      <w:pPr>
        <w:keepNext/>
        <w:keepLines/>
        <w:ind w:left="720" w:hanging="720"/>
        <w:outlineLvl w:val="0"/>
        <w:rPr>
          <w:rFonts w:ascii="Arial Bold" w:eastAsiaTheme="majorEastAsia" w:hAnsi="Arial Bold" w:cs="Arial" w:hint="eastAsia"/>
          <w:b/>
          <w:caps/>
          <w:sz w:val="28"/>
          <w:szCs w:val="28"/>
          <w:u w:val="single"/>
        </w:rPr>
      </w:pPr>
      <w:bookmarkStart w:id="10" w:name="_Hlk190161152"/>
      <w:bookmarkStart w:id="11" w:name="_Hlk184740195"/>
      <w:r w:rsidRPr="00AA5F90">
        <w:rPr>
          <w:rFonts w:eastAsiaTheme="majorEastAsia" w:cs="Arial"/>
          <w:b/>
          <w:sz w:val="28"/>
          <w:szCs w:val="28"/>
        </w:rPr>
        <w:t>9</w:t>
      </w:r>
      <w:r w:rsidRPr="00AA5F90">
        <w:rPr>
          <w:rFonts w:eastAsiaTheme="majorEastAsia" w:cs="Arial"/>
          <w:b/>
          <w:szCs w:val="24"/>
        </w:rPr>
        <w:t>.</w:t>
      </w:r>
      <w:r w:rsidRPr="00AA5F90">
        <w:rPr>
          <w:rFonts w:eastAsiaTheme="majorEastAsia" w:cstheme="majorBidi"/>
          <w:b/>
          <w:color w:val="000000" w:themeColor="text1"/>
          <w:sz w:val="28"/>
          <w:szCs w:val="40"/>
        </w:rPr>
        <w:tab/>
      </w:r>
      <w:r w:rsidRPr="00AA5F90">
        <w:rPr>
          <w:rFonts w:ascii="Arial Bold" w:hAnsi="Arial Bold" w:cs="Arial"/>
          <w:b/>
          <w:caps/>
          <w:sz w:val="28"/>
          <w:szCs w:val="28"/>
          <w:u w:val="single"/>
        </w:rPr>
        <w:t>Renewal of Licence to Ulster Bank at the Parade, Donaghadee</w:t>
      </w:r>
    </w:p>
    <w:bookmarkEnd w:id="10"/>
    <w:p w14:paraId="0EF39AEF" w14:textId="77777777" w:rsidR="00AA5F90" w:rsidRPr="00AA5F90" w:rsidRDefault="00AA5F90" w:rsidP="00451C59">
      <w:pPr>
        <w:contextualSpacing/>
        <w:rPr>
          <w:rFonts w:cs="Arial"/>
          <w:szCs w:val="24"/>
        </w:rPr>
      </w:pPr>
      <w:r w:rsidRPr="00AA5F90">
        <w:rPr>
          <w:rFonts w:cs="Arial"/>
          <w:szCs w:val="24"/>
        </w:rPr>
        <w:tab/>
        <w:t>(Appendix VIII – IX)</w:t>
      </w:r>
      <w:r w:rsidRPr="00AA5F90">
        <w:rPr>
          <w:rFonts w:cs="Arial"/>
          <w:szCs w:val="24"/>
        </w:rPr>
        <w:tab/>
      </w:r>
    </w:p>
    <w:p w14:paraId="328B6D03" w14:textId="77777777" w:rsidR="00AA5F90" w:rsidRPr="00AA5F90" w:rsidRDefault="00AA5F90" w:rsidP="00451C59">
      <w:pPr>
        <w:contextualSpacing/>
        <w:rPr>
          <w:rFonts w:cs="Arial"/>
          <w:szCs w:val="24"/>
        </w:rPr>
      </w:pPr>
    </w:p>
    <w:p w14:paraId="29E1C9AF" w14:textId="24264863" w:rsidR="00AA5F90" w:rsidRPr="00AA5F90" w:rsidRDefault="00962551" w:rsidP="00451C59">
      <w:pPr>
        <w:rPr>
          <w:b/>
          <w:bCs/>
        </w:rPr>
      </w:pPr>
      <w:r>
        <w:rPr>
          <w:b/>
          <w:bCs/>
        </w:rPr>
        <w:t>*</w:t>
      </w:r>
      <w:r w:rsidR="00AA5F90" w:rsidRPr="00AA5F90">
        <w:rPr>
          <w:b/>
          <w:bCs/>
        </w:rPr>
        <w:t>**IN CONFIDENCE**</w:t>
      </w:r>
      <w:r>
        <w:rPr>
          <w:b/>
          <w:bCs/>
        </w:rPr>
        <w:t>*</w:t>
      </w:r>
    </w:p>
    <w:p w14:paraId="5602FDE3" w14:textId="77777777" w:rsidR="00AA5F90" w:rsidRPr="00AA5F90" w:rsidRDefault="00AA5F90" w:rsidP="00451C59"/>
    <w:p w14:paraId="6BBE7EC6" w14:textId="77777777" w:rsidR="00962551" w:rsidRDefault="00AA5F90" w:rsidP="00451C59">
      <w:pPr>
        <w:rPr>
          <w:rFonts w:cs="Arial"/>
          <w:b/>
          <w:bCs/>
          <w:szCs w:val="24"/>
        </w:rPr>
      </w:pPr>
      <w:r w:rsidRPr="00AA5F90">
        <w:rPr>
          <w:rFonts w:cs="Arial"/>
          <w:b/>
          <w:bCs/>
          <w:szCs w:val="24"/>
        </w:rPr>
        <w:t xml:space="preserve">NOT FOR PUBLICATION </w:t>
      </w:r>
    </w:p>
    <w:p w14:paraId="0CAB945C" w14:textId="77777777" w:rsidR="00962551" w:rsidRDefault="00962551" w:rsidP="00451C59">
      <w:pPr>
        <w:rPr>
          <w:rFonts w:cs="Arial"/>
          <w:b/>
          <w:bCs/>
          <w:szCs w:val="24"/>
        </w:rPr>
      </w:pPr>
    </w:p>
    <w:p w14:paraId="21A13B98" w14:textId="061271FC" w:rsidR="00451C59" w:rsidRDefault="00AA5F90" w:rsidP="00451C59">
      <w:pPr>
        <w:rPr>
          <w:rFonts w:cs="Arial"/>
          <w:b/>
          <w:bCs/>
          <w:szCs w:val="24"/>
        </w:rPr>
      </w:pPr>
      <w:r w:rsidRPr="00AA5F90">
        <w:rPr>
          <w:rFonts w:cs="Arial"/>
          <w:b/>
          <w:bCs/>
          <w:szCs w:val="24"/>
        </w:rPr>
        <w:t>SCHEDULE 6 – INFORMATION RELATING TO THE FINANCIAL OR BUSINESS AFFAIRS OF ANY PARTICULAR PERSON (INCLUDING THE COUNCIL HOLDING THAT INFORMATION)</w:t>
      </w:r>
    </w:p>
    <w:p w14:paraId="320AAF4B" w14:textId="77777777" w:rsidR="00451C59" w:rsidRDefault="00451C59" w:rsidP="00451C59">
      <w:pPr>
        <w:rPr>
          <w:rFonts w:cs="Arial"/>
          <w:b/>
          <w:bCs/>
          <w:szCs w:val="24"/>
        </w:rPr>
      </w:pPr>
    </w:p>
    <w:p w14:paraId="73008CCE" w14:textId="4177F54F" w:rsidR="00AA5F90" w:rsidRDefault="00AA5F90" w:rsidP="00451C59">
      <w:pPr>
        <w:rPr>
          <w:rFonts w:cs="Arial"/>
          <w:szCs w:val="24"/>
        </w:rPr>
      </w:pPr>
      <w:r w:rsidRPr="00AA5F90">
        <w:rPr>
          <w:rFonts w:cs="Arial"/>
          <w:color w:val="000000"/>
          <w:szCs w:val="24"/>
        </w:rPr>
        <w:t>Council was asked to consider renewing the licence to the Ulster Bank for the Mobile Banking Unit at the Parade, Donaghadee.  It was recommended that the Council acceded to the request.</w:t>
      </w:r>
      <w:r w:rsidRPr="00AA5F90">
        <w:rPr>
          <w:rFonts w:cs="Arial"/>
          <w:szCs w:val="24"/>
        </w:rPr>
        <w:t xml:space="preserve"> </w:t>
      </w:r>
    </w:p>
    <w:p w14:paraId="41026B81" w14:textId="77777777" w:rsidR="00451C59" w:rsidRPr="00AA5F90" w:rsidRDefault="00451C59" w:rsidP="00451C59">
      <w:pPr>
        <w:rPr>
          <w:rFonts w:cs="Arial"/>
          <w:szCs w:val="24"/>
        </w:rPr>
      </w:pPr>
    </w:p>
    <w:p w14:paraId="32CDEFC3" w14:textId="77777777" w:rsidR="00962551" w:rsidRDefault="00AA5F90" w:rsidP="00962551">
      <w:pPr>
        <w:shd w:val="clear" w:color="auto" w:fill="FFFFFF"/>
        <w:rPr>
          <w:rFonts w:eastAsia="Times New Roman" w:cs="Arial"/>
          <w:szCs w:val="24"/>
        </w:rPr>
      </w:pPr>
      <w:r w:rsidRPr="00AA5F90">
        <w:rPr>
          <w:rFonts w:eastAsia="Times New Roman" w:cs="Arial"/>
          <w:szCs w:val="24"/>
        </w:rPr>
        <w:t>The recommendation was agreed.</w:t>
      </w:r>
      <w:bookmarkStart w:id="12" w:name="_Hlk184740211"/>
      <w:bookmarkEnd w:id="11"/>
    </w:p>
    <w:p w14:paraId="7211C5FD" w14:textId="77777777" w:rsidR="00962551" w:rsidRDefault="00962551" w:rsidP="00962551">
      <w:pPr>
        <w:shd w:val="clear" w:color="auto" w:fill="FFFFFF"/>
        <w:rPr>
          <w:rFonts w:eastAsia="Times New Roman" w:cs="Arial"/>
          <w:szCs w:val="24"/>
        </w:rPr>
      </w:pPr>
    </w:p>
    <w:p w14:paraId="1F8412C4" w14:textId="2173C9CF" w:rsidR="00AA5F90" w:rsidRPr="00962551" w:rsidRDefault="00AA5F90" w:rsidP="00962551">
      <w:pPr>
        <w:pStyle w:val="Heading1"/>
        <w:ind w:left="720" w:hanging="720"/>
        <w:rPr>
          <w:rFonts w:ascii="Arial Bold" w:hAnsi="Arial Bold" w:hint="eastAsia"/>
          <w:caps/>
        </w:rPr>
      </w:pPr>
      <w:r w:rsidRPr="00962551">
        <w:rPr>
          <w:rFonts w:ascii="Arial Bold" w:hAnsi="Arial Bold"/>
          <w:caps/>
          <w:u w:val="none"/>
        </w:rPr>
        <w:t>10</w:t>
      </w:r>
      <w:r w:rsidRPr="00962551">
        <w:rPr>
          <w:rFonts w:ascii="Arial Bold" w:hAnsi="Arial Bold"/>
          <w:caps/>
          <w:szCs w:val="24"/>
          <w:u w:val="none"/>
        </w:rPr>
        <w:t>.</w:t>
      </w:r>
      <w:r w:rsidRPr="00962551">
        <w:rPr>
          <w:rFonts w:ascii="Arial Bold" w:hAnsi="Arial Bold"/>
          <w:caps/>
          <w:u w:val="none"/>
        </w:rPr>
        <w:tab/>
      </w:r>
      <w:r w:rsidRPr="00962551">
        <w:rPr>
          <w:rFonts w:ascii="Arial Bold" w:hAnsi="Arial Bold"/>
          <w:caps/>
        </w:rPr>
        <w:t>Request from QMAC Construction Limited to use part of Hibernia Street South Carpark- extension of licence</w:t>
      </w:r>
    </w:p>
    <w:p w14:paraId="28D0A213" w14:textId="77777777" w:rsidR="00AA5F90" w:rsidRPr="00AA5F90" w:rsidRDefault="00AA5F90" w:rsidP="00451C59">
      <w:pPr>
        <w:contextualSpacing/>
        <w:rPr>
          <w:rFonts w:cs="Arial"/>
          <w:szCs w:val="24"/>
        </w:rPr>
      </w:pPr>
      <w:r w:rsidRPr="00AA5F90">
        <w:rPr>
          <w:rFonts w:cs="Arial"/>
          <w:szCs w:val="24"/>
        </w:rPr>
        <w:tab/>
        <w:t>(Appendix X – XI)</w:t>
      </w:r>
    </w:p>
    <w:p w14:paraId="66E68792" w14:textId="77777777" w:rsidR="00AA5F90" w:rsidRPr="00AA5F90" w:rsidRDefault="00AA5F90" w:rsidP="00451C59">
      <w:pPr>
        <w:contextualSpacing/>
        <w:rPr>
          <w:rFonts w:cs="Arial"/>
          <w:szCs w:val="24"/>
        </w:rPr>
      </w:pPr>
      <w:r w:rsidRPr="00AA5F90">
        <w:rPr>
          <w:rFonts w:cs="Arial"/>
          <w:szCs w:val="24"/>
        </w:rPr>
        <w:tab/>
      </w:r>
    </w:p>
    <w:p w14:paraId="34EBCF9F" w14:textId="39E6F14C" w:rsidR="00AA5F90" w:rsidRPr="00AA5F90" w:rsidRDefault="00962551" w:rsidP="00451C59">
      <w:pPr>
        <w:rPr>
          <w:b/>
          <w:bCs/>
        </w:rPr>
      </w:pPr>
      <w:r>
        <w:rPr>
          <w:b/>
          <w:bCs/>
        </w:rPr>
        <w:t>*</w:t>
      </w:r>
      <w:r w:rsidR="00AA5F90" w:rsidRPr="00AA5F90">
        <w:rPr>
          <w:b/>
          <w:bCs/>
        </w:rPr>
        <w:t>**IN CONFIDENCE**</w:t>
      </w:r>
      <w:r>
        <w:rPr>
          <w:b/>
          <w:bCs/>
        </w:rPr>
        <w:t>*</w:t>
      </w:r>
    </w:p>
    <w:p w14:paraId="5588C999" w14:textId="77777777" w:rsidR="00AA5F90" w:rsidRPr="00AA5F90" w:rsidRDefault="00AA5F90" w:rsidP="00451C59"/>
    <w:p w14:paraId="52C43DBB" w14:textId="77777777" w:rsidR="00962551" w:rsidRDefault="00AA5F90" w:rsidP="00451C59">
      <w:pPr>
        <w:rPr>
          <w:rFonts w:cs="Arial"/>
          <w:b/>
          <w:bCs/>
          <w:szCs w:val="24"/>
        </w:rPr>
      </w:pPr>
      <w:r w:rsidRPr="00AA5F90">
        <w:rPr>
          <w:rFonts w:cs="Arial"/>
          <w:b/>
          <w:bCs/>
          <w:szCs w:val="24"/>
        </w:rPr>
        <w:t>NOT FOR PUBLICATION</w:t>
      </w:r>
    </w:p>
    <w:p w14:paraId="6BCCD37E" w14:textId="77777777" w:rsidR="00962551" w:rsidRDefault="00962551" w:rsidP="00451C59">
      <w:pPr>
        <w:rPr>
          <w:rFonts w:cs="Arial"/>
          <w:b/>
          <w:bCs/>
          <w:szCs w:val="24"/>
        </w:rPr>
      </w:pPr>
    </w:p>
    <w:p w14:paraId="7BAACD51" w14:textId="2BDA8707" w:rsidR="00AA5F90" w:rsidRDefault="00AA5F90" w:rsidP="00451C59">
      <w:pPr>
        <w:rPr>
          <w:rFonts w:cs="Arial"/>
          <w:b/>
          <w:bCs/>
          <w:szCs w:val="24"/>
        </w:rPr>
      </w:pPr>
      <w:r w:rsidRPr="00AA5F90">
        <w:rPr>
          <w:rFonts w:cs="Arial"/>
          <w:b/>
          <w:bCs/>
          <w:szCs w:val="24"/>
        </w:rPr>
        <w:t>SCHEDULE 6 – INFORMATION RELATING TO THE FINANCIAL OR BUSINESS AFFAIRS OF ANY PARTICULAR PERSON (INCLUDING THE COUNCIL HOLDING THAT INFORMATION)</w:t>
      </w:r>
    </w:p>
    <w:p w14:paraId="4C3F04B6" w14:textId="77777777" w:rsidR="00451C59" w:rsidRPr="00AA5F90" w:rsidRDefault="00451C59" w:rsidP="00451C59">
      <w:pPr>
        <w:rPr>
          <w:rFonts w:cs="Arial"/>
          <w:szCs w:val="24"/>
        </w:rPr>
      </w:pPr>
    </w:p>
    <w:p w14:paraId="62939B5A" w14:textId="77777777" w:rsidR="00AA5F90" w:rsidRDefault="00AA5F90" w:rsidP="00451C59">
      <w:pPr>
        <w:rPr>
          <w:rFonts w:cs="Arial"/>
          <w:szCs w:val="24"/>
        </w:rPr>
      </w:pPr>
      <w:r w:rsidRPr="00AA5F90">
        <w:rPr>
          <w:rFonts w:cs="Arial"/>
          <w:color w:val="000000"/>
          <w:szCs w:val="24"/>
        </w:rPr>
        <w:t>Council was asked to consider extending the licence in relation to land at Hibernia Street carpark. It was recommended that the Council acceded to the request.</w:t>
      </w:r>
      <w:r w:rsidRPr="00AA5F90">
        <w:rPr>
          <w:rFonts w:cs="Arial"/>
          <w:szCs w:val="24"/>
        </w:rPr>
        <w:t xml:space="preserve"> </w:t>
      </w:r>
    </w:p>
    <w:p w14:paraId="7CECC9DF" w14:textId="77777777" w:rsidR="00962551" w:rsidRPr="00AA5F90" w:rsidRDefault="00962551" w:rsidP="00451C59">
      <w:pPr>
        <w:rPr>
          <w:rFonts w:cs="Arial"/>
          <w:color w:val="000000"/>
          <w:szCs w:val="24"/>
        </w:rPr>
      </w:pPr>
    </w:p>
    <w:p w14:paraId="53BBC082" w14:textId="77777777" w:rsidR="00AA5F90" w:rsidRDefault="00AA5F90" w:rsidP="00451C59">
      <w:pPr>
        <w:shd w:val="clear" w:color="auto" w:fill="FFFFFF"/>
        <w:rPr>
          <w:rFonts w:eastAsia="Times New Roman" w:cs="Arial"/>
          <w:szCs w:val="24"/>
        </w:rPr>
      </w:pPr>
      <w:r w:rsidRPr="00AA5F90">
        <w:rPr>
          <w:rFonts w:eastAsia="Times New Roman" w:cs="Arial"/>
          <w:szCs w:val="24"/>
        </w:rPr>
        <w:t>The recommendation was agreed.</w:t>
      </w:r>
    </w:p>
    <w:p w14:paraId="4D4B69FC" w14:textId="77777777" w:rsidR="00451C59" w:rsidRPr="00AA5F90" w:rsidRDefault="00451C59" w:rsidP="00451C59">
      <w:pPr>
        <w:shd w:val="clear" w:color="auto" w:fill="FFFFFF"/>
      </w:pPr>
    </w:p>
    <w:bookmarkEnd w:id="12"/>
    <w:p w14:paraId="64D51BE2" w14:textId="77777777" w:rsidR="00AA5F90" w:rsidRPr="00AA5F90" w:rsidRDefault="00AA5F90" w:rsidP="00451C59">
      <w:pPr>
        <w:keepNext/>
        <w:keepLines/>
        <w:ind w:left="720" w:hanging="720"/>
        <w:outlineLvl w:val="0"/>
        <w:rPr>
          <w:rFonts w:ascii="Arial Bold" w:eastAsiaTheme="majorEastAsia" w:hAnsi="Arial Bold" w:cs="Arial" w:hint="eastAsia"/>
          <w:b/>
          <w:caps/>
          <w:sz w:val="28"/>
          <w:szCs w:val="28"/>
          <w:u w:val="single"/>
        </w:rPr>
      </w:pPr>
      <w:r w:rsidRPr="00AA5F90">
        <w:rPr>
          <w:rFonts w:eastAsiaTheme="majorEastAsia" w:cs="Arial"/>
          <w:b/>
          <w:sz w:val="28"/>
          <w:szCs w:val="28"/>
        </w:rPr>
        <w:lastRenderedPageBreak/>
        <w:t>11</w:t>
      </w:r>
      <w:r w:rsidRPr="00AA5F90">
        <w:rPr>
          <w:rFonts w:eastAsiaTheme="majorEastAsia" w:cs="Arial"/>
          <w:b/>
          <w:szCs w:val="24"/>
        </w:rPr>
        <w:t>.</w:t>
      </w:r>
      <w:r w:rsidRPr="00AA5F90">
        <w:rPr>
          <w:rFonts w:eastAsiaTheme="majorEastAsia" w:cstheme="majorBidi"/>
          <w:b/>
          <w:color w:val="000000" w:themeColor="text1"/>
          <w:sz w:val="28"/>
          <w:szCs w:val="40"/>
        </w:rPr>
        <w:tab/>
      </w:r>
      <w:r w:rsidRPr="00AA5F90">
        <w:rPr>
          <w:rFonts w:ascii="Arial Bold" w:hAnsi="Arial Bold" w:cs="Arial"/>
          <w:b/>
          <w:caps/>
          <w:sz w:val="28"/>
          <w:szCs w:val="28"/>
          <w:u w:val="single"/>
        </w:rPr>
        <w:t>Renewal of Lease - Millisle Lagoon and Beach Park- Map revision</w:t>
      </w:r>
    </w:p>
    <w:p w14:paraId="5E9B9314" w14:textId="77777777" w:rsidR="00AA5F90" w:rsidRPr="00AA5F90" w:rsidRDefault="00AA5F90" w:rsidP="00AA5F90">
      <w:pPr>
        <w:contextualSpacing/>
        <w:rPr>
          <w:rFonts w:cs="Arial"/>
          <w:szCs w:val="24"/>
        </w:rPr>
      </w:pPr>
      <w:r w:rsidRPr="00AA5F90">
        <w:rPr>
          <w:rFonts w:cs="Arial"/>
          <w:szCs w:val="24"/>
        </w:rPr>
        <w:tab/>
        <w:t>(Appendix XII – XV)</w:t>
      </w:r>
      <w:r w:rsidRPr="00AA5F90">
        <w:rPr>
          <w:rFonts w:cs="Arial"/>
          <w:szCs w:val="24"/>
        </w:rPr>
        <w:tab/>
      </w:r>
    </w:p>
    <w:p w14:paraId="11664846" w14:textId="77777777" w:rsidR="00AA5F90" w:rsidRPr="00AA5F90" w:rsidRDefault="00AA5F90" w:rsidP="00AA5F90">
      <w:pPr>
        <w:contextualSpacing/>
        <w:rPr>
          <w:rFonts w:cs="Arial"/>
          <w:szCs w:val="24"/>
        </w:rPr>
      </w:pPr>
    </w:p>
    <w:p w14:paraId="1BEF6F63" w14:textId="1BE8B172" w:rsidR="00AA5F90" w:rsidRPr="00AA5F90" w:rsidRDefault="00962551" w:rsidP="00AA5F90">
      <w:pPr>
        <w:rPr>
          <w:b/>
          <w:bCs/>
        </w:rPr>
      </w:pPr>
      <w:r>
        <w:rPr>
          <w:b/>
          <w:bCs/>
        </w:rPr>
        <w:t>*</w:t>
      </w:r>
      <w:r w:rsidR="00AA5F90" w:rsidRPr="00AA5F90">
        <w:rPr>
          <w:b/>
          <w:bCs/>
        </w:rPr>
        <w:t>**IN CONFIDENCE**</w:t>
      </w:r>
      <w:r>
        <w:rPr>
          <w:b/>
          <w:bCs/>
        </w:rPr>
        <w:t>*</w:t>
      </w:r>
    </w:p>
    <w:p w14:paraId="4B90E728" w14:textId="77777777" w:rsidR="00AA5F90" w:rsidRPr="00AA5F90" w:rsidRDefault="00AA5F90" w:rsidP="00451C59"/>
    <w:p w14:paraId="23390734" w14:textId="77777777" w:rsidR="00962551" w:rsidRDefault="00AA5F90" w:rsidP="00451C59">
      <w:pPr>
        <w:rPr>
          <w:rFonts w:cs="Arial"/>
          <w:b/>
          <w:bCs/>
          <w:szCs w:val="24"/>
        </w:rPr>
      </w:pPr>
      <w:r w:rsidRPr="00AA5F90">
        <w:rPr>
          <w:rFonts w:cs="Arial"/>
          <w:b/>
          <w:bCs/>
          <w:szCs w:val="24"/>
        </w:rPr>
        <w:t xml:space="preserve">NOT FOR PUBLICATION </w:t>
      </w:r>
    </w:p>
    <w:p w14:paraId="777449D8" w14:textId="77777777" w:rsidR="00962551" w:rsidRDefault="00962551" w:rsidP="00451C59">
      <w:pPr>
        <w:rPr>
          <w:rFonts w:cs="Arial"/>
          <w:b/>
          <w:bCs/>
          <w:szCs w:val="24"/>
        </w:rPr>
      </w:pPr>
    </w:p>
    <w:p w14:paraId="1100BA3B" w14:textId="5DD60B17" w:rsidR="00AA5F90" w:rsidRDefault="00AA5F90" w:rsidP="00451C59">
      <w:pPr>
        <w:rPr>
          <w:rFonts w:cs="Arial"/>
          <w:b/>
          <w:bCs/>
          <w:szCs w:val="24"/>
        </w:rPr>
      </w:pPr>
      <w:r w:rsidRPr="00AA5F90">
        <w:rPr>
          <w:rFonts w:cs="Arial"/>
          <w:b/>
          <w:bCs/>
          <w:szCs w:val="24"/>
        </w:rPr>
        <w:t>SCHEDULE 6 – INFORMATION RELATING TO THE FINANCIAL OR BUSINESS AFFAIRS OF ANY PARTICULAR PERSON (INCLUDING THE COUNCIL HOLDING THAT INFORMATION)</w:t>
      </w:r>
    </w:p>
    <w:p w14:paraId="2BC7988D" w14:textId="77777777" w:rsidR="00451C59" w:rsidRPr="00AA5F90" w:rsidRDefault="00451C59" w:rsidP="00451C59">
      <w:pPr>
        <w:rPr>
          <w:rFonts w:cs="Arial"/>
          <w:b/>
          <w:bCs/>
          <w:szCs w:val="24"/>
        </w:rPr>
      </w:pPr>
    </w:p>
    <w:p w14:paraId="63F534F6" w14:textId="77777777" w:rsidR="00AA5F90" w:rsidRDefault="00AA5F90" w:rsidP="00451C59">
      <w:pPr>
        <w:rPr>
          <w:rFonts w:cs="Arial"/>
          <w:color w:val="000000"/>
          <w:szCs w:val="24"/>
        </w:rPr>
      </w:pPr>
      <w:r w:rsidRPr="00AA5F90">
        <w:rPr>
          <w:rFonts w:cs="Arial"/>
          <w:color w:val="000000"/>
          <w:szCs w:val="24"/>
        </w:rPr>
        <w:t xml:space="preserve">Council was asked to consider a revision to the mapping as part of renewal of the Lease from The Crown Estate of Millisle Lagoon and Beach Park.  It was recommended that the Council approved the revised map.   </w:t>
      </w:r>
    </w:p>
    <w:p w14:paraId="4C7981CB" w14:textId="77777777" w:rsidR="00451C59" w:rsidRPr="00AA5F90" w:rsidRDefault="00451C59" w:rsidP="00451C59">
      <w:pPr>
        <w:rPr>
          <w:rFonts w:cs="Arial"/>
          <w:color w:val="000000"/>
          <w:szCs w:val="24"/>
        </w:rPr>
      </w:pPr>
    </w:p>
    <w:p w14:paraId="50FD9ECD" w14:textId="77777777" w:rsidR="00AA5F90" w:rsidRPr="00AA5F90" w:rsidRDefault="00AA5F90" w:rsidP="00451C59">
      <w:pPr>
        <w:shd w:val="clear" w:color="auto" w:fill="FFFFFF"/>
      </w:pPr>
      <w:r w:rsidRPr="00AA5F90">
        <w:rPr>
          <w:rFonts w:eastAsia="Times New Roman" w:cs="Arial"/>
          <w:szCs w:val="24"/>
        </w:rPr>
        <w:t>The recommendation was agreed.</w:t>
      </w:r>
    </w:p>
    <w:p w14:paraId="2CC20BB8" w14:textId="77777777" w:rsidR="00AA5F90" w:rsidRPr="00AA5F90" w:rsidRDefault="00AA5F90" w:rsidP="00AA5F90">
      <w:pPr>
        <w:keepNext/>
        <w:keepLines/>
        <w:spacing w:before="360" w:after="80"/>
        <w:ind w:left="720" w:hanging="720"/>
        <w:outlineLvl w:val="0"/>
        <w:rPr>
          <w:rFonts w:ascii="Arial Bold" w:eastAsiaTheme="majorEastAsia" w:hAnsi="Arial Bold" w:cs="Arial" w:hint="eastAsia"/>
          <w:b/>
          <w:caps/>
          <w:sz w:val="28"/>
          <w:szCs w:val="28"/>
          <w:u w:val="single"/>
        </w:rPr>
      </w:pPr>
      <w:bookmarkStart w:id="13" w:name="_Hlk190862776"/>
      <w:r w:rsidRPr="00AA5F90">
        <w:rPr>
          <w:rFonts w:eastAsiaTheme="majorEastAsia" w:cs="Arial"/>
          <w:b/>
          <w:sz w:val="28"/>
          <w:szCs w:val="28"/>
        </w:rPr>
        <w:t>12.</w:t>
      </w:r>
      <w:r w:rsidRPr="00AA5F90">
        <w:rPr>
          <w:rFonts w:eastAsiaTheme="majorEastAsia" w:cstheme="majorBidi"/>
          <w:b/>
          <w:color w:val="000000" w:themeColor="text1"/>
          <w:sz w:val="28"/>
          <w:szCs w:val="40"/>
        </w:rPr>
        <w:tab/>
      </w:r>
      <w:r w:rsidRPr="00AA5F90">
        <w:rPr>
          <w:rFonts w:ascii="Arial Bold" w:hAnsi="Arial Bold" w:cs="Arial"/>
          <w:b/>
          <w:caps/>
          <w:sz w:val="28"/>
          <w:szCs w:val="28"/>
          <w:u w:val="single"/>
        </w:rPr>
        <w:t>Civic Office Site selection process (FILE PCU08)</w:t>
      </w:r>
    </w:p>
    <w:p w14:paraId="2B48653E" w14:textId="77777777" w:rsidR="00AA5F90" w:rsidRPr="00AA5F90" w:rsidRDefault="00AA5F90" w:rsidP="00AA5F90">
      <w:pPr>
        <w:contextualSpacing/>
        <w:rPr>
          <w:rFonts w:cs="Arial"/>
          <w:szCs w:val="24"/>
        </w:rPr>
      </w:pPr>
      <w:r w:rsidRPr="00AA5F90">
        <w:rPr>
          <w:rFonts w:cs="Arial"/>
          <w:szCs w:val="24"/>
        </w:rPr>
        <w:tab/>
      </w:r>
    </w:p>
    <w:p w14:paraId="1360B55F" w14:textId="77777777" w:rsidR="00AA5F90" w:rsidRPr="00AA5F90" w:rsidRDefault="00AA5F90" w:rsidP="00962551">
      <w:pPr>
        <w:rPr>
          <w:b/>
          <w:bCs/>
        </w:rPr>
      </w:pPr>
      <w:r w:rsidRPr="00AA5F90">
        <w:rPr>
          <w:b/>
          <w:bCs/>
        </w:rPr>
        <w:t>**IN CONFIDENCE**</w:t>
      </w:r>
    </w:p>
    <w:p w14:paraId="001AB9AF" w14:textId="77777777" w:rsidR="00AA5F90" w:rsidRPr="00AA5F90" w:rsidRDefault="00AA5F90" w:rsidP="00962551"/>
    <w:p w14:paraId="4D5B0FDE" w14:textId="77777777" w:rsidR="00962551" w:rsidRDefault="00AA5F90" w:rsidP="00962551">
      <w:pPr>
        <w:rPr>
          <w:rFonts w:cs="Arial"/>
          <w:b/>
          <w:bCs/>
          <w:szCs w:val="24"/>
        </w:rPr>
      </w:pPr>
      <w:r w:rsidRPr="00AA5F90">
        <w:rPr>
          <w:rFonts w:cs="Arial"/>
          <w:b/>
          <w:bCs/>
          <w:szCs w:val="24"/>
        </w:rPr>
        <w:t xml:space="preserve">NOT FOR PUBLICATION </w:t>
      </w:r>
    </w:p>
    <w:p w14:paraId="7558A4C3" w14:textId="77777777" w:rsidR="00962551" w:rsidRDefault="00962551" w:rsidP="00962551">
      <w:pPr>
        <w:rPr>
          <w:rFonts w:cs="Arial"/>
          <w:b/>
          <w:bCs/>
          <w:szCs w:val="24"/>
        </w:rPr>
      </w:pPr>
    </w:p>
    <w:p w14:paraId="1C521C95" w14:textId="397C89D8" w:rsidR="00AA5F90" w:rsidRDefault="00AA5F90" w:rsidP="00962551">
      <w:pPr>
        <w:rPr>
          <w:rFonts w:cs="Arial"/>
          <w:b/>
          <w:bCs/>
          <w:szCs w:val="24"/>
        </w:rPr>
      </w:pPr>
      <w:r w:rsidRPr="00AA5F90">
        <w:rPr>
          <w:rFonts w:cs="Arial"/>
          <w:b/>
          <w:bCs/>
          <w:szCs w:val="24"/>
        </w:rPr>
        <w:t>SCHEDULE 6 – INFORMATION RELATING TO THE FINANCIAL OR BUSINESS AFFAIRS OF ANY PARTICULAR PERSON (INCLUDING THE COUNCIL HOLDING THAT INFORMATION)</w:t>
      </w:r>
    </w:p>
    <w:p w14:paraId="2EDB217C" w14:textId="77777777" w:rsidR="00962551" w:rsidRPr="00962551" w:rsidRDefault="00962551" w:rsidP="00962551">
      <w:pPr>
        <w:rPr>
          <w:rFonts w:cs="Arial"/>
          <w:b/>
          <w:bCs/>
          <w:szCs w:val="24"/>
        </w:rPr>
      </w:pPr>
    </w:p>
    <w:p w14:paraId="5DD8AF18" w14:textId="0A3FC749" w:rsidR="00AA5F90" w:rsidRPr="00AA5F90" w:rsidRDefault="00AA5F90" w:rsidP="00AA5F90">
      <w:pPr>
        <w:pStyle w:val="NormalWeb"/>
        <w:shd w:val="clear" w:color="auto" w:fill="FFFFFF"/>
        <w:spacing w:before="0" w:beforeAutospacing="0" w:after="0" w:afterAutospacing="0"/>
        <w:rPr>
          <w:rFonts w:ascii="Arial" w:hAnsi="Arial" w:cs="Arial"/>
          <w:color w:val="242424"/>
        </w:rPr>
      </w:pPr>
      <w:r>
        <w:rPr>
          <w:rFonts w:ascii="Arial" w:hAnsi="Arial" w:cs="Arial"/>
          <w:color w:val="242424"/>
        </w:rPr>
        <w:t xml:space="preserve">The </w:t>
      </w:r>
      <w:r w:rsidRPr="00AA5F90">
        <w:rPr>
          <w:rFonts w:ascii="Arial" w:hAnsi="Arial" w:cs="Arial"/>
          <w:color w:val="242424"/>
        </w:rPr>
        <w:t>Council was asked to consider various potential commercial models, and were further asked to consider the immediate procurement of an Integrated Consultancy Team to carry out site specific feasibility studies. </w:t>
      </w:r>
    </w:p>
    <w:p w14:paraId="5CC202EF" w14:textId="77777777" w:rsidR="00AA5F90" w:rsidRPr="00AA5F90" w:rsidRDefault="00AA5F90" w:rsidP="00AA5F90">
      <w:pPr>
        <w:pStyle w:val="NormalWeb"/>
        <w:shd w:val="clear" w:color="auto" w:fill="FFFFFF"/>
        <w:spacing w:before="0" w:beforeAutospacing="0" w:after="0" w:afterAutospacing="0"/>
        <w:rPr>
          <w:rFonts w:ascii="Arial" w:hAnsi="Arial" w:cs="Arial"/>
          <w:color w:val="242424"/>
        </w:rPr>
      </w:pPr>
      <w:r w:rsidRPr="00AA5F90">
        <w:rPr>
          <w:rFonts w:ascii="Arial" w:hAnsi="Arial" w:cs="Arial"/>
          <w:color w:val="242424"/>
        </w:rPr>
        <w:t> </w:t>
      </w:r>
    </w:p>
    <w:p w14:paraId="19F77526" w14:textId="77777777" w:rsidR="00AA5F90" w:rsidRDefault="00AA5F90" w:rsidP="00AA5F90">
      <w:pPr>
        <w:pStyle w:val="NormalWeb"/>
        <w:shd w:val="clear" w:color="auto" w:fill="FFFFFF"/>
        <w:spacing w:before="0" w:beforeAutospacing="0" w:after="0" w:afterAutospacing="0"/>
        <w:rPr>
          <w:rFonts w:ascii="Arial" w:hAnsi="Arial" w:cs="Arial"/>
          <w:color w:val="242424"/>
        </w:rPr>
      </w:pPr>
      <w:r w:rsidRPr="00AA5F90">
        <w:rPr>
          <w:rFonts w:ascii="Arial" w:hAnsi="Arial" w:cs="Arial"/>
          <w:color w:val="242424"/>
        </w:rPr>
        <w:t>The recommendation was agreed.</w:t>
      </w:r>
    </w:p>
    <w:p w14:paraId="35B3ECF6" w14:textId="77777777" w:rsidR="00962551" w:rsidRPr="00AA5F90" w:rsidRDefault="00962551" w:rsidP="00AA5F90">
      <w:pPr>
        <w:pStyle w:val="NormalWeb"/>
        <w:shd w:val="clear" w:color="auto" w:fill="FFFFFF"/>
        <w:spacing w:before="0" w:beforeAutospacing="0" w:after="0" w:afterAutospacing="0"/>
        <w:rPr>
          <w:rFonts w:ascii="Arial" w:hAnsi="Arial" w:cs="Arial"/>
          <w:color w:val="242424"/>
        </w:rPr>
      </w:pPr>
    </w:p>
    <w:bookmarkEnd w:id="13"/>
    <w:p w14:paraId="4A963CD8" w14:textId="77777777" w:rsidR="00962551" w:rsidRDefault="00AA5F90" w:rsidP="00962551">
      <w:pPr>
        <w:keepNext/>
        <w:keepLines/>
        <w:ind w:left="720" w:hanging="720"/>
        <w:outlineLvl w:val="0"/>
        <w:rPr>
          <w:rFonts w:ascii="Arial Bold" w:eastAsiaTheme="majorEastAsia" w:hAnsi="Arial Bold" w:cs="Arial" w:hint="eastAsia"/>
          <w:b/>
          <w:caps/>
          <w:sz w:val="28"/>
          <w:szCs w:val="28"/>
          <w:u w:val="single"/>
        </w:rPr>
      </w:pPr>
      <w:r w:rsidRPr="00AA5F90">
        <w:rPr>
          <w:rFonts w:eastAsiaTheme="majorEastAsia" w:cs="Arial"/>
          <w:b/>
          <w:sz w:val="28"/>
          <w:szCs w:val="28"/>
        </w:rPr>
        <w:t>13.</w:t>
      </w:r>
      <w:r w:rsidRPr="00AA5F90">
        <w:rPr>
          <w:rFonts w:eastAsiaTheme="majorEastAsia" w:cstheme="majorBidi"/>
          <w:b/>
          <w:color w:val="000000" w:themeColor="text1"/>
          <w:sz w:val="28"/>
          <w:szCs w:val="40"/>
        </w:rPr>
        <w:tab/>
      </w:r>
      <w:r w:rsidRPr="00AA5F90">
        <w:rPr>
          <w:rFonts w:ascii="Arial Bold" w:hAnsi="Arial Bold" w:cs="Arial"/>
          <w:b/>
          <w:caps/>
          <w:sz w:val="28"/>
          <w:szCs w:val="28"/>
          <w:u w:val="single"/>
        </w:rPr>
        <w:t>Sale of land Hamilton Road, Bangor</w:t>
      </w:r>
    </w:p>
    <w:p w14:paraId="2C52F9AC" w14:textId="58F5038E" w:rsidR="00AA5F90" w:rsidRPr="00962551" w:rsidRDefault="00AA5F90" w:rsidP="00962551">
      <w:pPr>
        <w:ind w:firstLine="720"/>
        <w:rPr>
          <w:rFonts w:ascii="Arial Bold" w:eastAsiaTheme="majorEastAsia" w:hAnsi="Arial Bold" w:hint="eastAsia"/>
          <w:b/>
          <w:caps/>
          <w:sz w:val="28"/>
          <w:szCs w:val="28"/>
          <w:u w:val="single"/>
        </w:rPr>
      </w:pPr>
      <w:r w:rsidRPr="00AA5F90">
        <w:t>(Appendix XVI)</w:t>
      </w:r>
    </w:p>
    <w:p w14:paraId="064110FB" w14:textId="77777777" w:rsidR="00AA5F90" w:rsidRPr="00AA5F90" w:rsidRDefault="00AA5F90" w:rsidP="00962551">
      <w:pPr>
        <w:contextualSpacing/>
        <w:rPr>
          <w:rFonts w:cs="Arial"/>
          <w:szCs w:val="24"/>
        </w:rPr>
      </w:pPr>
      <w:r w:rsidRPr="00AA5F90">
        <w:rPr>
          <w:rFonts w:cs="Arial"/>
          <w:szCs w:val="24"/>
        </w:rPr>
        <w:tab/>
      </w:r>
    </w:p>
    <w:p w14:paraId="09352A54" w14:textId="77777777" w:rsidR="00AA5F90" w:rsidRPr="00AA5F90" w:rsidRDefault="00AA5F90" w:rsidP="00962551">
      <w:pPr>
        <w:rPr>
          <w:b/>
          <w:bCs/>
        </w:rPr>
      </w:pPr>
      <w:r w:rsidRPr="00AA5F90">
        <w:rPr>
          <w:b/>
          <w:bCs/>
        </w:rPr>
        <w:t>**IN CONFIDENCE**</w:t>
      </w:r>
    </w:p>
    <w:p w14:paraId="57A59462" w14:textId="77777777" w:rsidR="00AA5F90" w:rsidRPr="00AA5F90" w:rsidRDefault="00AA5F90" w:rsidP="00962551"/>
    <w:p w14:paraId="4E49351E" w14:textId="77777777" w:rsidR="00962551" w:rsidRDefault="00AA5F90" w:rsidP="00962551">
      <w:pPr>
        <w:rPr>
          <w:rFonts w:cs="Arial"/>
          <w:b/>
          <w:bCs/>
          <w:szCs w:val="24"/>
        </w:rPr>
      </w:pPr>
      <w:bookmarkStart w:id="14" w:name="_Hlk190861458"/>
      <w:r w:rsidRPr="00AA5F90">
        <w:rPr>
          <w:rFonts w:cs="Arial"/>
          <w:b/>
          <w:bCs/>
          <w:szCs w:val="24"/>
        </w:rPr>
        <w:t>NOT FOR PUBLICATION</w:t>
      </w:r>
    </w:p>
    <w:p w14:paraId="128EF46C" w14:textId="77777777" w:rsidR="00962551" w:rsidRDefault="00962551" w:rsidP="00962551">
      <w:pPr>
        <w:rPr>
          <w:rFonts w:cs="Arial"/>
          <w:b/>
          <w:bCs/>
          <w:szCs w:val="24"/>
        </w:rPr>
      </w:pPr>
    </w:p>
    <w:p w14:paraId="063A5277" w14:textId="1143831E" w:rsidR="00AA5F90" w:rsidRDefault="00AA5F90" w:rsidP="00962551">
      <w:pPr>
        <w:rPr>
          <w:rFonts w:cs="Arial"/>
          <w:b/>
          <w:bCs/>
          <w:szCs w:val="24"/>
        </w:rPr>
      </w:pPr>
      <w:r w:rsidRPr="00AA5F90">
        <w:rPr>
          <w:rFonts w:cs="Arial"/>
          <w:b/>
          <w:bCs/>
          <w:szCs w:val="24"/>
        </w:rPr>
        <w:t>SCHEDULE 6 – INFORMATION RELATING TO THE FINANCIAL OR BUSINESS AFFAIRS OF ANY PARTICULAR PERSON (INCLUDING THE COUNCIL HOLDING THAT INFORMATION)</w:t>
      </w:r>
    </w:p>
    <w:p w14:paraId="20E3D506" w14:textId="77777777" w:rsidR="00962551" w:rsidRPr="00AA5F90" w:rsidRDefault="00962551" w:rsidP="00962551">
      <w:pPr>
        <w:rPr>
          <w:rFonts w:cs="Arial"/>
          <w:szCs w:val="24"/>
        </w:rPr>
      </w:pPr>
    </w:p>
    <w:bookmarkEnd w:id="14"/>
    <w:p w14:paraId="067A5110" w14:textId="77777777" w:rsidR="00AA5F90" w:rsidRPr="00AA5F90" w:rsidRDefault="00AA5F90" w:rsidP="00AA5F90">
      <w:pPr>
        <w:spacing w:after="160" w:line="259" w:lineRule="auto"/>
        <w:rPr>
          <w:rFonts w:cs="Arial"/>
          <w:color w:val="000000"/>
          <w:szCs w:val="24"/>
        </w:rPr>
      </w:pPr>
      <w:r w:rsidRPr="00AA5F90">
        <w:rPr>
          <w:rFonts w:cs="Arial"/>
          <w:color w:val="000000"/>
          <w:szCs w:val="24"/>
        </w:rPr>
        <w:t xml:space="preserve">Council was provided with an update with regards to the sale of the Hamilton Road site.  Officers will bring a report back to Council to recommend the next steps.  </w:t>
      </w:r>
    </w:p>
    <w:p w14:paraId="7EED0464" w14:textId="7D805708" w:rsidR="00AA5F90" w:rsidRPr="00AA5F90" w:rsidRDefault="00AA5F90" w:rsidP="00AA5F90">
      <w:pPr>
        <w:shd w:val="clear" w:color="auto" w:fill="FFFFFF"/>
        <w:spacing w:after="160" w:line="259" w:lineRule="auto"/>
        <w:rPr>
          <w:b/>
          <w:bCs/>
          <w:sz w:val="28"/>
          <w:szCs w:val="28"/>
          <w:u w:val="single"/>
        </w:rPr>
      </w:pPr>
      <w:r w:rsidRPr="00AA5F90">
        <w:rPr>
          <w:rFonts w:eastAsia="Times New Roman" w:cs="Arial"/>
          <w:szCs w:val="24"/>
        </w:rPr>
        <w:t>The recommendation was agreed.</w:t>
      </w:r>
    </w:p>
    <w:p w14:paraId="65CE5CAC" w14:textId="2989089B" w:rsidR="00AA5F90" w:rsidRPr="00AA5F90" w:rsidRDefault="00AA5F90" w:rsidP="00AA5F90">
      <w:pPr>
        <w:rPr>
          <w:b/>
          <w:bCs/>
          <w:sz w:val="28"/>
          <w:szCs w:val="28"/>
          <w:u w:val="single"/>
        </w:rPr>
      </w:pPr>
      <w:r w:rsidRPr="00AA5F90">
        <w:rPr>
          <w:b/>
          <w:bCs/>
          <w:sz w:val="28"/>
          <w:szCs w:val="28"/>
          <w:u w:val="single"/>
        </w:rPr>
        <w:lastRenderedPageBreak/>
        <w:t>RE-ADMI</w:t>
      </w:r>
      <w:r w:rsidR="00962551">
        <w:rPr>
          <w:b/>
          <w:bCs/>
          <w:sz w:val="28"/>
          <w:szCs w:val="28"/>
          <w:u w:val="single"/>
        </w:rPr>
        <w:t>T</w:t>
      </w:r>
      <w:r w:rsidRPr="00AA5F90">
        <w:rPr>
          <w:b/>
          <w:bCs/>
          <w:sz w:val="28"/>
          <w:szCs w:val="28"/>
          <w:u w:val="single"/>
        </w:rPr>
        <w:t>TANCE OF PUBLIC/PRESS</w:t>
      </w:r>
    </w:p>
    <w:p w14:paraId="38C62580" w14:textId="77777777" w:rsidR="00AA5F90" w:rsidRPr="00AA5F90" w:rsidRDefault="00AA5F90" w:rsidP="00AA5F90">
      <w:pPr>
        <w:rPr>
          <w:b/>
          <w:bCs/>
          <w:sz w:val="28"/>
          <w:szCs w:val="28"/>
          <w:u w:val="single"/>
        </w:rPr>
      </w:pPr>
    </w:p>
    <w:p w14:paraId="2499725F" w14:textId="77777777" w:rsidR="00AA5F90" w:rsidRPr="00AA5F90" w:rsidRDefault="00AA5F90" w:rsidP="00AA5F90">
      <w:pPr>
        <w:rPr>
          <w:b/>
          <w:bCs/>
          <w:szCs w:val="24"/>
        </w:rPr>
      </w:pPr>
      <w:r w:rsidRPr="00AA5F90">
        <w:rPr>
          <w:b/>
          <w:bCs/>
          <w:szCs w:val="24"/>
        </w:rPr>
        <w:t>AGREED, on the proposal of Alderman McIlveen, seconded by Councillor Gilmour, that the public/press be re-admitted to the meeting.</w:t>
      </w:r>
    </w:p>
    <w:p w14:paraId="2DC57C4E" w14:textId="77777777" w:rsidR="00AA5F90" w:rsidRPr="00AA5F90" w:rsidRDefault="00AA5F90" w:rsidP="00AA5F90">
      <w:pPr>
        <w:rPr>
          <w:b/>
          <w:bCs/>
          <w:szCs w:val="24"/>
        </w:rPr>
      </w:pPr>
    </w:p>
    <w:p w14:paraId="0C3E955B" w14:textId="77777777" w:rsidR="00AA5F90" w:rsidRPr="00AA5F90" w:rsidRDefault="00AA5F90" w:rsidP="00AA5F90">
      <w:pPr>
        <w:rPr>
          <w:b/>
          <w:bCs/>
          <w:sz w:val="28"/>
          <w:szCs w:val="28"/>
          <w:u w:val="single"/>
        </w:rPr>
      </w:pPr>
      <w:r w:rsidRPr="00AA5F90">
        <w:rPr>
          <w:b/>
          <w:bCs/>
          <w:sz w:val="28"/>
          <w:szCs w:val="28"/>
          <w:u w:val="single"/>
        </w:rPr>
        <w:t>TERMINATION OF MEETING</w:t>
      </w:r>
    </w:p>
    <w:p w14:paraId="57F46F71" w14:textId="77777777" w:rsidR="00AA5F90" w:rsidRPr="00AA5F90" w:rsidRDefault="00AA5F90" w:rsidP="00AA5F90">
      <w:pPr>
        <w:rPr>
          <w:b/>
          <w:bCs/>
          <w:sz w:val="28"/>
          <w:szCs w:val="28"/>
          <w:u w:val="single"/>
        </w:rPr>
      </w:pPr>
    </w:p>
    <w:p w14:paraId="57642268" w14:textId="0B9EF15A" w:rsidR="00AA5F90" w:rsidRPr="00AA5F90" w:rsidRDefault="00AA5F90" w:rsidP="00AA5F90">
      <w:pPr>
        <w:rPr>
          <w:szCs w:val="24"/>
        </w:rPr>
      </w:pPr>
      <w:r w:rsidRPr="00AA5F90">
        <w:rPr>
          <w:szCs w:val="24"/>
        </w:rPr>
        <w:t>The meeting terminated at 9.18pm.</w:t>
      </w:r>
      <w:r w:rsidR="00962551">
        <w:rPr>
          <w:szCs w:val="24"/>
        </w:rPr>
        <w:t xml:space="preserve">  </w:t>
      </w:r>
    </w:p>
    <w:p w14:paraId="12B03BA0" w14:textId="1A0F9000" w:rsidR="00AA5F90" w:rsidRDefault="00AA5F90" w:rsidP="00BE72BE">
      <w:pPr>
        <w:ind w:left="720" w:hanging="720"/>
        <w:rPr>
          <w:rFonts w:ascii="Arial Bold" w:hAnsi="Arial Bold"/>
          <w:b/>
          <w:bCs/>
          <w:caps/>
          <w:szCs w:val="24"/>
          <w:u w:val="single"/>
        </w:rPr>
      </w:pPr>
    </w:p>
    <w:p w14:paraId="1106F698" w14:textId="77777777" w:rsidR="00962551" w:rsidRDefault="00962551" w:rsidP="00BE72BE">
      <w:pPr>
        <w:ind w:left="720" w:hanging="720"/>
        <w:rPr>
          <w:rFonts w:ascii="Arial Bold" w:hAnsi="Arial Bold"/>
          <w:b/>
          <w:bCs/>
          <w:caps/>
          <w:szCs w:val="24"/>
          <w:u w:val="single"/>
        </w:rPr>
      </w:pPr>
    </w:p>
    <w:p w14:paraId="22B63F77" w14:textId="629D391E" w:rsidR="00962551" w:rsidRDefault="00962551" w:rsidP="00BE72BE">
      <w:pPr>
        <w:ind w:left="720" w:hanging="720"/>
        <w:rPr>
          <w:rFonts w:ascii="Arial Bold" w:hAnsi="Arial Bold"/>
          <w:b/>
          <w:bCs/>
          <w:caps/>
          <w:szCs w:val="24"/>
          <w:u w:val="single"/>
        </w:rPr>
      </w:pPr>
    </w:p>
    <w:sectPr w:rsidR="00962551" w:rsidSect="00BE72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CE7A" w14:textId="77777777" w:rsidR="00AF25C7" w:rsidRDefault="00AF25C7" w:rsidP="00BE72BE">
      <w:r>
        <w:separator/>
      </w:r>
    </w:p>
  </w:endnote>
  <w:endnote w:type="continuationSeparator" w:id="0">
    <w:p w14:paraId="606F6155" w14:textId="77777777" w:rsidR="00AF25C7" w:rsidRDefault="00AF25C7"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6403" w14:textId="77777777" w:rsidR="000F5962" w:rsidRDefault="000F5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D949" w14:textId="77777777" w:rsidR="000F5962" w:rsidRDefault="000F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3602" w14:textId="77777777" w:rsidR="00AF25C7" w:rsidRDefault="00AF25C7" w:rsidP="00BE72BE">
      <w:r>
        <w:separator/>
      </w:r>
    </w:p>
  </w:footnote>
  <w:footnote w:type="continuationSeparator" w:id="0">
    <w:p w14:paraId="6FDF8974" w14:textId="77777777" w:rsidR="00AF25C7" w:rsidRDefault="00AF25C7"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C24B" w14:textId="77777777" w:rsidR="000F5962" w:rsidRDefault="000F5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36BA6EB0" w:rsidR="004B571C" w:rsidRDefault="004B571C">
    <w:pPr>
      <w:pStyle w:val="Header"/>
    </w:pPr>
    <w:r>
      <w:tab/>
    </w:r>
    <w:r>
      <w:tab/>
    </w:r>
    <w:r w:rsidR="00EC5488">
      <w:t>CS</w:t>
    </w:r>
    <w:r w:rsidR="003D7558">
      <w:t xml:space="preserve"> </w:t>
    </w:r>
    <w:r w:rsidR="00C566C0">
      <w:t>11.02.2025</w:t>
    </w:r>
    <w:r w:rsidR="00AA5F90">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510C6593" w:rsidR="004B571C" w:rsidRPr="00CD0F1E" w:rsidRDefault="004B571C" w:rsidP="00B55EA6">
    <w:pPr>
      <w:pStyle w:val="Header"/>
      <w:jc w:val="center"/>
      <w:rPr>
        <w:b/>
        <w:bCs/>
        <w:sz w:val="32"/>
        <w:szCs w:val="32"/>
      </w:rPr>
    </w:pP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02"/>
    <w:multiLevelType w:val="hybridMultilevel"/>
    <w:tmpl w:val="54B6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6432EB"/>
    <w:multiLevelType w:val="hybridMultilevel"/>
    <w:tmpl w:val="5AF2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E78E9"/>
    <w:multiLevelType w:val="hybridMultilevel"/>
    <w:tmpl w:val="BBBE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A2229"/>
    <w:multiLevelType w:val="hybridMultilevel"/>
    <w:tmpl w:val="808C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36D01"/>
    <w:multiLevelType w:val="hybridMultilevel"/>
    <w:tmpl w:val="3B2EC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715D2A"/>
    <w:multiLevelType w:val="hybridMultilevel"/>
    <w:tmpl w:val="ECECB536"/>
    <w:lvl w:ilvl="0" w:tplc="0B586C36">
      <w:start w:val="1"/>
      <w:numFmt w:val="lowerLetter"/>
      <w:lvlText w:val="(%1)"/>
      <w:lvlJc w:val="left"/>
      <w:pPr>
        <w:ind w:left="720" w:hanging="360"/>
      </w:pPr>
      <w:rPr>
        <w:rFonts w:eastAsia="Apto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0625A"/>
    <w:multiLevelType w:val="hybridMultilevel"/>
    <w:tmpl w:val="C8CA671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B9151B"/>
    <w:multiLevelType w:val="hybridMultilevel"/>
    <w:tmpl w:val="DFD2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85C32"/>
    <w:multiLevelType w:val="hybridMultilevel"/>
    <w:tmpl w:val="55E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B3307"/>
    <w:multiLevelType w:val="hybridMultilevel"/>
    <w:tmpl w:val="8A6A8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87594C"/>
    <w:multiLevelType w:val="hybridMultilevel"/>
    <w:tmpl w:val="AD622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B1A5D"/>
    <w:multiLevelType w:val="hybridMultilevel"/>
    <w:tmpl w:val="3CAE6D9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153D00"/>
    <w:multiLevelType w:val="multilevel"/>
    <w:tmpl w:val="6AA6E9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611D2C"/>
    <w:multiLevelType w:val="hybridMultilevel"/>
    <w:tmpl w:val="C07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B28BE"/>
    <w:multiLevelType w:val="hybridMultilevel"/>
    <w:tmpl w:val="6316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A4E96"/>
    <w:multiLevelType w:val="hybridMultilevel"/>
    <w:tmpl w:val="1C2C2716"/>
    <w:lvl w:ilvl="0" w:tplc="FD3A22CE">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F9C636E"/>
    <w:multiLevelType w:val="multilevel"/>
    <w:tmpl w:val="13AE6DB6"/>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729694207">
    <w:abstractNumId w:val="13"/>
  </w:num>
  <w:num w:numId="2" w16cid:durableId="1839006008">
    <w:abstractNumId w:val="15"/>
  </w:num>
  <w:num w:numId="3" w16cid:durableId="1283657112">
    <w:abstractNumId w:val="4"/>
  </w:num>
  <w:num w:numId="4" w16cid:durableId="1983385718">
    <w:abstractNumId w:val="8"/>
  </w:num>
  <w:num w:numId="5" w16cid:durableId="714737467">
    <w:abstractNumId w:val="3"/>
  </w:num>
  <w:num w:numId="6" w16cid:durableId="398595210">
    <w:abstractNumId w:val="2"/>
  </w:num>
  <w:num w:numId="7" w16cid:durableId="174081425">
    <w:abstractNumId w:val="0"/>
  </w:num>
  <w:num w:numId="8" w16cid:durableId="361983442">
    <w:abstractNumId w:val="11"/>
  </w:num>
  <w:num w:numId="9" w16cid:durableId="2073458742">
    <w:abstractNumId w:val="6"/>
  </w:num>
  <w:num w:numId="10" w16cid:durableId="72625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84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9323">
    <w:abstractNumId w:val="10"/>
  </w:num>
  <w:num w:numId="13" w16cid:durableId="225535400">
    <w:abstractNumId w:val="5"/>
  </w:num>
  <w:num w:numId="14" w16cid:durableId="914239116">
    <w:abstractNumId w:val="14"/>
  </w:num>
  <w:num w:numId="15" w16cid:durableId="235163480">
    <w:abstractNumId w:val="12"/>
  </w:num>
  <w:num w:numId="16" w16cid:durableId="1999839428">
    <w:abstractNumId w:val="9"/>
  </w:num>
  <w:num w:numId="17" w16cid:durableId="1850413779">
    <w:abstractNumId w:val="7"/>
  </w:num>
  <w:num w:numId="18" w16cid:durableId="183221199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38S8DQjv6U754/awWPd5PSMeKK58QzzQwC/N5v5VZ15zBwgJMrJpgPlIJieGAn71VFDNtSjAU4EKEEA5enRaw==" w:salt="YeivIYJgS1O9KCiXIZhb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ADA"/>
    <w:rsid w:val="00020C38"/>
    <w:rsid w:val="000216CF"/>
    <w:rsid w:val="00025D41"/>
    <w:rsid w:val="000311D3"/>
    <w:rsid w:val="000414DB"/>
    <w:rsid w:val="0004253A"/>
    <w:rsid w:val="00047EC7"/>
    <w:rsid w:val="00054B13"/>
    <w:rsid w:val="00061E1F"/>
    <w:rsid w:val="0006545E"/>
    <w:rsid w:val="00071C18"/>
    <w:rsid w:val="000767E1"/>
    <w:rsid w:val="000818DB"/>
    <w:rsid w:val="00093369"/>
    <w:rsid w:val="00094286"/>
    <w:rsid w:val="000A1E22"/>
    <w:rsid w:val="000A3348"/>
    <w:rsid w:val="000A5130"/>
    <w:rsid w:val="000B062C"/>
    <w:rsid w:val="000B13C7"/>
    <w:rsid w:val="000B28D6"/>
    <w:rsid w:val="000B4736"/>
    <w:rsid w:val="000B7811"/>
    <w:rsid w:val="000C443E"/>
    <w:rsid w:val="000D0395"/>
    <w:rsid w:val="000D690E"/>
    <w:rsid w:val="000D6C39"/>
    <w:rsid w:val="000E439F"/>
    <w:rsid w:val="000F1249"/>
    <w:rsid w:val="000F5962"/>
    <w:rsid w:val="000F5A8C"/>
    <w:rsid w:val="00103D71"/>
    <w:rsid w:val="0010775A"/>
    <w:rsid w:val="001079AC"/>
    <w:rsid w:val="0011101B"/>
    <w:rsid w:val="0011293A"/>
    <w:rsid w:val="00115A2A"/>
    <w:rsid w:val="00132A7E"/>
    <w:rsid w:val="00147F1D"/>
    <w:rsid w:val="00152EE4"/>
    <w:rsid w:val="0015444D"/>
    <w:rsid w:val="001634E3"/>
    <w:rsid w:val="0016659C"/>
    <w:rsid w:val="00167C6B"/>
    <w:rsid w:val="00182A2F"/>
    <w:rsid w:val="001876AC"/>
    <w:rsid w:val="001A3652"/>
    <w:rsid w:val="001A4970"/>
    <w:rsid w:val="001A66CB"/>
    <w:rsid w:val="001A6F94"/>
    <w:rsid w:val="001B0301"/>
    <w:rsid w:val="001C7CD8"/>
    <w:rsid w:val="001D306F"/>
    <w:rsid w:val="001E6D24"/>
    <w:rsid w:val="00204B3F"/>
    <w:rsid w:val="00205039"/>
    <w:rsid w:val="00211C99"/>
    <w:rsid w:val="00214F53"/>
    <w:rsid w:val="002166ED"/>
    <w:rsid w:val="0022081F"/>
    <w:rsid w:val="00230C22"/>
    <w:rsid w:val="002341DF"/>
    <w:rsid w:val="00243839"/>
    <w:rsid w:val="002448EB"/>
    <w:rsid w:val="002455A6"/>
    <w:rsid w:val="00251332"/>
    <w:rsid w:val="002622B1"/>
    <w:rsid w:val="00263AA7"/>
    <w:rsid w:val="002667F0"/>
    <w:rsid w:val="002777EB"/>
    <w:rsid w:val="002972F4"/>
    <w:rsid w:val="002A1371"/>
    <w:rsid w:val="002B019F"/>
    <w:rsid w:val="002C290A"/>
    <w:rsid w:val="002E1C3A"/>
    <w:rsid w:val="002F031B"/>
    <w:rsid w:val="002F2353"/>
    <w:rsid w:val="003015D6"/>
    <w:rsid w:val="00304766"/>
    <w:rsid w:val="00310A10"/>
    <w:rsid w:val="00315961"/>
    <w:rsid w:val="00316891"/>
    <w:rsid w:val="003307EE"/>
    <w:rsid w:val="0034352E"/>
    <w:rsid w:val="00345C86"/>
    <w:rsid w:val="003565D4"/>
    <w:rsid w:val="0035672A"/>
    <w:rsid w:val="00360553"/>
    <w:rsid w:val="003613B8"/>
    <w:rsid w:val="003779B6"/>
    <w:rsid w:val="00385956"/>
    <w:rsid w:val="00395D06"/>
    <w:rsid w:val="003A79A3"/>
    <w:rsid w:val="003B18AD"/>
    <w:rsid w:val="003B5A59"/>
    <w:rsid w:val="003B6D43"/>
    <w:rsid w:val="003C2E9B"/>
    <w:rsid w:val="003C3876"/>
    <w:rsid w:val="003C4EE8"/>
    <w:rsid w:val="003D1399"/>
    <w:rsid w:val="003D640F"/>
    <w:rsid w:val="003D7558"/>
    <w:rsid w:val="003E0864"/>
    <w:rsid w:val="003F191D"/>
    <w:rsid w:val="003F2E43"/>
    <w:rsid w:val="003F6454"/>
    <w:rsid w:val="003F7610"/>
    <w:rsid w:val="00404DA2"/>
    <w:rsid w:val="004217EB"/>
    <w:rsid w:val="00426B50"/>
    <w:rsid w:val="00442152"/>
    <w:rsid w:val="00445914"/>
    <w:rsid w:val="00451C59"/>
    <w:rsid w:val="004549FF"/>
    <w:rsid w:val="004672EC"/>
    <w:rsid w:val="0047514C"/>
    <w:rsid w:val="004772B6"/>
    <w:rsid w:val="0048292D"/>
    <w:rsid w:val="00492771"/>
    <w:rsid w:val="004A2A80"/>
    <w:rsid w:val="004B175F"/>
    <w:rsid w:val="004B2FA6"/>
    <w:rsid w:val="004B571C"/>
    <w:rsid w:val="004B63CA"/>
    <w:rsid w:val="004C312C"/>
    <w:rsid w:val="004C4CD1"/>
    <w:rsid w:val="004C74A1"/>
    <w:rsid w:val="004D6BCD"/>
    <w:rsid w:val="004E23E6"/>
    <w:rsid w:val="004E3096"/>
    <w:rsid w:val="00506F8D"/>
    <w:rsid w:val="005133B2"/>
    <w:rsid w:val="005136BC"/>
    <w:rsid w:val="00525D69"/>
    <w:rsid w:val="005312FA"/>
    <w:rsid w:val="00537794"/>
    <w:rsid w:val="005400F0"/>
    <w:rsid w:val="0054018A"/>
    <w:rsid w:val="0054056C"/>
    <w:rsid w:val="00550593"/>
    <w:rsid w:val="005507D4"/>
    <w:rsid w:val="00551181"/>
    <w:rsid w:val="0055385C"/>
    <w:rsid w:val="0056063D"/>
    <w:rsid w:val="00561442"/>
    <w:rsid w:val="00561B10"/>
    <w:rsid w:val="00577C0E"/>
    <w:rsid w:val="00581E48"/>
    <w:rsid w:val="00583DEA"/>
    <w:rsid w:val="0058710C"/>
    <w:rsid w:val="005A26A1"/>
    <w:rsid w:val="005A40BC"/>
    <w:rsid w:val="005C2730"/>
    <w:rsid w:val="005C52CF"/>
    <w:rsid w:val="005C7545"/>
    <w:rsid w:val="005D07C3"/>
    <w:rsid w:val="005D127E"/>
    <w:rsid w:val="005E065B"/>
    <w:rsid w:val="005F384F"/>
    <w:rsid w:val="005F39B0"/>
    <w:rsid w:val="005F64BF"/>
    <w:rsid w:val="006050D0"/>
    <w:rsid w:val="00607066"/>
    <w:rsid w:val="00614790"/>
    <w:rsid w:val="0062179F"/>
    <w:rsid w:val="00623B69"/>
    <w:rsid w:val="0064203B"/>
    <w:rsid w:val="00646731"/>
    <w:rsid w:val="00656EA7"/>
    <w:rsid w:val="00663E3D"/>
    <w:rsid w:val="006810DF"/>
    <w:rsid w:val="00681852"/>
    <w:rsid w:val="00681F8D"/>
    <w:rsid w:val="006842E9"/>
    <w:rsid w:val="006A3EDD"/>
    <w:rsid w:val="006B42F7"/>
    <w:rsid w:val="006B62B0"/>
    <w:rsid w:val="006C72FB"/>
    <w:rsid w:val="006D25B4"/>
    <w:rsid w:val="006D3C9C"/>
    <w:rsid w:val="006E4041"/>
    <w:rsid w:val="00704549"/>
    <w:rsid w:val="00721B57"/>
    <w:rsid w:val="00727D64"/>
    <w:rsid w:val="00727FAB"/>
    <w:rsid w:val="00730978"/>
    <w:rsid w:val="00735D44"/>
    <w:rsid w:val="007463B7"/>
    <w:rsid w:val="007465D5"/>
    <w:rsid w:val="00750903"/>
    <w:rsid w:val="00756E96"/>
    <w:rsid w:val="00762484"/>
    <w:rsid w:val="00764BD4"/>
    <w:rsid w:val="00772607"/>
    <w:rsid w:val="007833EE"/>
    <w:rsid w:val="007849F3"/>
    <w:rsid w:val="0078754C"/>
    <w:rsid w:val="00787C3B"/>
    <w:rsid w:val="00797853"/>
    <w:rsid w:val="007A1A5D"/>
    <w:rsid w:val="007A2CAB"/>
    <w:rsid w:val="007A3E82"/>
    <w:rsid w:val="007A6CE0"/>
    <w:rsid w:val="007B0BA5"/>
    <w:rsid w:val="007B77D5"/>
    <w:rsid w:val="007E6192"/>
    <w:rsid w:val="007F1979"/>
    <w:rsid w:val="007F49B5"/>
    <w:rsid w:val="008002D8"/>
    <w:rsid w:val="0082090B"/>
    <w:rsid w:val="00837A5C"/>
    <w:rsid w:val="00843363"/>
    <w:rsid w:val="00871AC1"/>
    <w:rsid w:val="00897334"/>
    <w:rsid w:val="008D20C8"/>
    <w:rsid w:val="008E0786"/>
    <w:rsid w:val="008E2DF3"/>
    <w:rsid w:val="008E5FCC"/>
    <w:rsid w:val="008F15B6"/>
    <w:rsid w:val="008F4E77"/>
    <w:rsid w:val="008F67A7"/>
    <w:rsid w:val="009068FF"/>
    <w:rsid w:val="00911B62"/>
    <w:rsid w:val="00923781"/>
    <w:rsid w:val="0092785E"/>
    <w:rsid w:val="00930BD4"/>
    <w:rsid w:val="0094446E"/>
    <w:rsid w:val="0094768D"/>
    <w:rsid w:val="00962551"/>
    <w:rsid w:val="00962A89"/>
    <w:rsid w:val="0096305C"/>
    <w:rsid w:val="009672D8"/>
    <w:rsid w:val="00976EBC"/>
    <w:rsid w:val="00982BAF"/>
    <w:rsid w:val="009832CD"/>
    <w:rsid w:val="009847D4"/>
    <w:rsid w:val="009867AB"/>
    <w:rsid w:val="00986EC7"/>
    <w:rsid w:val="009915BE"/>
    <w:rsid w:val="009A5B6A"/>
    <w:rsid w:val="009B1AED"/>
    <w:rsid w:val="009D4709"/>
    <w:rsid w:val="009D5EC5"/>
    <w:rsid w:val="009E6D2D"/>
    <w:rsid w:val="009F00C4"/>
    <w:rsid w:val="009F2D7F"/>
    <w:rsid w:val="00A01829"/>
    <w:rsid w:val="00A04250"/>
    <w:rsid w:val="00A11348"/>
    <w:rsid w:val="00A122CC"/>
    <w:rsid w:val="00A13744"/>
    <w:rsid w:val="00A17A75"/>
    <w:rsid w:val="00A24806"/>
    <w:rsid w:val="00A30315"/>
    <w:rsid w:val="00A3342F"/>
    <w:rsid w:val="00A43517"/>
    <w:rsid w:val="00A467D9"/>
    <w:rsid w:val="00A53C42"/>
    <w:rsid w:val="00A54E0F"/>
    <w:rsid w:val="00A55A9F"/>
    <w:rsid w:val="00A603F2"/>
    <w:rsid w:val="00A62C1A"/>
    <w:rsid w:val="00A67E7F"/>
    <w:rsid w:val="00A74DAD"/>
    <w:rsid w:val="00A82B4C"/>
    <w:rsid w:val="00A82DE7"/>
    <w:rsid w:val="00A8718D"/>
    <w:rsid w:val="00A8757F"/>
    <w:rsid w:val="00A96AC0"/>
    <w:rsid w:val="00A97252"/>
    <w:rsid w:val="00AA1CE2"/>
    <w:rsid w:val="00AA5EA6"/>
    <w:rsid w:val="00AA5F90"/>
    <w:rsid w:val="00AB3E97"/>
    <w:rsid w:val="00AB75D7"/>
    <w:rsid w:val="00AB78B6"/>
    <w:rsid w:val="00AC49D9"/>
    <w:rsid w:val="00AC5BC5"/>
    <w:rsid w:val="00AC5F77"/>
    <w:rsid w:val="00AC77AF"/>
    <w:rsid w:val="00AD1688"/>
    <w:rsid w:val="00AD3931"/>
    <w:rsid w:val="00AD7015"/>
    <w:rsid w:val="00AE2E61"/>
    <w:rsid w:val="00AE33BE"/>
    <w:rsid w:val="00AF25C7"/>
    <w:rsid w:val="00AF5F99"/>
    <w:rsid w:val="00B0118B"/>
    <w:rsid w:val="00B04EA1"/>
    <w:rsid w:val="00B27EC7"/>
    <w:rsid w:val="00B30680"/>
    <w:rsid w:val="00B35BDC"/>
    <w:rsid w:val="00B373A4"/>
    <w:rsid w:val="00B605BF"/>
    <w:rsid w:val="00B63118"/>
    <w:rsid w:val="00B64370"/>
    <w:rsid w:val="00B67087"/>
    <w:rsid w:val="00B72D76"/>
    <w:rsid w:val="00B74A37"/>
    <w:rsid w:val="00B750B4"/>
    <w:rsid w:val="00B75658"/>
    <w:rsid w:val="00B76814"/>
    <w:rsid w:val="00B77325"/>
    <w:rsid w:val="00B77E82"/>
    <w:rsid w:val="00B81432"/>
    <w:rsid w:val="00B82D52"/>
    <w:rsid w:val="00BA3CE2"/>
    <w:rsid w:val="00BB01E7"/>
    <w:rsid w:val="00BB5CC4"/>
    <w:rsid w:val="00BC0686"/>
    <w:rsid w:val="00BC0E4F"/>
    <w:rsid w:val="00BC0E64"/>
    <w:rsid w:val="00BD7A1B"/>
    <w:rsid w:val="00BE08CB"/>
    <w:rsid w:val="00BE72BE"/>
    <w:rsid w:val="00BE79C0"/>
    <w:rsid w:val="00BF69F5"/>
    <w:rsid w:val="00BF7231"/>
    <w:rsid w:val="00C01594"/>
    <w:rsid w:val="00C054AF"/>
    <w:rsid w:val="00C05D2C"/>
    <w:rsid w:val="00C066C0"/>
    <w:rsid w:val="00C11FEF"/>
    <w:rsid w:val="00C14695"/>
    <w:rsid w:val="00C3278D"/>
    <w:rsid w:val="00C34B71"/>
    <w:rsid w:val="00C4092D"/>
    <w:rsid w:val="00C443F4"/>
    <w:rsid w:val="00C51F49"/>
    <w:rsid w:val="00C566C0"/>
    <w:rsid w:val="00C57D66"/>
    <w:rsid w:val="00C60CF6"/>
    <w:rsid w:val="00C67F9B"/>
    <w:rsid w:val="00C72E00"/>
    <w:rsid w:val="00C915F2"/>
    <w:rsid w:val="00CA051B"/>
    <w:rsid w:val="00CA2728"/>
    <w:rsid w:val="00CB0350"/>
    <w:rsid w:val="00CB0F1D"/>
    <w:rsid w:val="00CB174E"/>
    <w:rsid w:val="00CB3FC5"/>
    <w:rsid w:val="00CC1549"/>
    <w:rsid w:val="00CC6294"/>
    <w:rsid w:val="00CD149C"/>
    <w:rsid w:val="00CE5288"/>
    <w:rsid w:val="00CF0047"/>
    <w:rsid w:val="00CF04F8"/>
    <w:rsid w:val="00CF1AB5"/>
    <w:rsid w:val="00CF5BE5"/>
    <w:rsid w:val="00D002C3"/>
    <w:rsid w:val="00D008CD"/>
    <w:rsid w:val="00D00D16"/>
    <w:rsid w:val="00D01774"/>
    <w:rsid w:val="00D05A24"/>
    <w:rsid w:val="00D17808"/>
    <w:rsid w:val="00D203F8"/>
    <w:rsid w:val="00D218B1"/>
    <w:rsid w:val="00D3104A"/>
    <w:rsid w:val="00D3176C"/>
    <w:rsid w:val="00D31D2B"/>
    <w:rsid w:val="00D33483"/>
    <w:rsid w:val="00D45FAD"/>
    <w:rsid w:val="00D5263A"/>
    <w:rsid w:val="00D65F85"/>
    <w:rsid w:val="00D67C20"/>
    <w:rsid w:val="00D745CA"/>
    <w:rsid w:val="00D81ADF"/>
    <w:rsid w:val="00D83693"/>
    <w:rsid w:val="00D85049"/>
    <w:rsid w:val="00D9756B"/>
    <w:rsid w:val="00DA1EAB"/>
    <w:rsid w:val="00DA433B"/>
    <w:rsid w:val="00DA7D50"/>
    <w:rsid w:val="00DB1143"/>
    <w:rsid w:val="00DC01A4"/>
    <w:rsid w:val="00DC59B3"/>
    <w:rsid w:val="00DE451F"/>
    <w:rsid w:val="00DE5732"/>
    <w:rsid w:val="00DF6671"/>
    <w:rsid w:val="00E003E9"/>
    <w:rsid w:val="00E022E2"/>
    <w:rsid w:val="00E17111"/>
    <w:rsid w:val="00E2093C"/>
    <w:rsid w:val="00E221F4"/>
    <w:rsid w:val="00E3029A"/>
    <w:rsid w:val="00E3220C"/>
    <w:rsid w:val="00E7727C"/>
    <w:rsid w:val="00E846C8"/>
    <w:rsid w:val="00E8600A"/>
    <w:rsid w:val="00E871C0"/>
    <w:rsid w:val="00E87527"/>
    <w:rsid w:val="00E91A53"/>
    <w:rsid w:val="00EA074E"/>
    <w:rsid w:val="00EA176C"/>
    <w:rsid w:val="00EA3696"/>
    <w:rsid w:val="00EA615B"/>
    <w:rsid w:val="00EA6F0C"/>
    <w:rsid w:val="00EB0972"/>
    <w:rsid w:val="00EC1589"/>
    <w:rsid w:val="00EC5488"/>
    <w:rsid w:val="00EF49A5"/>
    <w:rsid w:val="00EF772A"/>
    <w:rsid w:val="00F008FC"/>
    <w:rsid w:val="00F14341"/>
    <w:rsid w:val="00F21DC4"/>
    <w:rsid w:val="00F26CA9"/>
    <w:rsid w:val="00F33F47"/>
    <w:rsid w:val="00F33F51"/>
    <w:rsid w:val="00F4015E"/>
    <w:rsid w:val="00F42F34"/>
    <w:rsid w:val="00F4727B"/>
    <w:rsid w:val="00F504DD"/>
    <w:rsid w:val="00F5486C"/>
    <w:rsid w:val="00F552DB"/>
    <w:rsid w:val="00F56BBE"/>
    <w:rsid w:val="00F570DC"/>
    <w:rsid w:val="00F63AF0"/>
    <w:rsid w:val="00F63CA3"/>
    <w:rsid w:val="00F6475F"/>
    <w:rsid w:val="00F6516F"/>
    <w:rsid w:val="00F70B79"/>
    <w:rsid w:val="00F92DA9"/>
    <w:rsid w:val="00F945D0"/>
    <w:rsid w:val="00FA14DE"/>
    <w:rsid w:val="00FA1773"/>
    <w:rsid w:val="00FB21D2"/>
    <w:rsid w:val="00FB3F17"/>
    <w:rsid w:val="00FB4840"/>
    <w:rsid w:val="00FC05B9"/>
    <w:rsid w:val="00FC2F49"/>
    <w:rsid w:val="00FC5F44"/>
    <w:rsid w:val="00FC6C71"/>
    <w:rsid w:val="00FD371C"/>
    <w:rsid w:val="00FD6F88"/>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DB"/>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442152"/>
    <w:pPr>
      <w:keepNext/>
      <w:keepLines/>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152"/>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TableGrid8">
    <w:name w:val="Table Grid8"/>
    <w:basedOn w:val="TableNormal"/>
    <w:next w:val="TableGrid"/>
    <w:uiPriority w:val="39"/>
    <w:rsid w:val="00D6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A6F94"/>
    <w:pPr>
      <w:spacing w:after="120"/>
    </w:pPr>
  </w:style>
  <w:style w:type="character" w:customStyle="1" w:styleId="BodyTextChar">
    <w:name w:val="Body Text Char"/>
    <w:basedOn w:val="DefaultParagraphFont"/>
    <w:link w:val="BodyText"/>
    <w:uiPriority w:val="99"/>
    <w:semiHidden/>
    <w:rsid w:val="001A6F94"/>
    <w:rPr>
      <w:rFonts w:ascii="Arial" w:eastAsia="Calibri" w:hAnsi="Arial" w:cs="Times New Roman"/>
      <w:kern w:val="0"/>
      <w:sz w:val="24"/>
      <w14:ligatures w14:val="none"/>
    </w:rPr>
  </w:style>
  <w:style w:type="table" w:customStyle="1" w:styleId="TableGrid9">
    <w:name w:val="Table Grid9"/>
    <w:basedOn w:val="TableNormal"/>
    <w:next w:val="TableGrid"/>
    <w:uiPriority w:val="39"/>
    <w:rsid w:val="001A6F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587465455">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834FE-2ACA-4EF6-9E20-00244A5DC2FE}">
  <ds:schemaRefs>
    <ds:schemaRef ds:uri="http://schemas.microsoft.com/sharepoint/v3/contenttype/forms"/>
  </ds:schemaRefs>
</ds:datastoreItem>
</file>

<file path=customXml/itemProps2.xml><?xml version="1.0" encoding="utf-8"?>
<ds:datastoreItem xmlns:ds="http://schemas.openxmlformats.org/officeDocument/2006/customXml" ds:itemID="{C419C82A-0842-4AEE-8F7E-68C019F2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4D698-66AB-450C-B1F5-D8E50C93CFB4}">
  <ds:schemaRefs>
    <ds:schemaRef ds:uri="http://schemas.openxmlformats.org/officeDocument/2006/bibliography"/>
  </ds:schemaRefs>
</ds:datastoreItem>
</file>

<file path=customXml/itemProps4.xml><?xml version="1.0" encoding="utf-8"?>
<ds:datastoreItem xmlns:ds="http://schemas.openxmlformats.org/officeDocument/2006/customXml" ds:itemID="{EA1798B1-B750-418C-8E59-E471B9D7B7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8503</Words>
  <Characters>48469</Characters>
  <Application>Microsoft Office Word</Application>
  <DocSecurity>8</DocSecurity>
  <Lines>403</Lines>
  <Paragraphs>113</Paragraphs>
  <ScaleCrop>false</ScaleCrop>
  <HeadingPairs>
    <vt:vector size="2" baseType="variant">
      <vt:variant>
        <vt:lpstr>Title</vt:lpstr>
      </vt:variant>
      <vt:variant>
        <vt:i4>1</vt:i4>
      </vt:variant>
    </vt:vector>
  </HeadingPairs>
  <TitlesOfParts>
    <vt:vector size="1" baseType="lpstr">
      <vt:lpstr>250211 CS 11 February 2025</vt:lpstr>
    </vt:vector>
  </TitlesOfParts>
  <Company>Ards and North Down Borough Council</Company>
  <LinksUpToDate>false</LinksUpToDate>
  <CharactersWithSpaces>56859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250211 CS 11 February 2025</dc:title>
  <dc:subject/>
  <dc:creator>Foster, Paulene</dc:creator>
  <cp:keywords/>
  <dc:description/>
  <cp:lastModifiedBy>Cull, Joshua</cp:lastModifiedBy>
  <cp:revision>8</cp:revision>
  <cp:lastPrinted>2025-02-19T16:10:00Z</cp:lastPrinted>
  <dcterms:created xsi:type="dcterms:W3CDTF">2025-02-19T16:10:00Z</dcterms:created>
  <dcterms:modified xsi:type="dcterms:W3CDTF">2026-01-09T10:28:00Z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